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 w:hAnsi="仿宋" w:cs="仿宋"/>
          <w:b/>
          <w:bCs/>
          <w:sz w:val="48"/>
          <w:szCs w:val="36"/>
        </w:rPr>
      </w:pPr>
      <w:bookmarkStart w:id="0" w:name="_Toc525055809"/>
    </w:p>
    <w:p>
      <w:pPr>
        <w:spacing w:line="600" w:lineRule="exact"/>
        <w:jc w:val="center"/>
        <w:rPr>
          <w:rFonts w:ascii="仿宋" w:hAnsi="仿宋" w:cs="仿宋"/>
          <w:b/>
          <w:bCs/>
          <w:sz w:val="48"/>
          <w:szCs w:val="36"/>
        </w:rPr>
      </w:pPr>
    </w:p>
    <w:p>
      <w:pPr>
        <w:spacing w:line="600" w:lineRule="exact"/>
        <w:jc w:val="center"/>
        <w:rPr>
          <w:rFonts w:ascii="仿宋" w:hAnsi="仿宋" w:cs="仿宋"/>
          <w:b/>
          <w:bCs/>
          <w:sz w:val="52"/>
          <w:szCs w:val="40"/>
        </w:rPr>
      </w:pPr>
      <w:r>
        <w:rPr>
          <w:rFonts w:hint="eastAsia" w:ascii="仿宋" w:hAnsi="仿宋" w:cs="仿宋"/>
          <w:b/>
          <w:bCs/>
          <w:sz w:val="52"/>
          <w:szCs w:val="40"/>
        </w:rPr>
        <w:t>天津市北辰区推进京津冀协同发展</w:t>
      </w:r>
    </w:p>
    <w:p>
      <w:pPr>
        <w:spacing w:line="600" w:lineRule="exact"/>
        <w:jc w:val="center"/>
        <w:rPr>
          <w:rFonts w:ascii="仿宋" w:hAnsi="仿宋" w:cs="仿宋"/>
          <w:b/>
          <w:bCs/>
          <w:sz w:val="52"/>
          <w:szCs w:val="40"/>
        </w:rPr>
      </w:pPr>
      <w:r>
        <w:rPr>
          <w:rFonts w:hint="eastAsia" w:ascii="仿宋" w:hAnsi="仿宋" w:cs="仿宋"/>
          <w:b/>
          <w:bCs/>
          <w:sz w:val="52"/>
          <w:szCs w:val="40"/>
        </w:rPr>
        <w:t>第十四个五年（2021-2025）</w:t>
      </w:r>
    </w:p>
    <w:p>
      <w:pPr>
        <w:tabs>
          <w:tab w:val="center" w:pos="4213"/>
          <w:tab w:val="right" w:pos="8306"/>
        </w:tabs>
        <w:spacing w:line="600" w:lineRule="exact"/>
        <w:jc w:val="left"/>
        <w:rPr>
          <w:rFonts w:ascii="仿宋" w:hAnsi="仿宋" w:cs="仿宋"/>
          <w:b/>
          <w:bCs/>
          <w:sz w:val="28"/>
          <w:szCs w:val="20"/>
          <w:lang w:val="zh-CN"/>
        </w:rPr>
      </w:pPr>
      <w:r>
        <w:rPr>
          <w:rFonts w:hint="eastAsia" w:ascii="仿宋" w:hAnsi="仿宋" w:cs="仿宋"/>
          <w:b/>
          <w:bCs/>
          <w:sz w:val="52"/>
          <w:szCs w:val="40"/>
        </w:rPr>
        <w:tab/>
      </w:r>
      <w:r>
        <w:rPr>
          <w:rFonts w:hint="eastAsia" w:ascii="仿宋" w:hAnsi="仿宋" w:cs="仿宋"/>
          <w:b/>
          <w:bCs/>
          <w:sz w:val="52"/>
          <w:szCs w:val="40"/>
        </w:rPr>
        <w:t>规划纲要</w:t>
      </w:r>
      <w:r>
        <w:rPr>
          <w:rFonts w:hint="eastAsia" w:ascii="仿宋" w:hAnsi="仿宋" w:cs="仿宋"/>
          <w:b/>
          <w:bCs/>
          <w:sz w:val="52"/>
          <w:szCs w:val="40"/>
        </w:rPr>
        <w:tab/>
      </w:r>
    </w:p>
    <w:p>
      <w:pPr>
        <w:spacing w:line="600" w:lineRule="exact"/>
        <w:ind w:firstLine="643"/>
        <w:rPr>
          <w:rFonts w:ascii="仿宋" w:hAnsi="仿宋" w:cs="仿宋"/>
          <w:b/>
          <w:bCs/>
          <w:sz w:val="28"/>
          <w:szCs w:val="20"/>
          <w:lang w:val="zh-CN"/>
        </w:rPr>
      </w:pPr>
    </w:p>
    <w:p>
      <w:pPr>
        <w:spacing w:line="600" w:lineRule="exact"/>
        <w:ind w:firstLine="640"/>
        <w:rPr>
          <w:rFonts w:ascii="仿宋" w:hAnsi="仿宋" w:cs="仿宋"/>
          <w:sz w:val="28"/>
          <w:szCs w:val="20"/>
          <w:lang w:val="zh-CN"/>
        </w:rPr>
      </w:pPr>
    </w:p>
    <w:p>
      <w:pPr>
        <w:spacing w:line="600" w:lineRule="exact"/>
        <w:ind w:firstLine="640"/>
        <w:rPr>
          <w:rFonts w:ascii="仿宋" w:hAnsi="仿宋" w:cs="仿宋"/>
          <w:sz w:val="28"/>
          <w:szCs w:val="20"/>
          <w:lang w:val="zh-CN"/>
        </w:rPr>
      </w:pPr>
    </w:p>
    <w:p>
      <w:pPr>
        <w:spacing w:line="600" w:lineRule="exact"/>
        <w:ind w:firstLine="640"/>
        <w:rPr>
          <w:rFonts w:ascii="仿宋" w:hAnsi="仿宋" w:cs="仿宋"/>
          <w:sz w:val="28"/>
          <w:szCs w:val="20"/>
          <w:lang w:val="zh-CN"/>
        </w:rPr>
      </w:pPr>
    </w:p>
    <w:p>
      <w:pPr>
        <w:spacing w:line="600" w:lineRule="exact"/>
        <w:ind w:firstLine="640"/>
        <w:rPr>
          <w:rFonts w:ascii="仿宋" w:hAnsi="仿宋" w:cs="仿宋"/>
          <w:sz w:val="28"/>
          <w:szCs w:val="20"/>
          <w:lang w:val="zh-CN"/>
        </w:rPr>
      </w:pPr>
    </w:p>
    <w:p>
      <w:pPr>
        <w:spacing w:line="600" w:lineRule="exact"/>
        <w:ind w:firstLine="640"/>
        <w:rPr>
          <w:rFonts w:ascii="仿宋" w:hAnsi="仿宋" w:cs="仿宋"/>
          <w:sz w:val="28"/>
          <w:szCs w:val="20"/>
          <w:lang w:val="zh-CN"/>
        </w:rPr>
      </w:pPr>
    </w:p>
    <w:p>
      <w:pPr>
        <w:spacing w:line="600" w:lineRule="exact"/>
        <w:ind w:firstLine="640"/>
        <w:rPr>
          <w:rFonts w:ascii="仿宋" w:hAnsi="仿宋" w:cs="仿宋"/>
          <w:sz w:val="28"/>
          <w:szCs w:val="20"/>
          <w:lang w:val="zh-CN"/>
        </w:rPr>
      </w:pPr>
    </w:p>
    <w:p>
      <w:pPr>
        <w:spacing w:line="600" w:lineRule="exact"/>
        <w:ind w:firstLine="640"/>
        <w:rPr>
          <w:rFonts w:ascii="仿宋" w:hAnsi="仿宋" w:cs="仿宋"/>
          <w:sz w:val="28"/>
          <w:szCs w:val="20"/>
          <w:lang w:val="zh-CN"/>
        </w:rPr>
      </w:pPr>
    </w:p>
    <w:p>
      <w:pPr>
        <w:spacing w:line="600" w:lineRule="exact"/>
        <w:jc w:val="center"/>
        <w:rPr>
          <w:rFonts w:ascii="仿宋" w:hAnsi="仿宋" w:cs="仿宋"/>
          <w:b/>
          <w:bCs/>
          <w:sz w:val="44"/>
          <w:szCs w:val="36"/>
        </w:rPr>
      </w:pPr>
      <w:r>
        <w:rPr>
          <w:rFonts w:hint="eastAsia" w:ascii="仿宋" w:hAnsi="仿宋" w:cs="仿宋"/>
          <w:b/>
          <w:bCs/>
          <w:sz w:val="44"/>
          <w:szCs w:val="36"/>
        </w:rPr>
        <w:t>天津市北辰区人民政府</w:t>
      </w:r>
    </w:p>
    <w:p>
      <w:pPr>
        <w:spacing w:line="600" w:lineRule="exact"/>
        <w:ind w:firstLine="643"/>
        <w:jc w:val="center"/>
        <w:rPr>
          <w:rFonts w:ascii="仿宋" w:hAnsi="仿宋" w:cs="仿宋"/>
          <w:b/>
          <w:bCs/>
          <w:sz w:val="28"/>
          <w:szCs w:val="20"/>
        </w:rPr>
      </w:pPr>
    </w:p>
    <w:p>
      <w:pPr>
        <w:spacing w:line="600" w:lineRule="exact"/>
        <w:jc w:val="center"/>
        <w:rPr>
          <w:rFonts w:ascii="仿宋" w:hAnsi="仿宋" w:cs="仿宋"/>
          <w:b/>
          <w:bCs/>
          <w:sz w:val="36"/>
          <w:szCs w:val="22"/>
        </w:rPr>
        <w:sectPr>
          <w:footerReference r:id="rId3" w:type="default"/>
          <w:pgSz w:w="11906" w:h="16838"/>
          <w:pgMar w:top="1440" w:right="1800" w:bottom="1440" w:left="1800" w:header="851" w:footer="992" w:gutter="0"/>
          <w:pgNumType w:fmt="upperRoman" w:start="1"/>
          <w:cols w:space="425" w:num="1"/>
          <w:titlePg/>
          <w:docGrid w:type="lines" w:linePitch="435" w:charSpace="0"/>
        </w:sectPr>
      </w:pPr>
      <w:r>
        <w:rPr>
          <w:rFonts w:hint="eastAsia" w:ascii="仿宋" w:hAnsi="仿宋" w:cs="仿宋"/>
          <w:b/>
          <w:bCs/>
          <w:sz w:val="36"/>
          <w:szCs w:val="22"/>
        </w:rPr>
        <w:t>二零二零年十</w:t>
      </w:r>
      <w:r>
        <w:rPr>
          <w:rFonts w:hint="eastAsia" w:ascii="仿宋" w:hAnsi="仿宋" w:cs="仿宋"/>
          <w:b/>
          <w:bCs/>
          <w:sz w:val="36"/>
          <w:szCs w:val="22"/>
          <w:lang w:val="en-US" w:eastAsia="zh-CN"/>
        </w:rPr>
        <w:t>二</w:t>
      </w:r>
      <w:r>
        <w:rPr>
          <w:rFonts w:hint="eastAsia" w:ascii="仿宋" w:hAnsi="仿宋" w:cs="仿宋"/>
          <w:b/>
          <w:bCs/>
          <w:sz w:val="36"/>
          <w:szCs w:val="22"/>
        </w:rPr>
        <w:t>月</w:t>
      </w:r>
    </w:p>
    <w:p>
      <w:pPr>
        <w:pStyle w:val="11"/>
        <w:spacing w:line="600" w:lineRule="exact"/>
        <w:rPr>
          <w:rFonts w:ascii="仿宋" w:hAnsi="仿宋" w:eastAsia="仿宋" w:cs="仿宋"/>
          <w:sz w:val="44"/>
          <w:szCs w:val="44"/>
        </w:rPr>
      </w:pPr>
      <w:r>
        <w:rPr>
          <w:rFonts w:hint="eastAsia" w:ascii="仿宋" w:hAnsi="仿宋" w:eastAsia="仿宋" w:cs="仿宋"/>
          <w:sz w:val="44"/>
          <w:szCs w:val="44"/>
        </w:rPr>
        <w:t>目   录</w:t>
      </w:r>
    </w:p>
    <w:p>
      <w:pPr>
        <w:pStyle w:val="11"/>
        <w:tabs>
          <w:tab w:val="right" w:leader="dot" w:pos="8306"/>
          <w:tab w:val="clear" w:pos="8296"/>
        </w:tabs>
        <w:spacing w:line="600" w:lineRule="exact"/>
        <w:rPr>
          <w:rFonts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TOC \o "1-2" \h \z \u </w:instrText>
      </w:r>
      <w:r>
        <w:rPr>
          <w:rFonts w:hint="eastAsia" w:ascii="仿宋" w:hAnsi="仿宋" w:eastAsia="仿宋" w:cs="仿宋"/>
        </w:rPr>
        <w:fldChar w:fldCharType="separate"/>
      </w:r>
      <w:r>
        <w:fldChar w:fldCharType="begin"/>
      </w:r>
      <w:r>
        <w:instrText xml:space="preserve"> HYPERLINK \l "_Toc29470" </w:instrText>
      </w:r>
      <w:r>
        <w:fldChar w:fldCharType="separate"/>
      </w:r>
      <w:r>
        <w:rPr>
          <w:rFonts w:hint="eastAsia" w:ascii="仿宋" w:hAnsi="仿宋" w:eastAsia="仿宋" w:cs="仿宋"/>
        </w:rPr>
        <w:t>第一章  发展基础与环境</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_Toc29470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"_Toc3609" </w:instrText>
      </w:r>
      <w:r>
        <w:fldChar w:fldCharType="separate"/>
      </w:r>
      <w:r>
        <w:rPr>
          <w:rFonts w:hint="eastAsia" w:ascii="仿宋" w:hAnsi="仿宋" w:cs="仿宋"/>
        </w:rPr>
        <w:t>一、发展基础</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_Toc3609 </w:instrText>
      </w:r>
      <w:r>
        <w:rPr>
          <w:rFonts w:hint="eastAsia" w:ascii="仿宋" w:hAnsi="仿宋" w:cs="仿宋"/>
        </w:rPr>
        <w:fldChar w:fldCharType="separate"/>
      </w:r>
      <w:r>
        <w:rPr>
          <w:rFonts w:hint="eastAsia" w:ascii="仿宋" w:hAnsi="仿宋" w:cs="仿宋"/>
        </w:rPr>
        <w:t>1</w:t>
      </w:r>
      <w:r>
        <w:rPr>
          <w:rFonts w:hint="eastAsia" w:ascii="仿宋" w:hAnsi="仿宋" w:cs="仿宋"/>
        </w:rPr>
        <w:fldChar w:fldCharType="end"/>
      </w:r>
      <w:r>
        <w:rPr>
          <w:rFonts w:hint="eastAsia" w:ascii="仿宋" w:hAnsi="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"_Toc26992" </w:instrText>
      </w:r>
      <w:r>
        <w:fldChar w:fldCharType="separate"/>
      </w:r>
      <w:r>
        <w:rPr>
          <w:rFonts w:hint="eastAsia" w:ascii="仿宋" w:hAnsi="仿宋" w:cs="仿宋"/>
        </w:rPr>
        <w:t>二、存在问题</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_Toc26992 </w:instrText>
      </w:r>
      <w:r>
        <w:rPr>
          <w:rFonts w:hint="eastAsia" w:ascii="仿宋" w:hAnsi="仿宋" w:cs="仿宋"/>
        </w:rPr>
        <w:fldChar w:fldCharType="separate"/>
      </w:r>
      <w:r>
        <w:rPr>
          <w:rFonts w:hint="eastAsia" w:ascii="仿宋" w:hAnsi="仿宋" w:cs="仿宋"/>
        </w:rPr>
        <w:t>3</w:t>
      </w:r>
      <w:r>
        <w:rPr>
          <w:rFonts w:hint="eastAsia" w:ascii="仿宋" w:hAnsi="仿宋" w:cs="仿宋"/>
        </w:rPr>
        <w:fldChar w:fldCharType="end"/>
      </w:r>
      <w:r>
        <w:rPr>
          <w:rFonts w:hint="eastAsia" w:ascii="仿宋" w:hAnsi="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"_Toc20615" </w:instrText>
      </w:r>
      <w:r>
        <w:fldChar w:fldCharType="separate"/>
      </w:r>
      <w:r>
        <w:rPr>
          <w:rFonts w:hint="eastAsia" w:ascii="仿宋" w:hAnsi="仿宋" w:cs="仿宋"/>
        </w:rPr>
        <w:t>三、发展环境</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_Toc20615 </w:instrText>
      </w:r>
      <w:r>
        <w:rPr>
          <w:rFonts w:hint="eastAsia" w:ascii="仿宋" w:hAnsi="仿宋" w:cs="仿宋"/>
        </w:rPr>
        <w:fldChar w:fldCharType="separate"/>
      </w:r>
      <w:r>
        <w:rPr>
          <w:rFonts w:hint="eastAsia" w:ascii="仿宋" w:hAnsi="仿宋" w:cs="仿宋"/>
        </w:rPr>
        <w:t>4</w:t>
      </w:r>
      <w:r>
        <w:rPr>
          <w:rFonts w:hint="eastAsia" w:ascii="仿宋" w:hAnsi="仿宋" w:cs="仿宋"/>
        </w:rPr>
        <w:fldChar w:fldCharType="end"/>
      </w:r>
      <w:r>
        <w:rPr>
          <w:rFonts w:hint="eastAsia" w:ascii="仿宋" w:hAnsi="仿宋" w:cs="仿宋"/>
        </w:rPr>
        <w:fldChar w:fldCharType="end"/>
      </w:r>
    </w:p>
    <w:p>
      <w:pPr>
        <w:pStyle w:val="11"/>
        <w:tabs>
          <w:tab w:val="right" w:leader="dot" w:pos="8306"/>
          <w:tab w:val="clear" w:pos="8296"/>
        </w:tabs>
        <w:spacing w:line="600" w:lineRule="exact"/>
        <w:rPr>
          <w:rFonts w:ascii="仿宋" w:hAnsi="仿宋" w:eastAsia="仿宋" w:cs="仿宋"/>
        </w:rPr>
      </w:pPr>
      <w:r>
        <w:fldChar w:fldCharType="begin"/>
      </w:r>
      <w:r>
        <w:instrText xml:space="preserve"> HYPERLINK \l "_Toc25134" </w:instrText>
      </w:r>
      <w:r>
        <w:fldChar w:fldCharType="separate"/>
      </w:r>
      <w:r>
        <w:rPr>
          <w:rFonts w:hint="eastAsia" w:ascii="仿宋" w:hAnsi="仿宋" w:eastAsia="仿宋" w:cs="仿宋"/>
          <w:szCs w:val="40"/>
        </w:rPr>
        <w:t>第二章 指导思想、规划原则、定位与目标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_Toc25134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"_Toc32548" </w:instrText>
      </w:r>
      <w:r>
        <w:fldChar w:fldCharType="separate"/>
      </w:r>
      <w:r>
        <w:rPr>
          <w:rFonts w:hint="eastAsia" w:ascii="仿宋" w:hAnsi="仿宋" w:cs="仿宋"/>
        </w:rPr>
        <w:t>一、指导思想</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_Toc32548 </w:instrText>
      </w:r>
      <w:r>
        <w:rPr>
          <w:rFonts w:hint="eastAsia" w:ascii="仿宋" w:hAnsi="仿宋" w:cs="仿宋"/>
        </w:rPr>
        <w:fldChar w:fldCharType="separate"/>
      </w:r>
      <w:r>
        <w:rPr>
          <w:rFonts w:hint="eastAsia" w:ascii="仿宋" w:hAnsi="仿宋" w:cs="仿宋"/>
        </w:rPr>
        <w:t>7</w:t>
      </w:r>
      <w:r>
        <w:rPr>
          <w:rFonts w:hint="eastAsia" w:ascii="仿宋" w:hAnsi="仿宋" w:cs="仿宋"/>
        </w:rPr>
        <w:fldChar w:fldCharType="end"/>
      </w:r>
      <w:r>
        <w:rPr>
          <w:rFonts w:hint="eastAsia" w:ascii="仿宋" w:hAnsi="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"_Toc24014" </w:instrText>
      </w:r>
      <w:r>
        <w:fldChar w:fldCharType="separate"/>
      </w:r>
      <w:r>
        <w:rPr>
          <w:rFonts w:hint="eastAsia" w:ascii="仿宋" w:hAnsi="仿宋" w:cs="仿宋"/>
        </w:rPr>
        <w:t>二、规划原则</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_Toc24014 </w:instrText>
      </w:r>
      <w:r>
        <w:rPr>
          <w:rFonts w:hint="eastAsia" w:ascii="仿宋" w:hAnsi="仿宋" w:cs="仿宋"/>
        </w:rPr>
        <w:fldChar w:fldCharType="separate"/>
      </w:r>
      <w:r>
        <w:rPr>
          <w:rFonts w:hint="eastAsia" w:ascii="仿宋" w:hAnsi="仿宋" w:cs="仿宋"/>
        </w:rPr>
        <w:t>8</w:t>
      </w:r>
      <w:r>
        <w:rPr>
          <w:rFonts w:hint="eastAsia" w:ascii="仿宋" w:hAnsi="仿宋" w:cs="仿宋"/>
        </w:rPr>
        <w:fldChar w:fldCharType="end"/>
      </w:r>
      <w:r>
        <w:rPr>
          <w:rFonts w:hint="eastAsia" w:ascii="仿宋" w:hAnsi="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"_Toc22110" </w:instrText>
      </w:r>
      <w:r>
        <w:fldChar w:fldCharType="separate"/>
      </w:r>
      <w:r>
        <w:rPr>
          <w:rFonts w:hint="eastAsia" w:ascii="仿宋" w:hAnsi="仿宋" w:cs="仿宋"/>
        </w:rPr>
        <w:t>三、功能定位</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_Toc22110 </w:instrText>
      </w:r>
      <w:r>
        <w:rPr>
          <w:rFonts w:hint="eastAsia" w:ascii="仿宋" w:hAnsi="仿宋" w:cs="仿宋"/>
        </w:rPr>
        <w:fldChar w:fldCharType="separate"/>
      </w:r>
      <w:r>
        <w:rPr>
          <w:rFonts w:hint="eastAsia" w:ascii="仿宋" w:hAnsi="仿宋" w:cs="仿宋"/>
        </w:rPr>
        <w:t>9</w:t>
      </w:r>
      <w:r>
        <w:rPr>
          <w:rFonts w:hint="eastAsia" w:ascii="仿宋" w:hAnsi="仿宋" w:cs="仿宋"/>
        </w:rPr>
        <w:fldChar w:fldCharType="end"/>
      </w:r>
      <w:r>
        <w:rPr>
          <w:rFonts w:hint="eastAsia" w:ascii="仿宋" w:hAnsi="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"_Toc20341" </w:instrText>
      </w:r>
      <w:r>
        <w:fldChar w:fldCharType="separate"/>
      </w:r>
      <w:r>
        <w:rPr>
          <w:rFonts w:hint="eastAsia" w:ascii="仿宋" w:hAnsi="仿宋" w:cs="仿宋"/>
        </w:rPr>
        <w:t>四、发展目标</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_Toc20341 </w:instrText>
      </w:r>
      <w:r>
        <w:rPr>
          <w:rFonts w:hint="eastAsia" w:ascii="仿宋" w:hAnsi="仿宋" w:cs="仿宋"/>
        </w:rPr>
        <w:fldChar w:fldCharType="separate"/>
      </w:r>
      <w:r>
        <w:rPr>
          <w:rFonts w:hint="eastAsia" w:ascii="仿宋" w:hAnsi="仿宋" w:cs="仿宋"/>
        </w:rPr>
        <w:t>10</w:t>
      </w:r>
      <w:r>
        <w:rPr>
          <w:rFonts w:hint="eastAsia" w:ascii="仿宋" w:hAnsi="仿宋" w:cs="仿宋"/>
        </w:rPr>
        <w:fldChar w:fldCharType="end"/>
      </w:r>
      <w:r>
        <w:rPr>
          <w:rFonts w:hint="eastAsia" w:ascii="仿宋" w:hAnsi="仿宋" w:cs="仿宋"/>
        </w:rPr>
        <w:fldChar w:fldCharType="end"/>
      </w:r>
    </w:p>
    <w:p>
      <w:pPr>
        <w:pStyle w:val="11"/>
        <w:tabs>
          <w:tab w:val="right" w:leader="dot" w:pos="8306"/>
          <w:tab w:val="clear" w:pos="8296"/>
        </w:tabs>
        <w:spacing w:line="600" w:lineRule="exact"/>
        <w:rPr>
          <w:rFonts w:ascii="仿宋" w:hAnsi="仿宋" w:eastAsia="仿宋" w:cs="仿宋"/>
        </w:rPr>
      </w:pPr>
      <w:r>
        <w:fldChar w:fldCharType="begin"/>
      </w:r>
      <w:r>
        <w:instrText xml:space="preserve"> HYPERLINK \l "_Toc6793" </w:instrText>
      </w:r>
      <w:r>
        <w:fldChar w:fldCharType="separate"/>
      </w:r>
      <w:r>
        <w:rPr>
          <w:rFonts w:hint="eastAsia" w:ascii="仿宋" w:hAnsi="仿宋" w:eastAsia="仿宋" w:cs="仿宋"/>
        </w:rPr>
        <w:t>第三章 北辰区融入京津冀协同发展的战略思路</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_Toc6793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"_Toc14901" </w:instrText>
      </w:r>
      <w:r>
        <w:fldChar w:fldCharType="separate"/>
      </w:r>
      <w:r>
        <w:rPr>
          <w:rFonts w:hint="eastAsia" w:ascii="仿宋" w:hAnsi="仿宋" w:cs="仿宋"/>
        </w:rPr>
        <w:t>一、链式集群，发挥整体优势</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_Toc14901 </w:instrText>
      </w:r>
      <w:r>
        <w:rPr>
          <w:rFonts w:hint="eastAsia" w:ascii="仿宋" w:hAnsi="仿宋" w:cs="仿宋"/>
        </w:rPr>
        <w:fldChar w:fldCharType="separate"/>
      </w:r>
      <w:r>
        <w:rPr>
          <w:rFonts w:hint="eastAsia" w:ascii="仿宋" w:hAnsi="仿宋" w:cs="仿宋"/>
        </w:rPr>
        <w:t>13</w:t>
      </w:r>
      <w:r>
        <w:rPr>
          <w:rFonts w:hint="eastAsia" w:ascii="仿宋" w:hAnsi="仿宋" w:cs="仿宋"/>
        </w:rPr>
        <w:fldChar w:fldCharType="end"/>
      </w:r>
      <w:r>
        <w:rPr>
          <w:rFonts w:hint="eastAsia" w:ascii="仿宋" w:hAnsi="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"_Toc11434" </w:instrText>
      </w:r>
      <w:r>
        <w:fldChar w:fldCharType="separate"/>
      </w:r>
      <w:r>
        <w:rPr>
          <w:rFonts w:hint="eastAsia" w:ascii="仿宋" w:hAnsi="仿宋" w:cs="仿宋"/>
        </w:rPr>
        <w:t>二、协同开放，构建共赢格局</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_Toc11434 </w:instrText>
      </w:r>
      <w:r>
        <w:rPr>
          <w:rFonts w:hint="eastAsia" w:ascii="仿宋" w:hAnsi="仿宋" w:cs="仿宋"/>
        </w:rPr>
        <w:fldChar w:fldCharType="separate"/>
      </w:r>
      <w:r>
        <w:rPr>
          <w:rFonts w:hint="eastAsia" w:ascii="仿宋" w:hAnsi="仿宋" w:cs="仿宋"/>
        </w:rPr>
        <w:t>14</w:t>
      </w:r>
      <w:r>
        <w:rPr>
          <w:rFonts w:hint="eastAsia" w:ascii="仿宋" w:hAnsi="仿宋" w:cs="仿宋"/>
        </w:rPr>
        <w:fldChar w:fldCharType="end"/>
      </w:r>
      <w:r>
        <w:rPr>
          <w:rFonts w:hint="eastAsia" w:ascii="仿宋" w:hAnsi="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"_Toc9294" </w:instrText>
      </w:r>
      <w:r>
        <w:fldChar w:fldCharType="separate"/>
      </w:r>
      <w:r>
        <w:rPr>
          <w:rFonts w:hint="eastAsia" w:ascii="仿宋" w:hAnsi="仿宋" w:cs="仿宋"/>
        </w:rPr>
        <w:t>三、创新驱动，引领天津智造</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_Toc9294 </w:instrText>
      </w:r>
      <w:r>
        <w:rPr>
          <w:rFonts w:hint="eastAsia" w:ascii="仿宋" w:hAnsi="仿宋" w:cs="仿宋"/>
        </w:rPr>
        <w:fldChar w:fldCharType="separate"/>
      </w:r>
      <w:r>
        <w:rPr>
          <w:rFonts w:hint="eastAsia" w:ascii="仿宋" w:hAnsi="仿宋" w:cs="仿宋"/>
        </w:rPr>
        <w:t>14</w:t>
      </w:r>
      <w:r>
        <w:rPr>
          <w:rFonts w:hint="eastAsia" w:ascii="仿宋" w:hAnsi="仿宋" w:cs="仿宋"/>
        </w:rPr>
        <w:fldChar w:fldCharType="end"/>
      </w:r>
      <w:r>
        <w:rPr>
          <w:rFonts w:hint="eastAsia" w:ascii="仿宋" w:hAnsi="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"_Toc17933" </w:instrText>
      </w:r>
      <w:r>
        <w:fldChar w:fldCharType="separate"/>
      </w:r>
      <w:r>
        <w:rPr>
          <w:rFonts w:hint="eastAsia" w:ascii="仿宋" w:hAnsi="仿宋" w:cs="仿宋"/>
        </w:rPr>
        <w:t>四、生态发展，提升协同环境</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_Toc17933 </w:instrText>
      </w:r>
      <w:r>
        <w:rPr>
          <w:rFonts w:hint="eastAsia" w:ascii="仿宋" w:hAnsi="仿宋" w:cs="仿宋"/>
        </w:rPr>
        <w:fldChar w:fldCharType="separate"/>
      </w:r>
      <w:r>
        <w:rPr>
          <w:rFonts w:hint="eastAsia" w:ascii="仿宋" w:hAnsi="仿宋" w:cs="仿宋"/>
        </w:rPr>
        <w:t>15</w:t>
      </w:r>
      <w:r>
        <w:rPr>
          <w:rFonts w:hint="eastAsia" w:ascii="仿宋" w:hAnsi="仿宋" w:cs="仿宋"/>
        </w:rPr>
        <w:fldChar w:fldCharType="end"/>
      </w:r>
      <w:r>
        <w:rPr>
          <w:rFonts w:hint="eastAsia" w:ascii="仿宋" w:hAnsi="仿宋" w:cs="仿宋"/>
        </w:rPr>
        <w:fldChar w:fldCharType="end"/>
      </w:r>
    </w:p>
    <w:p>
      <w:pPr>
        <w:pStyle w:val="11"/>
        <w:tabs>
          <w:tab w:val="right" w:leader="dot" w:pos="8306"/>
          <w:tab w:val="clear" w:pos="8296"/>
        </w:tabs>
        <w:spacing w:line="600" w:lineRule="exact"/>
        <w:rPr>
          <w:rFonts w:ascii="仿宋" w:hAnsi="仿宋" w:eastAsia="仿宋" w:cs="仿宋"/>
        </w:rPr>
      </w:pPr>
      <w:r>
        <w:fldChar w:fldCharType="begin"/>
      </w:r>
      <w:r>
        <w:instrText xml:space="preserve"> HYPERLINK \l "_Toc9662" </w:instrText>
      </w:r>
      <w:r>
        <w:fldChar w:fldCharType="separate"/>
      </w:r>
      <w:r>
        <w:rPr>
          <w:rFonts w:hint="eastAsia" w:ascii="仿宋" w:hAnsi="仿宋" w:eastAsia="仿宋" w:cs="仿宋"/>
        </w:rPr>
        <w:t>第四章 北辰区融入京津冀协同发展的重点任务</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_Toc9662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"_Toc23311" </w:instrText>
      </w:r>
      <w:r>
        <w:fldChar w:fldCharType="separate"/>
      </w:r>
      <w:r>
        <w:rPr>
          <w:rFonts w:hint="eastAsia" w:ascii="仿宋" w:hAnsi="仿宋" w:cs="仿宋"/>
        </w:rPr>
        <w:t>一、聚力“高质量”，打造产业协同发展体系</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_Toc23311 </w:instrText>
      </w:r>
      <w:r>
        <w:rPr>
          <w:rFonts w:hint="eastAsia" w:ascii="仿宋" w:hAnsi="仿宋" w:cs="仿宋"/>
        </w:rPr>
        <w:fldChar w:fldCharType="separate"/>
      </w:r>
      <w:r>
        <w:rPr>
          <w:rFonts w:hint="eastAsia" w:ascii="仿宋" w:hAnsi="仿宋" w:cs="仿宋"/>
        </w:rPr>
        <w:t>15</w:t>
      </w:r>
      <w:r>
        <w:rPr>
          <w:rFonts w:hint="eastAsia" w:ascii="仿宋" w:hAnsi="仿宋" w:cs="仿宋"/>
        </w:rPr>
        <w:fldChar w:fldCharType="end"/>
      </w:r>
      <w:r>
        <w:rPr>
          <w:rFonts w:hint="eastAsia" w:ascii="仿宋" w:hAnsi="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"_Toc5219" </w:instrText>
      </w:r>
      <w:r>
        <w:fldChar w:fldCharType="separate"/>
      </w:r>
      <w:r>
        <w:rPr>
          <w:rFonts w:hint="eastAsia" w:ascii="仿宋" w:hAnsi="仿宋" w:cs="仿宋"/>
        </w:rPr>
        <w:t>二、聚焦“高水平”，优化科技创新发展高地</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_Toc5219 </w:instrText>
      </w:r>
      <w:r>
        <w:rPr>
          <w:rFonts w:hint="eastAsia" w:ascii="仿宋" w:hAnsi="仿宋" w:cs="仿宋"/>
        </w:rPr>
        <w:fldChar w:fldCharType="separate"/>
      </w:r>
      <w:r>
        <w:rPr>
          <w:rFonts w:hint="eastAsia" w:ascii="仿宋" w:hAnsi="仿宋" w:cs="仿宋"/>
        </w:rPr>
        <w:t>24</w:t>
      </w:r>
      <w:r>
        <w:rPr>
          <w:rFonts w:hint="eastAsia" w:ascii="仿宋" w:hAnsi="仿宋" w:cs="仿宋"/>
        </w:rPr>
        <w:fldChar w:fldCharType="end"/>
      </w:r>
      <w:r>
        <w:rPr>
          <w:rFonts w:hint="eastAsia" w:ascii="仿宋" w:hAnsi="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"_Toc6463" </w:instrText>
      </w:r>
      <w:r>
        <w:fldChar w:fldCharType="separate"/>
      </w:r>
      <w:r>
        <w:rPr>
          <w:rFonts w:hint="eastAsia" w:ascii="仿宋" w:hAnsi="仿宋" w:cs="仿宋"/>
        </w:rPr>
        <w:t>三、聚势“高标准”，构筑交通互联互通网络</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_Toc6463 </w:instrText>
      </w:r>
      <w:r>
        <w:rPr>
          <w:rFonts w:hint="eastAsia" w:ascii="仿宋" w:hAnsi="仿宋" w:cs="仿宋"/>
        </w:rPr>
        <w:fldChar w:fldCharType="separate"/>
      </w:r>
      <w:r>
        <w:rPr>
          <w:rFonts w:hint="eastAsia" w:ascii="仿宋" w:hAnsi="仿宋" w:cs="仿宋"/>
        </w:rPr>
        <w:t>29</w:t>
      </w:r>
      <w:r>
        <w:rPr>
          <w:rFonts w:hint="eastAsia" w:ascii="仿宋" w:hAnsi="仿宋" w:cs="仿宋"/>
        </w:rPr>
        <w:fldChar w:fldCharType="end"/>
      </w:r>
      <w:r>
        <w:rPr>
          <w:rFonts w:hint="eastAsia" w:ascii="仿宋" w:hAnsi="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"_Toc526" </w:instrText>
      </w:r>
      <w:r>
        <w:fldChar w:fldCharType="separate"/>
      </w:r>
      <w:r>
        <w:rPr>
          <w:rFonts w:hint="eastAsia" w:ascii="仿宋" w:hAnsi="仿宋" w:cs="仿宋"/>
        </w:rPr>
        <w:t>四、聚合“高能级”，促进城乡统筹联动发展</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_Toc526 </w:instrText>
      </w:r>
      <w:r>
        <w:rPr>
          <w:rFonts w:hint="eastAsia" w:ascii="仿宋" w:hAnsi="仿宋" w:cs="仿宋"/>
        </w:rPr>
        <w:fldChar w:fldCharType="separate"/>
      </w:r>
      <w:r>
        <w:rPr>
          <w:rFonts w:hint="eastAsia" w:ascii="仿宋" w:hAnsi="仿宋" w:cs="仿宋"/>
        </w:rPr>
        <w:t>31</w:t>
      </w:r>
      <w:r>
        <w:rPr>
          <w:rFonts w:hint="eastAsia" w:ascii="仿宋" w:hAnsi="仿宋" w:cs="仿宋"/>
        </w:rPr>
        <w:fldChar w:fldCharType="end"/>
      </w:r>
      <w:r>
        <w:rPr>
          <w:rFonts w:hint="eastAsia" w:ascii="仿宋" w:hAnsi="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"_Toc937" </w:instrText>
      </w:r>
      <w:r>
        <w:fldChar w:fldCharType="separate"/>
      </w:r>
      <w:r>
        <w:rPr>
          <w:rFonts w:hint="eastAsia" w:ascii="仿宋" w:hAnsi="仿宋" w:cs="仿宋"/>
        </w:rPr>
        <w:t>五、聚心“高品质”，加强生态环境联保共治</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_Toc937 </w:instrText>
      </w:r>
      <w:r>
        <w:rPr>
          <w:rFonts w:hint="eastAsia" w:ascii="仿宋" w:hAnsi="仿宋" w:cs="仿宋"/>
        </w:rPr>
        <w:fldChar w:fldCharType="separate"/>
      </w:r>
      <w:r>
        <w:rPr>
          <w:rFonts w:hint="eastAsia" w:ascii="仿宋" w:hAnsi="仿宋" w:cs="仿宋"/>
        </w:rPr>
        <w:t>34</w:t>
      </w:r>
      <w:r>
        <w:rPr>
          <w:rFonts w:hint="eastAsia" w:ascii="仿宋" w:hAnsi="仿宋" w:cs="仿宋"/>
        </w:rPr>
        <w:fldChar w:fldCharType="end"/>
      </w:r>
      <w:r>
        <w:rPr>
          <w:rFonts w:hint="eastAsia" w:ascii="仿宋" w:hAnsi="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"_Toc9265" </w:instrText>
      </w:r>
      <w:r>
        <w:fldChar w:fldCharType="separate"/>
      </w:r>
      <w:r>
        <w:rPr>
          <w:rFonts w:hint="eastAsia" w:ascii="仿宋" w:hAnsi="仿宋" w:cs="仿宋"/>
        </w:rPr>
        <w:t>六、聚智“高效能”，提升公共服务互惠共享</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_Toc9265 </w:instrText>
      </w:r>
      <w:r>
        <w:rPr>
          <w:rFonts w:hint="eastAsia" w:ascii="仿宋" w:hAnsi="仿宋" w:cs="仿宋"/>
        </w:rPr>
        <w:fldChar w:fldCharType="separate"/>
      </w:r>
      <w:r>
        <w:rPr>
          <w:rFonts w:hint="eastAsia" w:ascii="仿宋" w:hAnsi="仿宋" w:cs="仿宋"/>
        </w:rPr>
        <w:t>37</w:t>
      </w:r>
      <w:r>
        <w:rPr>
          <w:rFonts w:hint="eastAsia" w:ascii="仿宋" w:hAnsi="仿宋" w:cs="仿宋"/>
        </w:rPr>
        <w:fldChar w:fldCharType="end"/>
      </w:r>
      <w:r>
        <w:rPr>
          <w:rFonts w:hint="eastAsia" w:ascii="仿宋" w:hAnsi="仿宋" w:cs="仿宋"/>
        </w:rPr>
        <w:fldChar w:fldCharType="end"/>
      </w:r>
    </w:p>
    <w:p>
      <w:pPr>
        <w:pStyle w:val="11"/>
        <w:tabs>
          <w:tab w:val="right" w:leader="dot" w:pos="8306"/>
          <w:tab w:val="clear" w:pos="8296"/>
        </w:tabs>
        <w:spacing w:line="600" w:lineRule="exact"/>
        <w:rPr>
          <w:rFonts w:ascii="仿宋" w:hAnsi="仿宋" w:eastAsia="仿宋" w:cs="仿宋"/>
        </w:rPr>
      </w:pPr>
      <w:r>
        <w:fldChar w:fldCharType="begin"/>
      </w:r>
      <w:r>
        <w:instrText xml:space="preserve"> HYPERLINK \l "_Toc1599" </w:instrText>
      </w:r>
      <w:r>
        <w:fldChar w:fldCharType="separate"/>
      </w:r>
      <w:r>
        <w:rPr>
          <w:rFonts w:hint="eastAsia" w:ascii="仿宋" w:hAnsi="仿宋" w:eastAsia="仿宋" w:cs="仿宋"/>
          <w:szCs w:val="40"/>
        </w:rPr>
        <w:t>第五章 保障措施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_Toc1599 </w:instrText>
      </w:r>
      <w:r>
        <w:rPr>
          <w:rFonts w:hint="eastAsia" w:ascii="仿宋" w:hAnsi="仿宋" w:eastAsia="仿宋" w:cs="仿宋"/>
        </w:rPr>
        <w:fldChar w:fldCharType="separate"/>
      </w:r>
      <w:r>
        <w:rPr>
          <w:rFonts w:hint="eastAsia" w:ascii="仿宋" w:hAnsi="仿宋" w:eastAsia="仿宋" w:cs="仿宋"/>
        </w:rPr>
        <w:t>40</w:t>
      </w:r>
      <w:r>
        <w:rPr>
          <w:rFonts w:hint="eastAsia" w:ascii="仿宋" w:hAnsi="仿宋" w:eastAsia="仿宋" w:cs="仿宋"/>
        </w:rPr>
        <w:fldChar w:fldCharType="end"/>
      </w:r>
      <w:r>
        <w:rPr>
          <w:rFonts w:hint="eastAsia" w:ascii="仿宋" w:hAnsi="仿宋" w:eastAsia="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"_Toc14870" </w:instrText>
      </w:r>
      <w:r>
        <w:fldChar w:fldCharType="separate"/>
      </w:r>
      <w:r>
        <w:rPr>
          <w:rFonts w:hint="eastAsia" w:ascii="仿宋" w:hAnsi="仿宋" w:cs="仿宋"/>
        </w:rPr>
        <w:t>一、强化产业承接对接</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_Toc14870 </w:instrText>
      </w:r>
      <w:r>
        <w:rPr>
          <w:rFonts w:hint="eastAsia" w:ascii="仿宋" w:hAnsi="仿宋" w:cs="仿宋"/>
        </w:rPr>
        <w:fldChar w:fldCharType="separate"/>
      </w:r>
      <w:r>
        <w:rPr>
          <w:rFonts w:hint="eastAsia" w:ascii="仿宋" w:hAnsi="仿宋" w:cs="仿宋"/>
        </w:rPr>
        <w:t>40</w:t>
      </w:r>
      <w:r>
        <w:rPr>
          <w:rFonts w:hint="eastAsia" w:ascii="仿宋" w:hAnsi="仿宋" w:cs="仿宋"/>
        </w:rPr>
        <w:fldChar w:fldCharType="end"/>
      </w:r>
      <w:r>
        <w:rPr>
          <w:rFonts w:hint="eastAsia" w:ascii="仿宋" w:hAnsi="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"_Toc25018" </w:instrText>
      </w:r>
      <w:r>
        <w:fldChar w:fldCharType="separate"/>
      </w:r>
      <w:r>
        <w:rPr>
          <w:rFonts w:hint="eastAsia" w:ascii="仿宋" w:hAnsi="仿宋" w:cs="仿宋"/>
        </w:rPr>
        <w:t>二、创新招商引智方式</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_Toc25018 </w:instrText>
      </w:r>
      <w:r>
        <w:rPr>
          <w:rFonts w:hint="eastAsia" w:ascii="仿宋" w:hAnsi="仿宋" w:cs="仿宋"/>
        </w:rPr>
        <w:fldChar w:fldCharType="separate"/>
      </w:r>
      <w:r>
        <w:rPr>
          <w:rFonts w:hint="eastAsia" w:ascii="仿宋" w:hAnsi="仿宋" w:cs="仿宋"/>
        </w:rPr>
        <w:t>42</w:t>
      </w:r>
      <w:r>
        <w:rPr>
          <w:rFonts w:hint="eastAsia" w:ascii="仿宋" w:hAnsi="仿宋" w:cs="仿宋"/>
        </w:rPr>
        <w:fldChar w:fldCharType="end"/>
      </w:r>
      <w:r>
        <w:rPr>
          <w:rFonts w:hint="eastAsia" w:ascii="仿宋" w:hAnsi="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"_Toc28100" </w:instrText>
      </w:r>
      <w:r>
        <w:fldChar w:fldCharType="separate"/>
      </w:r>
      <w:r>
        <w:rPr>
          <w:rFonts w:hint="eastAsia" w:ascii="仿宋" w:hAnsi="仿宋" w:cs="仿宋"/>
        </w:rPr>
        <w:t>三、加强统筹协调机制</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_Toc28100 </w:instrText>
      </w:r>
      <w:r>
        <w:rPr>
          <w:rFonts w:hint="eastAsia" w:ascii="仿宋" w:hAnsi="仿宋" w:cs="仿宋"/>
        </w:rPr>
        <w:fldChar w:fldCharType="separate"/>
      </w:r>
      <w:r>
        <w:rPr>
          <w:rFonts w:hint="eastAsia" w:ascii="仿宋" w:hAnsi="仿宋" w:cs="仿宋"/>
        </w:rPr>
        <w:t>43</w:t>
      </w:r>
      <w:r>
        <w:rPr>
          <w:rFonts w:hint="eastAsia" w:ascii="仿宋" w:hAnsi="仿宋" w:cs="仿宋"/>
        </w:rPr>
        <w:fldChar w:fldCharType="end"/>
      </w:r>
      <w:r>
        <w:rPr>
          <w:rFonts w:hint="eastAsia" w:ascii="仿宋" w:hAnsi="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"_Toc7027" </w:instrText>
      </w:r>
      <w:r>
        <w:fldChar w:fldCharType="separate"/>
      </w:r>
      <w:r>
        <w:rPr>
          <w:rFonts w:hint="eastAsia" w:ascii="仿宋" w:hAnsi="仿宋" w:cs="仿宋"/>
        </w:rPr>
        <w:t>四、做好资源优化配置</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_Toc7027 </w:instrText>
      </w:r>
      <w:r>
        <w:rPr>
          <w:rFonts w:hint="eastAsia" w:ascii="仿宋" w:hAnsi="仿宋" w:cs="仿宋"/>
        </w:rPr>
        <w:fldChar w:fldCharType="separate"/>
      </w:r>
      <w:r>
        <w:rPr>
          <w:rFonts w:hint="eastAsia" w:ascii="仿宋" w:hAnsi="仿宋" w:cs="仿宋"/>
        </w:rPr>
        <w:t>44</w:t>
      </w:r>
      <w:r>
        <w:rPr>
          <w:rFonts w:hint="eastAsia" w:ascii="仿宋" w:hAnsi="仿宋" w:cs="仿宋"/>
        </w:rPr>
        <w:fldChar w:fldCharType="end"/>
      </w:r>
      <w:r>
        <w:rPr>
          <w:rFonts w:hint="eastAsia" w:ascii="仿宋" w:hAnsi="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"_Toc19698" </w:instrText>
      </w:r>
      <w:r>
        <w:fldChar w:fldCharType="separate"/>
      </w:r>
      <w:r>
        <w:rPr>
          <w:rFonts w:hint="eastAsia" w:ascii="仿宋" w:hAnsi="仿宋" w:cs="仿宋"/>
        </w:rPr>
        <w:t>五、优化金融服务体系</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_Toc19698 </w:instrText>
      </w:r>
      <w:r>
        <w:rPr>
          <w:rFonts w:hint="eastAsia" w:ascii="仿宋" w:hAnsi="仿宋" w:cs="仿宋"/>
        </w:rPr>
        <w:fldChar w:fldCharType="separate"/>
      </w:r>
      <w:r>
        <w:rPr>
          <w:rFonts w:hint="eastAsia" w:ascii="仿宋" w:hAnsi="仿宋" w:cs="仿宋"/>
        </w:rPr>
        <w:t>45</w:t>
      </w:r>
      <w:r>
        <w:rPr>
          <w:rFonts w:hint="eastAsia" w:ascii="仿宋" w:hAnsi="仿宋" w:cs="仿宋"/>
        </w:rPr>
        <w:fldChar w:fldCharType="end"/>
      </w:r>
      <w:r>
        <w:rPr>
          <w:rFonts w:hint="eastAsia" w:ascii="仿宋" w:hAnsi="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"_Toc14587" </w:instrText>
      </w:r>
      <w:r>
        <w:fldChar w:fldCharType="separate"/>
      </w:r>
      <w:r>
        <w:rPr>
          <w:rFonts w:hint="eastAsia" w:ascii="仿宋" w:hAnsi="仿宋" w:cs="仿宋"/>
        </w:rPr>
        <w:t>六、创新人才服务环境</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_Toc14587 </w:instrText>
      </w:r>
      <w:r>
        <w:rPr>
          <w:rFonts w:hint="eastAsia" w:ascii="仿宋" w:hAnsi="仿宋" w:cs="仿宋"/>
        </w:rPr>
        <w:fldChar w:fldCharType="separate"/>
      </w:r>
      <w:r>
        <w:rPr>
          <w:rFonts w:hint="eastAsia" w:ascii="仿宋" w:hAnsi="仿宋" w:cs="仿宋"/>
        </w:rPr>
        <w:t>45</w:t>
      </w:r>
      <w:r>
        <w:rPr>
          <w:rFonts w:hint="eastAsia" w:ascii="仿宋" w:hAnsi="仿宋" w:cs="仿宋"/>
        </w:rPr>
        <w:fldChar w:fldCharType="end"/>
      </w:r>
      <w:r>
        <w:rPr>
          <w:rFonts w:hint="eastAsia" w:ascii="仿宋" w:hAnsi="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"_Toc8897" </w:instrText>
      </w:r>
      <w:r>
        <w:fldChar w:fldCharType="separate"/>
      </w:r>
      <w:r>
        <w:rPr>
          <w:rFonts w:hint="eastAsia" w:ascii="仿宋" w:hAnsi="仿宋" w:cs="仿宋"/>
        </w:rPr>
        <w:t>七、优化机制体制创新</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_Toc8897 </w:instrText>
      </w:r>
      <w:r>
        <w:rPr>
          <w:rFonts w:hint="eastAsia" w:ascii="仿宋" w:hAnsi="仿宋" w:cs="仿宋"/>
        </w:rPr>
        <w:fldChar w:fldCharType="separate"/>
      </w:r>
      <w:r>
        <w:rPr>
          <w:rFonts w:hint="eastAsia" w:ascii="仿宋" w:hAnsi="仿宋" w:cs="仿宋"/>
        </w:rPr>
        <w:t>46</w:t>
      </w:r>
      <w:r>
        <w:rPr>
          <w:rFonts w:hint="eastAsia" w:ascii="仿宋" w:hAnsi="仿宋" w:cs="仿宋"/>
        </w:rPr>
        <w:fldChar w:fldCharType="end"/>
      </w:r>
      <w:r>
        <w:rPr>
          <w:rFonts w:hint="eastAsia" w:ascii="仿宋" w:hAnsi="仿宋" w:cs="仿宋"/>
        </w:rPr>
        <w:fldChar w:fldCharType="end"/>
      </w:r>
    </w:p>
    <w:p>
      <w:pPr>
        <w:pStyle w:val="12"/>
        <w:tabs>
          <w:tab w:val="right" w:leader="dot" w:pos="8306"/>
        </w:tabs>
        <w:spacing w:line="600" w:lineRule="exact"/>
        <w:ind w:left="640"/>
        <w:rPr>
          <w:rFonts w:ascii="仿宋" w:hAnsi="仿宋" w:cs="仿宋"/>
        </w:rPr>
      </w:pPr>
      <w:r>
        <w:fldChar w:fldCharType="begin"/>
      </w:r>
      <w:r>
        <w:instrText xml:space="preserve"> HYPERLINK \l "_Toc3452" </w:instrText>
      </w:r>
      <w:r>
        <w:fldChar w:fldCharType="separate"/>
      </w:r>
      <w:r>
        <w:rPr>
          <w:rFonts w:hint="eastAsia" w:ascii="仿宋" w:hAnsi="仿宋" w:cs="仿宋"/>
        </w:rPr>
        <w:t>八、健全城乡融合机制</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_Toc3452 </w:instrText>
      </w:r>
      <w:r>
        <w:rPr>
          <w:rFonts w:hint="eastAsia" w:ascii="仿宋" w:hAnsi="仿宋" w:cs="仿宋"/>
        </w:rPr>
        <w:fldChar w:fldCharType="separate"/>
      </w:r>
      <w:r>
        <w:rPr>
          <w:rFonts w:hint="eastAsia" w:ascii="仿宋" w:hAnsi="仿宋" w:cs="仿宋"/>
        </w:rPr>
        <w:t>47</w:t>
      </w:r>
      <w:r>
        <w:rPr>
          <w:rFonts w:hint="eastAsia" w:ascii="仿宋" w:hAnsi="仿宋" w:cs="仿宋"/>
        </w:rPr>
        <w:fldChar w:fldCharType="end"/>
      </w:r>
      <w:r>
        <w:rPr>
          <w:rFonts w:hint="eastAsia" w:ascii="仿宋" w:hAnsi="仿宋" w:cs="仿宋"/>
        </w:rPr>
        <w:fldChar w:fldCharType="end"/>
      </w:r>
    </w:p>
    <w:p>
      <w:pPr>
        <w:pStyle w:val="11"/>
        <w:tabs>
          <w:tab w:val="right" w:leader="dot" w:pos="8306"/>
          <w:tab w:val="clear" w:pos="8296"/>
        </w:tabs>
        <w:spacing w:line="600" w:lineRule="exact"/>
        <w:rPr>
          <w:rFonts w:ascii="仿宋" w:hAnsi="仿宋" w:eastAsia="仿宋" w:cs="仿宋"/>
        </w:rPr>
      </w:pPr>
      <w:r>
        <w:fldChar w:fldCharType="begin"/>
      </w:r>
      <w:r>
        <w:instrText xml:space="preserve"> HYPERLINK \l "_Toc17" </w:instrText>
      </w:r>
      <w:r>
        <w:fldChar w:fldCharType="separate"/>
      </w:r>
      <w:r>
        <w:rPr>
          <w:rFonts w:hint="eastAsia" w:ascii="仿宋" w:hAnsi="仿宋" w:eastAsia="仿宋" w:cs="仿宋"/>
          <w:szCs w:val="40"/>
          <w:highlight w:val="none"/>
        </w:rPr>
        <w:t>附件1：</w:t>
      </w:r>
      <w:r>
        <w:rPr>
          <w:rFonts w:hint="eastAsia" w:ascii="仿宋" w:hAnsi="仿宋" w:eastAsia="仿宋" w:cs="仿宋"/>
          <w:szCs w:val="40"/>
        </w:rPr>
        <w:t>规划范围与依据</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 </w:instrText>
      </w:r>
      <w:r>
        <w:rPr>
          <w:rFonts w:hint="eastAsia" w:ascii="仿宋" w:hAnsi="仿宋" w:eastAsia="仿宋" w:cs="仿宋"/>
        </w:rPr>
        <w:fldChar w:fldCharType="separate"/>
      </w:r>
      <w:r>
        <w:rPr>
          <w:rFonts w:hint="eastAsia" w:ascii="仿宋" w:hAnsi="仿宋" w:eastAsia="仿宋" w:cs="仿宋"/>
        </w:rPr>
        <w:t>48</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306"/>
          <w:tab w:val="clear" w:pos="8296"/>
        </w:tabs>
        <w:spacing w:line="600" w:lineRule="exact"/>
        <w:jc w:val="left"/>
        <w:rPr>
          <w:rFonts w:ascii="仿宋" w:hAnsi="仿宋" w:eastAsia="仿宋" w:cs="仿宋"/>
          <w:szCs w:val="40"/>
        </w:rPr>
      </w:pPr>
      <w:r>
        <w:rPr>
          <w:rFonts w:hint="eastAsia" w:ascii="仿宋" w:hAnsi="仿宋" w:eastAsia="仿宋" w:cs="仿宋"/>
          <w:szCs w:val="40"/>
          <w:highlight w:val="none"/>
        </w:rPr>
        <w:t>附件2：</w:t>
      </w:r>
      <w:r>
        <w:rPr>
          <w:rFonts w:hint="eastAsia" w:ascii="仿宋" w:hAnsi="仿宋" w:eastAsia="仿宋" w:cs="仿宋"/>
          <w:szCs w:val="40"/>
        </w:rPr>
        <w:t>虚拟大学科技园</w:t>
      </w:r>
      <w:r>
        <w:rPr>
          <w:rFonts w:hint="eastAsia" w:ascii="仿宋" w:hAnsi="仿宋" w:eastAsia="仿宋" w:cs="仿宋"/>
          <w:szCs w:val="40"/>
          <w:lang w:eastAsia="zh-CN"/>
        </w:rPr>
        <w:t>、</w:t>
      </w:r>
      <w:r>
        <w:rPr>
          <w:rFonts w:ascii="Times New Roman" w:hAnsi="Times New Roman" w:eastAsia="仿宋"/>
          <w:szCs w:val="40"/>
        </w:rPr>
        <w:t>SOD</w:t>
      </w:r>
      <w:r>
        <w:rPr>
          <w:rFonts w:hint="eastAsia" w:ascii="仿宋" w:hAnsi="仿宋" w:eastAsia="仿宋" w:cs="仿宋"/>
          <w:szCs w:val="40"/>
          <w:lang w:val="en-US" w:eastAsia="zh-CN"/>
        </w:rPr>
        <w:t>和</w:t>
      </w:r>
      <w:r>
        <w:rPr>
          <w:rFonts w:hint="eastAsia" w:ascii="Times New Roman" w:hAnsi="Times New Roman" w:eastAsia="仿宋" w:cs="Times New Roman"/>
          <w:szCs w:val="40"/>
          <w:lang w:val="en-US" w:eastAsia="zh-CN"/>
        </w:rPr>
        <w:t>CID</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 </w:instrText>
      </w:r>
      <w:r>
        <w:rPr>
          <w:rFonts w:hint="eastAsia" w:ascii="仿宋" w:hAnsi="仿宋" w:eastAsia="仿宋" w:cs="仿宋"/>
        </w:rPr>
        <w:fldChar w:fldCharType="separate"/>
      </w:r>
      <w:r>
        <w:rPr>
          <w:rFonts w:hint="eastAsia" w:ascii="仿宋" w:hAnsi="仿宋" w:eastAsia="仿宋" w:cs="仿宋"/>
        </w:rPr>
        <w:t>48</w:t>
      </w:r>
      <w:r>
        <w:rPr>
          <w:rFonts w:hint="eastAsia" w:ascii="仿宋" w:hAnsi="仿宋" w:eastAsia="仿宋" w:cs="仿宋"/>
        </w:rPr>
        <w:fldChar w:fldCharType="end"/>
      </w:r>
    </w:p>
    <w:p>
      <w:pPr>
        <w:spacing w:line="600" w:lineRule="exact"/>
      </w:pPr>
    </w:p>
    <w:p>
      <w:pPr>
        <w:pStyle w:val="4"/>
        <w:spacing w:line="600" w:lineRule="exact"/>
        <w:jc w:val="both"/>
        <w:rPr>
          <w:rFonts w:ascii="仿宋" w:hAnsi="仿宋" w:eastAsia="仿宋" w:cs="仿宋"/>
        </w:rPr>
      </w:pPr>
      <w:r>
        <w:rPr>
          <w:rFonts w:hint="eastAsia" w:ascii="仿宋" w:hAnsi="仿宋" w:eastAsia="仿宋" w:cs="仿宋"/>
          <w:szCs w:val="28"/>
        </w:rPr>
        <w:fldChar w:fldCharType="end"/>
      </w:r>
    </w:p>
    <w:bookmarkEnd w:id="0"/>
    <w:p>
      <w:pPr>
        <w:spacing w:line="600" w:lineRule="exact"/>
        <w:rPr>
          <w:rFonts w:ascii="仿宋" w:hAnsi="仿宋" w:cs="仿宋"/>
        </w:rPr>
        <w:sectPr>
          <w:pgSz w:w="11906" w:h="16838"/>
          <w:pgMar w:top="1440" w:right="1800" w:bottom="1440" w:left="1800" w:header="851" w:footer="992" w:gutter="0"/>
          <w:pgNumType w:fmt="upperRoman" w:start="1"/>
          <w:cols w:space="425" w:num="1"/>
          <w:docGrid w:type="lines" w:linePitch="435" w:charSpace="0"/>
        </w:sectPr>
      </w:pPr>
    </w:p>
    <w:p>
      <w:pPr>
        <w:widowControl w:val="0"/>
        <w:spacing w:line="600" w:lineRule="exact"/>
        <w:ind w:firstLine="640" w:firstLineChars="200"/>
        <w:rPr>
          <w:szCs w:val="32"/>
        </w:rPr>
      </w:pPr>
      <w:r>
        <w:rPr>
          <w:rFonts w:hint="eastAsia" w:ascii="仿宋" w:hAnsi="仿宋" w:eastAsia="仿宋" w:cs="仿宋"/>
          <w:szCs w:val="32"/>
        </w:rPr>
        <w:t>“十四五”</w:t>
      </w:r>
      <w:r>
        <w:rPr>
          <w:szCs w:val="32"/>
        </w:rPr>
        <w:t>时期（2021-2025年）是我国</w:t>
      </w:r>
      <w:r>
        <w:rPr>
          <w:rFonts w:hint="eastAsia"/>
          <w:szCs w:val="32"/>
        </w:rPr>
        <w:t>在建成小康社会基础上开启</w:t>
      </w:r>
      <w:r>
        <w:rPr>
          <w:szCs w:val="32"/>
        </w:rPr>
        <w:t>全面建设社会主义现代化国家新征程的第一个五年，是</w:t>
      </w:r>
      <w:r>
        <w:rPr>
          <w:rFonts w:hint="eastAsia"/>
          <w:szCs w:val="32"/>
        </w:rPr>
        <w:t>京津冀高质量协同发展的</w:t>
      </w:r>
      <w:r>
        <w:rPr>
          <w:szCs w:val="32"/>
        </w:rPr>
        <w:t>关键五年。</w:t>
      </w:r>
      <w:r>
        <w:rPr>
          <w:rFonts w:hint="eastAsia"/>
          <w:szCs w:val="32"/>
        </w:rPr>
        <w:t>在国内外经济社会发展形势发生重大变化背景下，</w:t>
      </w:r>
      <w:r>
        <w:rPr>
          <w:szCs w:val="32"/>
        </w:rPr>
        <w:t>科学编制并实施好</w:t>
      </w:r>
      <w:r>
        <w:rPr>
          <w:rFonts w:hint="eastAsia"/>
          <w:szCs w:val="32"/>
        </w:rPr>
        <w:t>北辰融入京津冀协同发展</w:t>
      </w:r>
      <w:r>
        <w:rPr>
          <w:szCs w:val="32"/>
        </w:rPr>
        <w:t>第十四个五年规划，对于</w:t>
      </w:r>
      <w:r>
        <w:rPr>
          <w:rFonts w:hint="eastAsia"/>
          <w:szCs w:val="32"/>
        </w:rPr>
        <w:t>更好地承接北京非首都功能疏解，建设京津冀协同发展先行区，</w:t>
      </w:r>
      <w:r>
        <w:rPr>
          <w:szCs w:val="32"/>
        </w:rPr>
        <w:t>推进北辰高质量发展具有重大现实意义和深远历史意义。</w:t>
      </w:r>
    </w:p>
    <w:p>
      <w:pPr>
        <w:spacing w:line="600" w:lineRule="exact"/>
        <w:ind w:firstLine="640"/>
        <w:rPr>
          <w:rFonts w:ascii="仿宋" w:hAnsi="仿宋" w:cs="仿宋"/>
          <w:kern w:val="2"/>
          <w:szCs w:val="24"/>
        </w:rPr>
      </w:pPr>
    </w:p>
    <w:p>
      <w:pPr>
        <w:pStyle w:val="4"/>
        <w:spacing w:line="600" w:lineRule="exact"/>
        <w:rPr>
          <w:rFonts w:ascii="仿宋" w:hAnsi="仿宋" w:eastAsia="仿宋" w:cs="仿宋"/>
        </w:rPr>
      </w:pPr>
      <w:bookmarkStart w:id="1" w:name="_Toc29470"/>
      <w:r>
        <w:rPr>
          <w:rFonts w:hint="eastAsia" w:ascii="仿宋" w:hAnsi="仿宋" w:eastAsia="仿宋" w:cs="仿宋"/>
        </w:rPr>
        <w:t>第一章  发展基础与环境</w:t>
      </w:r>
      <w:bookmarkEnd w:id="1"/>
    </w:p>
    <w:p>
      <w:pPr>
        <w:widowControl w:val="0"/>
        <w:spacing w:line="600" w:lineRule="exact"/>
        <w:ind w:firstLine="640" w:firstLineChars="200"/>
        <w:rPr>
          <w:szCs w:val="32"/>
        </w:rPr>
      </w:pPr>
      <w:r>
        <w:rPr>
          <w:rFonts w:hint="eastAsia" w:ascii="仿宋" w:hAnsi="仿宋" w:cs="仿宋"/>
          <w:kern w:val="2"/>
          <w:szCs w:val="24"/>
        </w:rPr>
        <w:t>“十三五”以来，北辰区</w:t>
      </w:r>
      <w:r>
        <w:rPr>
          <w:szCs w:val="32"/>
        </w:rPr>
        <w:t>以习近平新时代中国特色社会主义思想为指导，认真落实市委、市政府的决策部署，</w:t>
      </w:r>
      <w:r>
        <w:rPr>
          <w:rFonts w:hint="eastAsia"/>
          <w:szCs w:val="32"/>
        </w:rPr>
        <w:t>以服务北京非首都功能疏解为首要任务，以重点承接平台打造、发展枢纽经济和提高自主创新能力为重点，在产业、交通、生态、公共服务、城乡发展等领域全面融入京津冀协同发展，取得了</w:t>
      </w:r>
      <w:r>
        <w:rPr>
          <w:szCs w:val="32"/>
        </w:rPr>
        <w:t>阶段性成效，</w:t>
      </w:r>
      <w:r>
        <w:rPr>
          <w:rFonts w:hint="eastAsia"/>
          <w:szCs w:val="32"/>
        </w:rPr>
        <w:t>开创</w:t>
      </w:r>
      <w:r>
        <w:rPr>
          <w:szCs w:val="32"/>
        </w:rPr>
        <w:t>了高质量发展的新局面</w:t>
      </w:r>
      <w:r>
        <w:rPr>
          <w:rFonts w:hint="eastAsia"/>
          <w:szCs w:val="32"/>
        </w:rPr>
        <w:t>。</w:t>
      </w:r>
      <w:bookmarkStart w:id="2" w:name="_Toc3609"/>
    </w:p>
    <w:p>
      <w:pPr>
        <w:widowControl w:val="0"/>
        <w:spacing w:line="600" w:lineRule="exact"/>
        <w:ind w:firstLine="640" w:firstLineChars="200"/>
        <w:rPr>
          <w:rFonts w:ascii="黑体" w:hAnsi="黑体" w:eastAsia="黑体" w:cs="仿宋"/>
        </w:rPr>
      </w:pPr>
      <w:r>
        <w:rPr>
          <w:rFonts w:hint="eastAsia" w:ascii="黑体" w:hAnsi="黑体" w:eastAsia="黑体" w:cs="仿宋"/>
        </w:rPr>
        <w:t>一、发展基础</w:t>
      </w:r>
      <w:bookmarkEnd w:id="2"/>
    </w:p>
    <w:p>
      <w:pPr>
        <w:numPr>
          <w:ilvl w:val="255"/>
          <w:numId w:val="0"/>
        </w:numPr>
        <w:spacing w:line="560" w:lineRule="exact"/>
        <w:ind w:firstLine="643" w:firstLineChars="200"/>
        <w:rPr>
          <w:rFonts w:hint="eastAsia" w:ascii="仿宋" w:hAnsi="仿宋" w:cs="仿宋"/>
          <w:szCs w:val="24"/>
        </w:rPr>
      </w:pPr>
      <w:r>
        <w:rPr>
          <w:rFonts w:hint="eastAsia" w:ascii="仿宋" w:hAnsi="仿宋" w:cs="仿宋"/>
          <w:b/>
          <w:bCs/>
          <w:szCs w:val="24"/>
        </w:rPr>
        <w:t>1、主动承接北京非首都功能疏解，抓住协同发展“牛鼻子”。</w:t>
      </w:r>
      <w:r>
        <w:rPr>
          <w:rFonts w:hint="eastAsia" w:ascii="仿宋" w:hAnsi="仿宋" w:cs="仿宋"/>
          <w:szCs w:val="24"/>
        </w:rPr>
        <w:t>强化各种承接对接机制，优化载体平台建设，聚焦智能制造类、生物医药类、新一代信息技术类项目，重点推进国家级产城融合示范区建设，努力打造非首都功能疏解的“</w:t>
      </w:r>
      <w:r>
        <w:rPr>
          <w:rFonts w:hint="eastAsia" w:ascii="仿宋" w:hAnsi="仿宋" w:cs="仿宋"/>
          <w:szCs w:val="24"/>
          <w:highlight w:val="none"/>
        </w:rPr>
        <w:t>微中心</w:t>
      </w:r>
      <w:r>
        <w:rPr>
          <w:rFonts w:hint="eastAsia" w:ascii="仿宋" w:hAnsi="仿宋" w:cs="仿宋"/>
          <w:szCs w:val="24"/>
        </w:rPr>
        <w:t>”。“十三五”期间，累计引进首都项目978个，协议投资额超过1400亿元。爱旭科技太阳能电池、朝亚大数据一期、百特医疗、伊藤忠物流、SMC一期等50个项目竣工投产。</w:t>
      </w:r>
      <w:r>
        <w:rPr>
          <w:rFonts w:hint="eastAsia" w:ascii="仿宋" w:hAnsi="仿宋" w:cs="仿宋"/>
          <w:szCs w:val="24"/>
          <w:lang w:eastAsia="zh-Hans"/>
        </w:rPr>
        <w:t>国家级产城融合示范区建设加快推进，</w:t>
      </w:r>
      <w:r>
        <w:rPr>
          <w:rFonts w:hint="eastAsia" w:ascii="仿宋" w:hAnsi="仿宋" w:cs="仿宋"/>
          <w:szCs w:val="24"/>
        </w:rPr>
        <w:t>高端装备产业园纳入全市“1+16”重点承接平台，10.7平方公里智创园获批天津生物医药（中医药）产业园，绿地全球贸易港展厅对外开放，光华外国语学校、绿地缤纷城等一批生活服务设施加速集聚，双街、大张庄示范镇建设初具规模，北辰郊野公园、千亩栖凤湖生态公园建设成型，初步构建了产城融合、宜居宜业的发展格局。</w:t>
      </w:r>
    </w:p>
    <w:p>
      <w:pPr>
        <w:widowControl w:val="0"/>
        <w:spacing w:line="600" w:lineRule="exact"/>
        <w:ind w:firstLine="643" w:firstLineChars="200"/>
        <w:rPr>
          <w:rFonts w:hint="eastAsia" w:ascii="仿宋" w:hAnsi="仿宋" w:cs="仿宋"/>
          <w:kern w:val="2"/>
          <w:szCs w:val="24"/>
        </w:rPr>
      </w:pPr>
      <w:r>
        <w:rPr>
          <w:rFonts w:hint="eastAsia" w:ascii="仿宋" w:hAnsi="仿宋" w:cs="仿宋"/>
          <w:b/>
          <w:bCs/>
          <w:szCs w:val="24"/>
        </w:rPr>
        <w:t>2、持续推进产业和创新深度融合，种好协同发展“试验田”。</w:t>
      </w:r>
      <w:r>
        <w:rPr>
          <w:rFonts w:hint="eastAsia" w:ascii="仿宋" w:hAnsi="仿宋" w:cs="仿宋"/>
          <w:kern w:val="2"/>
          <w:szCs w:val="24"/>
        </w:rPr>
        <w:t>积极参与京津冀新产业新业态布局，发展高端智能制造，推进智能制造生态体系建设，力促一般性制造业承接向创新成果孵化转化，推进新动能加速集聚。“十三五”期间，国家级高新技术企业累计达到442家、雏鹰企业246家、瞪羚企业26家，“杀手锏”产品达到48个。与河北工业大学合作共建北辰智能装备研究院，建成中重科技、捷强动力等7个国家级、70个市级企业技术中心。上市挂牌企业总数达到</w:t>
      </w:r>
      <w:r>
        <w:rPr>
          <w:rFonts w:hint="eastAsia" w:ascii="仿宋" w:hAnsi="仿宋" w:cs="仿宋"/>
          <w:kern w:val="2"/>
          <w:szCs w:val="24"/>
          <w:lang w:val="en-US" w:eastAsia="zh-CN"/>
        </w:rPr>
        <w:t>80</w:t>
      </w:r>
      <w:r>
        <w:rPr>
          <w:rFonts w:hint="eastAsia" w:ascii="仿宋" w:hAnsi="仿宋" w:cs="仿宋"/>
          <w:kern w:val="2"/>
          <w:szCs w:val="24"/>
        </w:rPr>
        <w:t>家，居全市前列。获评国家级商标战略实施示范区。</w:t>
      </w:r>
    </w:p>
    <w:p>
      <w:pPr>
        <w:spacing w:line="560" w:lineRule="exact"/>
        <w:ind w:firstLine="643" w:firstLineChars="200"/>
        <w:contextualSpacing/>
        <w:rPr>
          <w:rFonts w:hint="eastAsia" w:ascii="仿宋" w:hAnsi="仿宋" w:cs="仿宋"/>
          <w:kern w:val="2"/>
          <w:szCs w:val="24"/>
        </w:rPr>
      </w:pPr>
      <w:r>
        <w:rPr>
          <w:rFonts w:hint="eastAsia" w:ascii="仿宋" w:hAnsi="仿宋" w:cs="仿宋"/>
          <w:b/>
          <w:bCs/>
          <w:kern w:val="2"/>
          <w:szCs w:val="24"/>
        </w:rPr>
        <w:t>3、着力推动公共服务共建共享，培植协同发展“营养土”。</w:t>
      </w:r>
      <w:r>
        <w:rPr>
          <w:rFonts w:hint="eastAsia" w:ascii="仿宋" w:hAnsi="仿宋" w:cs="仿宋"/>
          <w:kern w:val="2"/>
          <w:szCs w:val="24"/>
        </w:rPr>
        <w:t>深化与北京的教育、医疗、应急、防疫等公共服务领域的对接合作，持续实施一批重点公共服务工程项目，促进民生互联互通。与大兴、廊坊组建“京津冀三区市教育联盟”，持续开展交流活动。与北京中日友好医院、北京人民解放军总医院建立远程医疗协作。开展了医用耗材联合采购、落实医师护士区域注册试点、实现医保异地联网结算。落实京津冀专业技术职称互认，“海河英才”行动计划、拔尖人才和“北极星”人才发展计划取得积极成效。建成了主要面向京津冀的曙光水镇、林海果园、郊野公园等一批旅游项目，与承德市兴隆县共建体育旅游项目。</w:t>
      </w:r>
    </w:p>
    <w:p>
      <w:pPr>
        <w:widowControl w:val="0"/>
        <w:spacing w:line="600" w:lineRule="exact"/>
        <w:ind w:firstLine="643" w:firstLineChars="200"/>
        <w:rPr>
          <w:rFonts w:hint="eastAsia" w:ascii="仿宋" w:hAnsi="仿宋" w:cs="仿宋"/>
          <w:kern w:val="2"/>
          <w:szCs w:val="24"/>
        </w:rPr>
      </w:pPr>
      <w:r>
        <w:rPr>
          <w:rFonts w:hint="eastAsia" w:ascii="仿宋" w:hAnsi="仿宋" w:cs="仿宋"/>
          <w:b/>
          <w:bCs/>
          <w:kern w:val="2"/>
          <w:szCs w:val="24"/>
        </w:rPr>
        <w:t>4、率先突破交通和环保领域重点项目任务，注入协同发展“催化剂”。</w:t>
      </w:r>
      <w:r>
        <w:rPr>
          <w:rFonts w:hint="eastAsia" w:ascii="仿宋" w:hAnsi="仿宋" w:cs="仿宋"/>
          <w:kern w:val="2"/>
          <w:szCs w:val="24"/>
        </w:rPr>
        <w:t>集中力量促进一批带动性、互补性、融合性强的交通一体化和生态环境保护的重大项目落地。“十三五”期间，连接京津冀、辐射华北、通达全国的路网骨架逐步形成，在建、运营及规划中的地铁线路7条，京滨城际铁路全面开工，京津塘高速与九园公路、津蓟高速与外环东北部调整线互通立交工程进场施工，外环东北部调整线、杨北公路、九园公路西延东扩全线通车。生态环境质量不断提升，持续关停整治“散乱污”企业，完成散煤治理任务及清洁取暖任务，建成“天眼”系统，实现科技治污。大气、水、土壤治理成效明显。光大国际</w:t>
      </w:r>
      <w:r>
        <w:rPr>
          <w:rFonts w:hint="eastAsia" w:ascii="仿宋" w:hAnsi="仿宋" w:cs="仿宋"/>
          <w:kern w:val="2"/>
          <w:szCs w:val="24"/>
          <w:highlight w:val="none"/>
        </w:rPr>
        <w:t>垃圾</w:t>
      </w:r>
      <w:r>
        <w:rPr>
          <w:rFonts w:hint="eastAsia" w:ascii="仿宋" w:hAnsi="仿宋" w:cs="仿宋"/>
          <w:kern w:val="2"/>
          <w:szCs w:val="24"/>
        </w:rPr>
        <w:t>协同处理项目投入使用，建成全市唯一大件物品</w:t>
      </w:r>
      <w:r>
        <w:rPr>
          <w:rFonts w:hint="eastAsia" w:ascii="仿宋" w:hAnsi="仿宋" w:cs="仿宋"/>
          <w:kern w:val="2"/>
          <w:szCs w:val="24"/>
          <w:highlight w:val="none"/>
        </w:rPr>
        <w:t>垃圾分捡</w:t>
      </w:r>
      <w:r>
        <w:rPr>
          <w:rFonts w:hint="eastAsia" w:ascii="仿宋" w:hAnsi="仿宋" w:cs="仿宋"/>
          <w:kern w:val="2"/>
          <w:szCs w:val="24"/>
        </w:rPr>
        <w:t>中心，垃圾分类走在全市前列。</w:t>
      </w:r>
    </w:p>
    <w:p>
      <w:pPr>
        <w:pStyle w:val="5"/>
        <w:spacing w:line="600" w:lineRule="exact"/>
        <w:ind w:firstLine="643" w:firstLineChars="200"/>
        <w:jc w:val="both"/>
        <w:rPr>
          <w:rFonts w:ascii="仿宋" w:hAnsi="仿宋" w:eastAsia="仿宋" w:cs="仿宋"/>
        </w:rPr>
      </w:pPr>
      <w:bookmarkStart w:id="3" w:name="_Toc26992"/>
      <w:r>
        <w:rPr>
          <w:rFonts w:hint="eastAsia" w:ascii="仿宋" w:hAnsi="仿宋" w:eastAsia="仿宋" w:cs="仿宋"/>
        </w:rPr>
        <w:t>二、存在问题</w:t>
      </w:r>
      <w:bookmarkEnd w:id="3"/>
    </w:p>
    <w:p>
      <w:pPr>
        <w:pStyle w:val="13"/>
        <w:shd w:val="clear" w:color="auto" w:fill="FFFFFF"/>
        <w:spacing w:beforeAutospacing="0" w:afterAutospacing="0" w:line="600" w:lineRule="exact"/>
        <w:ind w:firstLine="538"/>
        <w:jc w:val="both"/>
        <w:rPr>
          <w:rFonts w:ascii="仿宋" w:hAnsi="仿宋" w:cs="仿宋"/>
          <w:kern w:val="2"/>
          <w:sz w:val="32"/>
          <w:szCs w:val="32"/>
          <w:u w:val="none"/>
        </w:rPr>
      </w:pPr>
      <w:r>
        <w:rPr>
          <w:rFonts w:hint="eastAsia" w:ascii="仿宋" w:hAnsi="仿宋" w:cs="仿宋"/>
          <w:kern w:val="2"/>
          <w:sz w:val="32"/>
          <w:szCs w:val="32"/>
        </w:rPr>
        <w:t>京津冀协同发展战略</w:t>
      </w:r>
      <w:r>
        <w:rPr>
          <w:rFonts w:ascii="仿宋" w:hAnsi="仿宋" w:cs="仿宋"/>
          <w:kern w:val="2"/>
          <w:sz w:val="32"/>
          <w:szCs w:val="32"/>
        </w:rPr>
        <w:t>实施</w:t>
      </w:r>
      <w:r>
        <w:rPr>
          <w:rFonts w:hint="eastAsia" w:ascii="仿宋" w:hAnsi="仿宋" w:cs="仿宋"/>
          <w:kern w:val="2"/>
          <w:sz w:val="32"/>
          <w:szCs w:val="32"/>
        </w:rPr>
        <w:t>以来，我区取得了显著成效，但也存在诸多发展中的问题。</w:t>
      </w:r>
      <w:r>
        <w:rPr>
          <w:rFonts w:hint="eastAsia" w:ascii="仿宋" w:hAnsi="仿宋" w:cs="仿宋"/>
          <w:b/>
          <w:sz w:val="32"/>
          <w:szCs w:val="32"/>
        </w:rPr>
        <w:t>一是高层次优质承接平台少。</w:t>
      </w:r>
      <w:r>
        <w:rPr>
          <w:rFonts w:hint="eastAsia" w:ascii="仿宋" w:hAnsi="仿宋" w:cs="仿宋"/>
          <w:kern w:val="2"/>
          <w:sz w:val="32"/>
          <w:szCs w:val="32"/>
        </w:rPr>
        <w:t>京津冀46个专业化、特色化承接平台中，我区只有高端装备制造园入选，与滨海新区、武清区差距较大，尚未形成与北京协同创新合作平台；我区传统载体平台转型发展尚未取得实质性突破，依托互联网打造开放共享的跨界协同创新载体进展缓慢。</w:t>
      </w:r>
      <w:r>
        <w:rPr>
          <w:rFonts w:hint="eastAsia" w:ascii="仿宋" w:hAnsi="仿宋" w:cs="仿宋"/>
          <w:b/>
          <w:bCs/>
          <w:kern w:val="2"/>
          <w:sz w:val="32"/>
          <w:szCs w:val="32"/>
        </w:rPr>
        <w:t>二是承接的好项目大企业少。</w:t>
      </w:r>
      <w:r>
        <w:rPr>
          <w:rFonts w:hint="eastAsia" w:ascii="仿宋" w:hAnsi="仿宋" w:cs="仿宋"/>
          <w:sz w:val="32"/>
          <w:szCs w:val="32"/>
        </w:rPr>
        <w:t>承接北京非首都功能疏解的项目大多是重资产且规模较小，单个项目平均不足2.6亿元；朝亚大数据、迪信通、绿地全球贸易港等优质项目较少且处于建设初期，短期内难以支撑我区经济发展基本面。</w:t>
      </w:r>
      <w:r>
        <w:rPr>
          <w:rFonts w:hint="eastAsia" w:ascii="仿宋" w:hAnsi="仿宋" w:cs="仿宋"/>
          <w:b/>
          <w:bCs/>
          <w:kern w:val="2"/>
          <w:sz w:val="32"/>
          <w:szCs w:val="32"/>
        </w:rPr>
        <w:t>三是承接项目与现有的产业链互补性不强。</w:t>
      </w:r>
      <w:r>
        <w:rPr>
          <w:rFonts w:hint="eastAsia" w:ascii="仿宋" w:hAnsi="仿宋" w:cs="仿宋"/>
          <w:kern w:val="2"/>
          <w:sz w:val="32"/>
          <w:szCs w:val="32"/>
        </w:rPr>
        <w:t>承接北京非首都功能疏解的项目中，以装备制造和房地产开发居多且自成配套体系，与我区四大优势产业链的“补链强链延链”尚有较大提升空间。</w:t>
      </w:r>
      <w:r>
        <w:rPr>
          <w:rFonts w:hint="eastAsia" w:ascii="仿宋" w:hAnsi="仿宋" w:cs="仿宋"/>
          <w:b/>
          <w:bCs/>
          <w:kern w:val="2"/>
          <w:sz w:val="32"/>
          <w:szCs w:val="32"/>
          <w:u w:val="none"/>
        </w:rPr>
        <w:t>四是区域协同创新能力不强。</w:t>
      </w:r>
      <w:r>
        <w:rPr>
          <w:rFonts w:hint="eastAsia" w:ascii="仿宋" w:hAnsi="仿宋" w:cs="仿宋"/>
          <w:kern w:val="2"/>
          <w:sz w:val="32"/>
          <w:szCs w:val="32"/>
          <w:u w:val="none"/>
        </w:rPr>
        <w:t>我区引育重点项目重资产多、轻资产少，</w:t>
      </w:r>
      <w:r>
        <w:rPr>
          <w:rFonts w:hint="eastAsia" w:ascii="仿宋" w:hAnsi="仿宋" w:cs="仿宋"/>
          <w:kern w:val="2"/>
          <w:sz w:val="32"/>
          <w:szCs w:val="32"/>
          <w:u w:val="none"/>
        </w:rPr>
        <w:tab/>
      </w:r>
      <w:r>
        <w:rPr>
          <w:rFonts w:hint="eastAsia" w:ascii="仿宋" w:hAnsi="仿宋" w:cs="仿宋"/>
          <w:kern w:val="2"/>
          <w:sz w:val="32"/>
          <w:szCs w:val="32"/>
          <w:u w:val="none"/>
        </w:rPr>
        <w:t>躯干企业多、头部企业少，科研创新类、生产服务类项目占比不高，创新链与产业链融合不够，与京津冀协同创新嵌入不深。</w:t>
      </w:r>
      <w:r>
        <w:rPr>
          <w:rFonts w:hint="eastAsia" w:ascii="仿宋" w:hAnsi="仿宋" w:cs="仿宋"/>
          <w:b/>
          <w:bCs/>
          <w:kern w:val="2"/>
          <w:sz w:val="32"/>
          <w:szCs w:val="32"/>
          <w:u w:val="none"/>
        </w:rPr>
        <w:t>五是招商环境不够</w:t>
      </w:r>
      <w:r>
        <w:rPr>
          <w:rFonts w:ascii="仿宋" w:hAnsi="仿宋" w:cs="仿宋"/>
          <w:b/>
          <w:bCs/>
          <w:kern w:val="2"/>
          <w:sz w:val="32"/>
          <w:szCs w:val="32"/>
          <w:u w:val="none"/>
        </w:rPr>
        <w:t>优化</w:t>
      </w:r>
      <w:r>
        <w:rPr>
          <w:rFonts w:hint="eastAsia" w:ascii="仿宋" w:hAnsi="仿宋" w:cs="仿宋"/>
          <w:b/>
          <w:bCs/>
          <w:kern w:val="2"/>
          <w:sz w:val="32"/>
          <w:szCs w:val="32"/>
          <w:u w:val="none"/>
        </w:rPr>
        <w:t>。</w:t>
      </w:r>
      <w:r>
        <w:rPr>
          <w:rFonts w:hint="eastAsia" w:ascii="仿宋" w:hAnsi="仿宋" w:cs="仿宋"/>
          <w:kern w:val="2"/>
          <w:sz w:val="32"/>
          <w:szCs w:val="32"/>
          <w:u w:val="none"/>
        </w:rPr>
        <w:t>城市建设规划与用地性质的调整还未同步，土地要素没有释放出应有的活力。在基础设施建设、产业配套、人才聚集、交通网络、政府服务等软环境方面仍有薄弱</w:t>
      </w:r>
      <w:r>
        <w:rPr>
          <w:rFonts w:ascii="仿宋" w:hAnsi="仿宋" w:cs="仿宋"/>
          <w:kern w:val="2"/>
          <w:sz w:val="32"/>
          <w:szCs w:val="32"/>
          <w:u w:val="none"/>
        </w:rPr>
        <w:t>环节</w:t>
      </w:r>
      <w:r>
        <w:rPr>
          <w:rFonts w:hint="eastAsia" w:ascii="仿宋" w:hAnsi="仿宋" w:cs="仿宋"/>
          <w:kern w:val="2"/>
          <w:sz w:val="32"/>
          <w:szCs w:val="32"/>
          <w:u w:val="none"/>
        </w:rPr>
        <w:t>，亟待</w:t>
      </w:r>
      <w:r>
        <w:rPr>
          <w:rFonts w:ascii="仿宋" w:hAnsi="仿宋" w:cs="仿宋"/>
          <w:kern w:val="2"/>
          <w:sz w:val="32"/>
          <w:szCs w:val="32"/>
          <w:u w:val="none"/>
        </w:rPr>
        <w:t>补齐短板</w:t>
      </w:r>
      <w:r>
        <w:rPr>
          <w:rFonts w:hint="eastAsia" w:ascii="仿宋" w:hAnsi="仿宋" w:cs="仿宋"/>
          <w:kern w:val="2"/>
          <w:sz w:val="32"/>
          <w:szCs w:val="32"/>
          <w:u w:val="none"/>
        </w:rPr>
        <w:t>、</w:t>
      </w:r>
      <w:r>
        <w:rPr>
          <w:rFonts w:ascii="仿宋" w:hAnsi="仿宋" w:cs="仿宋"/>
          <w:kern w:val="2"/>
          <w:sz w:val="32"/>
          <w:szCs w:val="32"/>
          <w:u w:val="none"/>
        </w:rPr>
        <w:t>提升优化</w:t>
      </w:r>
      <w:r>
        <w:rPr>
          <w:rFonts w:hint="eastAsia" w:ascii="仿宋" w:hAnsi="仿宋" w:cs="仿宋"/>
          <w:kern w:val="2"/>
          <w:sz w:val="32"/>
          <w:szCs w:val="32"/>
          <w:u w:val="none"/>
        </w:rPr>
        <w:t>。</w:t>
      </w:r>
    </w:p>
    <w:p>
      <w:pPr>
        <w:pStyle w:val="5"/>
        <w:spacing w:line="600" w:lineRule="exact"/>
        <w:ind w:firstLine="643" w:firstLineChars="200"/>
        <w:jc w:val="both"/>
        <w:rPr>
          <w:rFonts w:ascii="仿宋" w:hAnsi="仿宋" w:eastAsia="仿宋" w:cs="仿宋"/>
        </w:rPr>
      </w:pPr>
      <w:bookmarkStart w:id="4" w:name="_Toc20615"/>
      <w:r>
        <w:rPr>
          <w:rFonts w:hint="eastAsia" w:ascii="仿宋" w:hAnsi="仿宋" w:eastAsia="仿宋" w:cs="仿宋"/>
        </w:rPr>
        <w:t>三、发展</w:t>
      </w:r>
      <w:bookmarkEnd w:id="4"/>
      <w:r>
        <w:rPr>
          <w:rFonts w:hint="eastAsia" w:ascii="仿宋" w:hAnsi="仿宋" w:eastAsia="仿宋" w:cs="仿宋"/>
        </w:rPr>
        <w:t>环境</w:t>
      </w:r>
    </w:p>
    <w:p>
      <w:pPr>
        <w:widowControl w:val="0"/>
        <w:spacing w:line="600" w:lineRule="exact"/>
        <w:ind w:firstLine="640" w:firstLineChars="200"/>
        <w:rPr>
          <w:rFonts w:ascii="仿宋" w:hAnsi="仿宋" w:cs="仿宋"/>
          <w:kern w:val="2"/>
          <w:szCs w:val="32"/>
          <w:lang w:bidi="ar"/>
        </w:rPr>
      </w:pPr>
      <w:bookmarkStart w:id="5" w:name="_Toc15548"/>
      <w:bookmarkStart w:id="6" w:name="_Toc5608"/>
      <w:bookmarkStart w:id="7" w:name="_Toc21462"/>
      <w:r>
        <w:rPr>
          <w:rFonts w:hint="eastAsia" w:ascii="仿宋" w:hAnsi="仿宋" w:cs="仿宋"/>
          <w:kern w:val="2"/>
          <w:szCs w:val="32"/>
          <w:lang w:bidi="ar"/>
        </w:rPr>
        <w:t>当前和今后一个时期，我国发展仍然处于重要战略机遇期，但机遇和挑战都有新的发展和变化。危和机</w:t>
      </w:r>
      <w:r>
        <w:rPr>
          <w:rFonts w:ascii="仿宋" w:hAnsi="仿宋" w:cs="仿宋"/>
          <w:kern w:val="2"/>
          <w:szCs w:val="32"/>
          <w:lang w:bidi="ar"/>
        </w:rPr>
        <w:t>总是同生并存的,克服了</w:t>
      </w:r>
      <w:r>
        <w:rPr>
          <w:rFonts w:ascii="仿宋" w:hAnsi="仿宋" w:cs="仿宋"/>
          <w:kern w:val="2"/>
          <w:szCs w:val="32"/>
          <w:highlight w:val="none"/>
          <w:lang w:bidi="ar"/>
        </w:rPr>
        <w:t>危即</w:t>
      </w:r>
      <w:r>
        <w:rPr>
          <w:rFonts w:ascii="仿宋" w:hAnsi="仿宋" w:cs="仿宋"/>
          <w:kern w:val="2"/>
          <w:szCs w:val="32"/>
          <w:lang w:bidi="ar"/>
        </w:rPr>
        <w:t>是机。</w:t>
      </w:r>
    </w:p>
    <w:p>
      <w:pPr>
        <w:pStyle w:val="2"/>
        <w:spacing w:line="600" w:lineRule="exact"/>
        <w:ind w:firstLine="643"/>
        <w:rPr>
          <w:rFonts w:ascii="仿宋" w:hAnsi="仿宋" w:cs="仿宋"/>
        </w:rPr>
      </w:pPr>
      <w:r>
        <w:rPr>
          <w:rFonts w:hint="eastAsia" w:ascii="仿宋" w:hAnsi="仿宋" w:cs="仿宋"/>
          <w:b/>
          <w:bCs/>
          <w:kern w:val="2"/>
          <w:sz w:val="32"/>
          <w:szCs w:val="32"/>
        </w:rPr>
        <w:t>一是当今世界正经历百年未有之大变局，为我区融入京津冀协同发展提出了更高要求。</w:t>
      </w:r>
      <w:r>
        <w:rPr>
          <w:rFonts w:hint="eastAsia" w:ascii="仿宋" w:hAnsi="仿宋" w:cs="仿宋"/>
          <w:kern w:val="2"/>
          <w:sz w:val="32"/>
          <w:szCs w:val="32"/>
          <w:lang w:bidi="ar"/>
        </w:rPr>
        <w:t>从国际关系来看，世界局势日趋复杂，不稳定性不确定性明显增加，新冠肺炎疫情影响广泛深远，全球供应链本地化、区域化</w:t>
      </w:r>
      <w:r>
        <w:rPr>
          <w:rFonts w:hint="eastAsia" w:ascii="仿宋" w:hAnsi="仿宋" w:cs="仿宋"/>
          <w:kern w:val="2"/>
          <w:sz w:val="32"/>
          <w:szCs w:val="32"/>
        </w:rPr>
        <w:t>分散化</w:t>
      </w:r>
      <w:r>
        <w:rPr>
          <w:rFonts w:hint="eastAsia" w:ascii="仿宋" w:hAnsi="仿宋" w:cs="仿宋"/>
          <w:kern w:val="2"/>
          <w:sz w:val="32"/>
          <w:szCs w:val="32"/>
          <w:lang w:bidi="ar"/>
        </w:rPr>
        <w:t>趋势加剧。京津冀和长三角、粤港澳等其他区域在国家战略中扮演着关键作用。同时，</w:t>
      </w:r>
      <w:r>
        <w:rPr>
          <w:rFonts w:hint="eastAsia" w:ascii="仿宋" w:hAnsi="仿宋" w:cs="仿宋"/>
          <w:sz w:val="32"/>
          <w:szCs w:val="32"/>
        </w:rPr>
        <w:t>新一轮对外开放也对提升京津冀区域竞争力提出了更高要求。扩大对外开放为京津冀吸纳全球资源提供了巨大空间。现行产业领域和产业政策面临的调整，深度考验京津冀的经济韧性，这就要求我区充分落实新发展理念，利用好开发区、陆路港和研究院所等载体，把握先机、主动作为，探索深化改革路径和扩大对外开放平台。</w:t>
      </w:r>
    </w:p>
    <w:p>
      <w:pPr>
        <w:widowControl w:val="0"/>
        <w:spacing w:line="600" w:lineRule="exact"/>
        <w:ind w:firstLine="643" w:firstLineChars="200"/>
        <w:rPr>
          <w:rFonts w:ascii="仿宋" w:hAnsi="仿宋" w:cs="仿宋"/>
          <w:b/>
          <w:bCs/>
          <w:kern w:val="2"/>
          <w:szCs w:val="32"/>
        </w:rPr>
      </w:pPr>
      <w:r>
        <w:rPr>
          <w:rFonts w:hint="eastAsia" w:ascii="仿宋" w:hAnsi="仿宋" w:cs="仿宋"/>
          <w:b/>
          <w:bCs/>
          <w:kern w:val="2"/>
          <w:szCs w:val="32"/>
        </w:rPr>
        <w:t>二是新一轮科技革命和产业变革深入发展，为我区深度融入京津冀区域产业链和创新链提出了紧迫要求。</w:t>
      </w:r>
      <w:r>
        <w:rPr>
          <w:rFonts w:hint="eastAsia" w:ascii="仿宋" w:hAnsi="仿宋" w:cs="仿宋"/>
          <w:kern w:val="2"/>
          <w:szCs w:val="32"/>
        </w:rPr>
        <w:t>京津冀协同发展根本出路在于创新驱动和区域协同创新。以数字化、智能化和网络化为特征的新一轮科学技术革命正在引领产业重大调整，新业态、新模式、新技术不断涌现，为我区经济发展注入新活力、提供新平台、带来新机遇，也对资产偏重的产业结构转型升级提出了挑战和紧迫要求。一方面要主动拥抱新一轮科技革命，加快布局</w:t>
      </w:r>
      <w:r>
        <w:rPr>
          <w:kern w:val="2"/>
          <w:szCs w:val="32"/>
        </w:rPr>
        <w:t>5G</w:t>
      </w:r>
      <w:r>
        <w:rPr>
          <w:rFonts w:hint="eastAsia" w:ascii="仿宋" w:hAnsi="仿宋" w:cs="仿宋"/>
          <w:kern w:val="2"/>
          <w:szCs w:val="32"/>
        </w:rPr>
        <w:t>、人工智能、大数据等新兴产业；另一方面要积极嵌入京津冀区域产业链、供应链和价值链，助力推动京津冀区域产业链和创新链的深度融合。</w:t>
      </w:r>
    </w:p>
    <w:p>
      <w:pPr>
        <w:widowControl w:val="0"/>
        <w:spacing w:line="600" w:lineRule="exact"/>
        <w:ind w:firstLine="643" w:firstLineChars="200"/>
        <w:rPr>
          <w:rFonts w:ascii="仿宋" w:hAnsi="仿宋" w:cs="仿宋"/>
        </w:rPr>
      </w:pPr>
      <w:r>
        <w:rPr>
          <w:rFonts w:hint="eastAsia" w:ascii="仿宋" w:hAnsi="仿宋" w:cs="仿宋"/>
          <w:b/>
          <w:bCs/>
          <w:kern w:val="2"/>
          <w:szCs w:val="32"/>
        </w:rPr>
        <w:t>三是着力构建“双循环”的新发展格局，以新思路助力京津冀完成区域协调发展的新任务。</w:t>
      </w:r>
      <w:r>
        <w:rPr>
          <w:rFonts w:hint="eastAsia" w:ascii="仿宋" w:hAnsi="仿宋" w:cs="仿宋"/>
          <w:kern w:val="2"/>
          <w:szCs w:val="32"/>
        </w:rPr>
        <w:t>“十四五”时期，我国着力构建以国内大循环为主体、国内国际“双循环”相互促进的新发展格局。随着促进国内大循环，将极大实现国内统一大市场与国内要素自由流动，在未来五至十年，国内有望形成新一轮的区域经济一体化，京津冀在此其中将发挥越来越重要的作用。我区要及时研究新情况、总结新经验、解决新问题，进一步调整优化经济结构和空间布局，促进资源要素空间统筹和合理流动，主动服务</w:t>
      </w:r>
      <w:r>
        <w:rPr>
          <w:rFonts w:hint="eastAsia" w:ascii="仿宋" w:hAnsi="仿宋" w:cs="仿宋"/>
          <w:szCs w:val="32"/>
        </w:rPr>
        <w:t>雄安新区规划建设，</w:t>
      </w:r>
      <w:r>
        <w:rPr>
          <w:rFonts w:hint="eastAsia" w:ascii="仿宋" w:hAnsi="仿宋" w:cs="仿宋"/>
          <w:kern w:val="2"/>
          <w:szCs w:val="32"/>
        </w:rPr>
        <w:t>有效融入京津冀世界级城市群建设。</w:t>
      </w:r>
    </w:p>
    <w:p>
      <w:pPr>
        <w:widowControl w:val="0"/>
        <w:spacing w:line="600" w:lineRule="exact"/>
        <w:ind w:firstLine="643" w:firstLineChars="200"/>
        <w:rPr>
          <w:rFonts w:ascii="仿宋" w:hAnsi="仿宋" w:cs="仿宋"/>
          <w:szCs w:val="32"/>
        </w:rPr>
      </w:pPr>
      <w:r>
        <w:rPr>
          <w:rFonts w:hint="eastAsia" w:ascii="仿宋" w:hAnsi="仿宋" w:cs="仿宋"/>
          <w:b/>
          <w:bCs/>
          <w:kern w:val="2"/>
          <w:szCs w:val="32"/>
        </w:rPr>
        <w:t>四是我国区域发展面临诸多难题，亟待京津冀促进区域协调发展遏制南北分化，也要求我区以新措施助力破解区域不平衡不充分问题。</w:t>
      </w:r>
      <w:r>
        <w:rPr>
          <w:rFonts w:hint="eastAsia" w:ascii="仿宋" w:hAnsi="仿宋" w:cs="仿宋"/>
          <w:szCs w:val="32"/>
        </w:rPr>
        <w:t>京津冀协同发展是带动中国北方经济振兴的关键战略，是改善中国区域发展南北不平衡、东西不协调的有效举措，是今后一个时期实施区域协调发展战略的主要任务。我区要找准切入点，着力提升产业、交通和创新层面区域战略的联动性和协同性，积极发挥联通市区与北京的战略支点作用，进一步拓展京津冀协同发展新局面。</w:t>
      </w:r>
    </w:p>
    <w:p>
      <w:pPr>
        <w:widowControl w:val="0"/>
        <w:spacing w:line="600" w:lineRule="exact"/>
        <w:ind w:firstLine="643" w:firstLineChars="200"/>
        <w:rPr>
          <w:rFonts w:ascii="仿宋" w:hAnsi="仿宋" w:cs="仿宋"/>
          <w:szCs w:val="32"/>
        </w:rPr>
      </w:pPr>
      <w:r>
        <w:rPr>
          <w:rFonts w:hint="eastAsia" w:ascii="仿宋" w:hAnsi="仿宋" w:cs="仿宋"/>
          <w:b/>
          <w:bCs/>
          <w:kern w:val="2"/>
          <w:szCs w:val="32"/>
        </w:rPr>
        <w:t>五是京津冀协同发展进入滚石上山、爬坡过坎、攻坚克难的关键阶段，需要直面深层问题，我区更应该勇于担当、敢于创新、善作善成，下更大气力推动协同发展取得新的更大进展。</w:t>
      </w:r>
      <w:r>
        <w:rPr>
          <w:rFonts w:hint="eastAsia" w:ascii="仿宋" w:hAnsi="仿宋" w:cs="仿宋"/>
          <w:szCs w:val="32"/>
        </w:rPr>
        <w:t>目前，京津冀整体经济实力亟待提高，区域内部经济发展分化态势明显，城乡区域发展和收入分配差距较大，生态环保任重道远，民生保障存在短板。在承接北京非首都功能疏解和各类招商引资中，我区</w:t>
      </w:r>
      <w:r>
        <w:rPr>
          <w:szCs w:val="32"/>
        </w:rPr>
        <w:t>与周边</w:t>
      </w:r>
      <w:r>
        <w:rPr>
          <w:rFonts w:hint="eastAsia"/>
          <w:szCs w:val="32"/>
        </w:rPr>
        <w:t>市区在人才</w:t>
      </w:r>
      <w:r>
        <w:rPr>
          <w:szCs w:val="32"/>
        </w:rPr>
        <w:t>、</w:t>
      </w:r>
      <w:r>
        <w:rPr>
          <w:rFonts w:hint="eastAsia"/>
          <w:szCs w:val="32"/>
        </w:rPr>
        <w:t>资金、项目</w:t>
      </w:r>
      <w:r>
        <w:rPr>
          <w:szCs w:val="32"/>
        </w:rPr>
        <w:t>等</w:t>
      </w:r>
      <w:r>
        <w:rPr>
          <w:rFonts w:hint="eastAsia"/>
          <w:szCs w:val="32"/>
        </w:rPr>
        <w:t>方面</w:t>
      </w:r>
      <w:r>
        <w:rPr>
          <w:rFonts w:hint="eastAsia" w:ascii="仿宋" w:hAnsi="仿宋" w:cs="仿宋"/>
          <w:szCs w:val="32"/>
        </w:rPr>
        <w:t>存在</w:t>
      </w:r>
      <w:r>
        <w:rPr>
          <w:rFonts w:hint="eastAsia"/>
          <w:szCs w:val="32"/>
        </w:rPr>
        <w:t>同质化竞争</w:t>
      </w:r>
      <w:r>
        <w:rPr>
          <w:szCs w:val="32"/>
        </w:rPr>
        <w:t>，</w:t>
      </w:r>
      <w:r>
        <w:rPr>
          <w:rFonts w:hint="eastAsia"/>
          <w:szCs w:val="32"/>
        </w:rPr>
        <w:t>如何在产业配套</w:t>
      </w:r>
      <w:r>
        <w:rPr>
          <w:szCs w:val="32"/>
        </w:rPr>
        <w:t>、</w:t>
      </w:r>
      <w:r>
        <w:rPr>
          <w:rFonts w:hint="eastAsia"/>
          <w:szCs w:val="32"/>
        </w:rPr>
        <w:t>平台载体</w:t>
      </w:r>
      <w:r>
        <w:rPr>
          <w:szCs w:val="32"/>
        </w:rPr>
        <w:t>、</w:t>
      </w:r>
      <w:r>
        <w:rPr>
          <w:rFonts w:hint="eastAsia"/>
          <w:szCs w:val="32"/>
        </w:rPr>
        <w:t>软硬环境等方面提升能级、</w:t>
      </w:r>
      <w:r>
        <w:rPr>
          <w:szCs w:val="32"/>
        </w:rPr>
        <w:t>聚集高端要素</w:t>
      </w:r>
      <w:r>
        <w:rPr>
          <w:rFonts w:hint="eastAsia"/>
          <w:szCs w:val="32"/>
        </w:rPr>
        <w:t>提出了新课题。</w:t>
      </w:r>
      <w:r>
        <w:rPr>
          <w:rFonts w:hint="eastAsia" w:ascii="仿宋" w:hAnsi="仿宋" w:cs="仿宋"/>
          <w:szCs w:val="32"/>
        </w:rPr>
        <w:t>亟待在未来五年及更长一段时间内，以区域合作为主线，积极谋划协同发展新的发力源，形成一批新的增长点、产业链、发展平台和经济轴带。</w:t>
      </w:r>
      <w:bookmarkEnd w:id="5"/>
      <w:bookmarkEnd w:id="6"/>
      <w:bookmarkStart w:id="8" w:name="_Toc22126"/>
    </w:p>
    <w:bookmarkEnd w:id="7"/>
    <w:bookmarkEnd w:id="8"/>
    <w:p>
      <w:pPr>
        <w:widowControl w:val="0"/>
        <w:spacing w:line="600" w:lineRule="exact"/>
        <w:ind w:firstLine="643" w:firstLineChars="200"/>
        <w:rPr>
          <w:rFonts w:hint="eastAsia" w:ascii="仿宋" w:hAnsi="仿宋" w:cs="仿宋"/>
          <w:kern w:val="2"/>
          <w:szCs w:val="24"/>
        </w:rPr>
      </w:pPr>
      <w:r>
        <w:rPr>
          <w:rFonts w:hint="eastAsia" w:ascii="仿宋" w:hAnsi="仿宋" w:cs="仿宋"/>
          <w:b/>
          <w:bCs/>
          <w:kern w:val="2"/>
          <w:szCs w:val="24"/>
        </w:rPr>
        <w:t>综合判断，</w:t>
      </w:r>
      <w:r>
        <w:rPr>
          <w:rFonts w:hint="eastAsia" w:ascii="仿宋" w:hAnsi="仿宋" w:cs="仿宋"/>
          <w:kern w:val="2"/>
          <w:szCs w:val="24"/>
        </w:rPr>
        <w:t>“十四五”时期是我区</w:t>
      </w:r>
      <w:r>
        <w:rPr>
          <w:rFonts w:hint="eastAsia" w:ascii="仿宋" w:hAnsi="仿宋" w:cs="仿宋"/>
          <w:szCs w:val="32"/>
        </w:rPr>
        <w:t>转型升级、提质增效、深度融入京津冀协同发展的关键期，是各种比较优势和潜能最能得到有效释放的利好期，同时也是破解难题、补齐短板、爬坡过坎最为紧要的攻坚克</w:t>
      </w:r>
      <w:r>
        <w:rPr>
          <w:rFonts w:hint="eastAsia" w:ascii="仿宋" w:hAnsi="仿宋" w:cs="仿宋"/>
          <w:kern w:val="2"/>
          <w:szCs w:val="24"/>
        </w:rPr>
        <w:t>难期。深刻认识我国社会主要矛盾变化带来的新特征新要求，深刻认识错综复杂的国际环境带来的新矛盾新挑战，增强机遇意识和风险意识，准确把握区域发展规律趋势，立足北辰发展阶段性特征和新的任务要求，解放思想、抢抓机遇、奋发作为、协同发展，奋力开创北辰经济社会发展新局面。</w:t>
      </w:r>
    </w:p>
    <w:p>
      <w:pPr>
        <w:widowControl w:val="0"/>
        <w:spacing w:line="600" w:lineRule="exact"/>
        <w:ind w:firstLine="640" w:firstLineChars="200"/>
        <w:rPr>
          <w:rFonts w:ascii="仿宋" w:hAnsi="仿宋" w:cs="仿宋"/>
          <w:szCs w:val="32"/>
        </w:rPr>
      </w:pPr>
    </w:p>
    <w:p>
      <w:pPr>
        <w:pStyle w:val="4"/>
        <w:spacing w:line="600" w:lineRule="exact"/>
        <w:rPr>
          <w:rFonts w:ascii="仿宋" w:hAnsi="仿宋" w:eastAsia="仿宋" w:cs="仿宋"/>
          <w:sz w:val="40"/>
          <w:szCs w:val="40"/>
        </w:rPr>
      </w:pPr>
      <w:bookmarkStart w:id="9" w:name="_Toc44923587"/>
      <w:bookmarkStart w:id="10" w:name="_Toc25134"/>
      <w:r>
        <w:rPr>
          <w:rFonts w:hint="eastAsia" w:ascii="仿宋" w:hAnsi="仿宋" w:eastAsia="仿宋" w:cs="仿宋"/>
          <w:sz w:val="40"/>
          <w:szCs w:val="40"/>
        </w:rPr>
        <w:t>第二章 指导思想、规划原则、定位与</w:t>
      </w:r>
      <w:bookmarkEnd w:id="9"/>
      <w:r>
        <w:rPr>
          <w:rFonts w:hint="eastAsia" w:ascii="仿宋" w:hAnsi="仿宋" w:eastAsia="仿宋" w:cs="仿宋"/>
          <w:sz w:val="40"/>
          <w:szCs w:val="40"/>
        </w:rPr>
        <w:t>目标</w:t>
      </w:r>
      <w:bookmarkEnd w:id="10"/>
    </w:p>
    <w:p>
      <w:pPr>
        <w:pStyle w:val="5"/>
        <w:spacing w:line="600" w:lineRule="exact"/>
        <w:jc w:val="both"/>
        <w:rPr>
          <w:rFonts w:ascii="仿宋" w:hAnsi="仿宋" w:eastAsia="仿宋" w:cs="仿宋"/>
        </w:rPr>
      </w:pPr>
      <w:bookmarkStart w:id="11" w:name="_Toc32548"/>
      <w:bookmarkStart w:id="12" w:name="_Toc44923588"/>
    </w:p>
    <w:p>
      <w:pPr>
        <w:pStyle w:val="5"/>
        <w:spacing w:line="600" w:lineRule="exact"/>
        <w:ind w:firstLine="643" w:firstLineChars="200"/>
        <w:jc w:val="both"/>
        <w:rPr>
          <w:rFonts w:ascii="仿宋" w:hAnsi="仿宋" w:eastAsia="仿宋" w:cs="仿宋"/>
        </w:rPr>
      </w:pPr>
      <w:r>
        <w:rPr>
          <w:rFonts w:hint="eastAsia" w:ascii="仿宋" w:hAnsi="仿宋" w:eastAsia="仿宋" w:cs="仿宋"/>
        </w:rPr>
        <w:t>一、指导思想</w:t>
      </w:r>
      <w:bookmarkEnd w:id="11"/>
      <w:bookmarkEnd w:id="12"/>
    </w:p>
    <w:p>
      <w:pPr>
        <w:spacing w:line="600" w:lineRule="exact"/>
        <w:ind w:firstLine="640" w:firstLineChars="200"/>
        <w:rPr>
          <w:rFonts w:ascii="仿宋" w:hAnsi="仿宋" w:cs="仿宋"/>
          <w:szCs w:val="32"/>
        </w:rPr>
      </w:pPr>
      <w:r>
        <w:rPr>
          <w:rFonts w:hint="eastAsia" w:ascii="仿宋" w:hAnsi="仿宋" w:cs="仿宋"/>
          <w:szCs w:val="32"/>
        </w:rPr>
        <w:t>以习近平新时代中国特色社会主义思想为指引，深入贯彻党的十九大和十九届二中、三中、四中、五中全会精神，深入贯彻落实习近平总书记对天津工作“三个着力”重要要求和一系列重要指示批示精神，充分体现“四个意识”、“四个自信”、“两个维护”的坚定和自觉，牢固树立“一盘棋”思想，把握区域协调发展规律与趋势，立足北辰经济社会基础，聚力“高质量”打造产业创新协同体系，聚焦“高水平”优化科技创新发展高地，聚势“高标准”构筑交通互联互通网络，聚合“高能级”促进城乡产城联动发展，聚心“高品质”加强生态环境联保共治，聚智“高效能”提升公共服务互惠共享，主动做好服务非首都功能疏解和雄安新区规划建设发展工作，着力融入京津冀协同发展，推</w:t>
      </w:r>
      <w:r>
        <w:rPr>
          <w:rFonts w:hint="eastAsia" w:ascii="仿宋" w:hAnsi="仿宋" w:cs="仿宋"/>
          <w:b/>
          <w:bCs/>
          <w:szCs w:val="32"/>
        </w:rPr>
        <w:t>“辰”出“星”</w:t>
      </w:r>
      <w:r>
        <w:rPr>
          <w:rFonts w:hint="eastAsia" w:ascii="仿宋" w:hAnsi="仿宋" w:cs="仿宋"/>
          <w:szCs w:val="32"/>
        </w:rPr>
        <w:t>，建设天津国家中心城市重要功能承载区，打造京津冀区域的活力之城。</w:t>
      </w:r>
    </w:p>
    <w:p>
      <w:pPr>
        <w:pStyle w:val="5"/>
        <w:spacing w:line="600" w:lineRule="exact"/>
        <w:ind w:firstLine="643" w:firstLineChars="200"/>
        <w:jc w:val="both"/>
        <w:rPr>
          <w:rFonts w:ascii="仿宋" w:hAnsi="仿宋" w:eastAsia="仿宋" w:cs="仿宋"/>
        </w:rPr>
      </w:pPr>
      <w:bookmarkStart w:id="13" w:name="_Toc44923589"/>
      <w:bookmarkStart w:id="14" w:name="_Toc40535493"/>
      <w:bookmarkStart w:id="15" w:name="_Toc24014"/>
      <w:r>
        <w:rPr>
          <w:rFonts w:hint="eastAsia" w:ascii="仿宋" w:hAnsi="仿宋" w:eastAsia="仿宋" w:cs="仿宋"/>
        </w:rPr>
        <w:t>二、规划原则</w:t>
      </w:r>
      <w:bookmarkEnd w:id="13"/>
      <w:bookmarkEnd w:id="14"/>
      <w:bookmarkEnd w:id="15"/>
    </w:p>
    <w:p>
      <w:pPr>
        <w:spacing w:line="600" w:lineRule="exact"/>
        <w:ind w:firstLine="630" w:firstLineChars="196"/>
        <w:rPr>
          <w:rFonts w:ascii="仿宋" w:hAnsi="仿宋" w:cs="仿宋"/>
          <w:szCs w:val="32"/>
        </w:rPr>
      </w:pPr>
      <w:r>
        <w:rPr>
          <w:rFonts w:hint="eastAsia" w:ascii="仿宋" w:hAnsi="仿宋" w:cs="仿宋"/>
          <w:b/>
          <w:bCs/>
          <w:szCs w:val="32"/>
        </w:rPr>
        <w:t>共建共享、创新发展。</w:t>
      </w:r>
      <w:r>
        <w:rPr>
          <w:rFonts w:hint="eastAsia" w:ascii="仿宋" w:hAnsi="仿宋" w:cs="仿宋"/>
          <w:szCs w:val="32"/>
        </w:rPr>
        <w:t>以加强顶层设计为抓手，打造创新资源流动“洼地”与创新集聚高地。围绕将京津冀地区打造成全国创新驱动经济增长新引擎，强化协同载体功能，搭平台、建机制、促保障，积极承接首都产业转移和技术溢出，与京津雄形成创新新空间，加强与全国科研机构、高等院校的战略合作，形成制度新供给，注入创新发展的新动能。</w:t>
      </w:r>
    </w:p>
    <w:p>
      <w:pPr>
        <w:spacing w:line="600" w:lineRule="exact"/>
        <w:ind w:firstLine="643" w:firstLineChars="200"/>
        <w:rPr>
          <w:rFonts w:hint="eastAsia" w:ascii="仿宋" w:hAnsi="仿宋" w:cs="仿宋"/>
          <w:szCs w:val="32"/>
        </w:rPr>
      </w:pPr>
      <w:r>
        <w:rPr>
          <w:rFonts w:hint="eastAsia" w:ascii="仿宋" w:hAnsi="仿宋" w:cs="仿宋"/>
          <w:b/>
          <w:bCs/>
          <w:szCs w:val="32"/>
        </w:rPr>
        <w:t>远近结合、联动发展。</w:t>
      </w:r>
      <w:r>
        <w:rPr>
          <w:rFonts w:hint="eastAsia" w:ascii="仿宋" w:hAnsi="仿宋" w:cs="仿宋"/>
          <w:szCs w:val="32"/>
        </w:rPr>
        <w:t>着眼长远，保持战略定力，扭住产业链区域化趋势，积极推进产业配套区域化，加强产业供应链安全建设，探索建立跨区域、跨部门、跨属地的信息沟通、设施联通、物流畅通、资金融通、人员流通、政务联动等协同机制，加强与市内其他区域合作和衔接，增强发展整体性和协调性，进一步提升区域协同发展水平，努力建设京津冀三地合作交流重要节点。</w:t>
      </w:r>
    </w:p>
    <w:p>
      <w:pPr>
        <w:spacing w:line="600" w:lineRule="exact"/>
        <w:ind w:firstLine="643" w:firstLineChars="200"/>
        <w:rPr>
          <w:rFonts w:ascii="仿宋" w:hAnsi="仿宋" w:cs="仿宋"/>
          <w:szCs w:val="32"/>
        </w:rPr>
      </w:pPr>
      <w:r>
        <w:rPr>
          <w:rFonts w:hint="eastAsia" w:ascii="仿宋" w:hAnsi="仿宋" w:cs="仿宋"/>
          <w:b/>
          <w:bCs/>
          <w:szCs w:val="32"/>
        </w:rPr>
        <w:t>追求品质、融合发展。</w:t>
      </w:r>
      <w:r>
        <w:rPr>
          <w:rFonts w:hint="eastAsia" w:ascii="仿宋" w:hAnsi="仿宋" w:cs="仿宋"/>
          <w:szCs w:val="32"/>
        </w:rPr>
        <w:t>把握新时代发展趋势，全面对标国际最高标准，以更宽视野、更卓越要求，以文化积淀、创意融合提升北辰制造的地理品牌影响力，推动产业基础高级化，做优做强“北辰智造”，形成创新生态和产业生态双轮驱动发展格局，打造京津冀协同高质量发展的“标杆”。</w:t>
      </w:r>
    </w:p>
    <w:p>
      <w:pPr>
        <w:spacing w:line="600" w:lineRule="exact"/>
        <w:ind w:firstLine="643" w:firstLineChars="200"/>
        <w:rPr>
          <w:rFonts w:ascii="仿宋" w:hAnsi="仿宋" w:cs="仿宋"/>
          <w:szCs w:val="32"/>
        </w:rPr>
      </w:pPr>
      <w:r>
        <w:rPr>
          <w:rFonts w:hint="eastAsia" w:ascii="仿宋" w:hAnsi="仿宋" w:cs="仿宋"/>
          <w:b/>
          <w:bCs/>
          <w:szCs w:val="32"/>
        </w:rPr>
        <w:t>生态筑底、绿色发展。</w:t>
      </w:r>
      <w:r>
        <w:rPr>
          <w:rFonts w:hint="eastAsia" w:ascii="仿宋" w:hAnsi="仿宋" w:cs="仿宋"/>
          <w:szCs w:val="32"/>
        </w:rPr>
        <w:t>用立体治理、市域统筹的思路，锚固生态基底、厚植生态优势、发展生态经济，促进城乡产城融合发展，实现生产、生活和生态“三生共生”，社区、园区和景区“三区合一”，人、社会与自然的有机融合，建设京津冀宜商宜居宜业</w:t>
      </w:r>
      <w:r>
        <w:rPr>
          <w:rFonts w:hint="eastAsia" w:ascii="仿宋" w:hAnsi="仿宋" w:cs="仿宋"/>
          <w:szCs w:val="32"/>
          <w:highlight w:val="none"/>
        </w:rPr>
        <w:t>的先行</w:t>
      </w:r>
      <w:r>
        <w:rPr>
          <w:rFonts w:hint="eastAsia" w:ascii="仿宋" w:hAnsi="仿宋" w:cs="仿宋"/>
          <w:szCs w:val="32"/>
        </w:rPr>
        <w:t>区。</w:t>
      </w:r>
    </w:p>
    <w:p>
      <w:pPr>
        <w:pStyle w:val="5"/>
        <w:spacing w:line="600" w:lineRule="exact"/>
        <w:ind w:firstLine="643" w:firstLineChars="200"/>
        <w:jc w:val="both"/>
        <w:rPr>
          <w:rFonts w:ascii="仿宋" w:hAnsi="仿宋" w:eastAsia="仿宋" w:cs="仿宋"/>
        </w:rPr>
      </w:pPr>
      <w:bookmarkStart w:id="16" w:name="_Toc44923590"/>
      <w:bookmarkStart w:id="17" w:name="_Toc22110"/>
      <w:r>
        <w:rPr>
          <w:rFonts w:hint="eastAsia" w:ascii="仿宋" w:hAnsi="仿宋" w:eastAsia="仿宋" w:cs="仿宋"/>
        </w:rPr>
        <w:t>三、功能定位</w:t>
      </w:r>
      <w:bookmarkEnd w:id="16"/>
      <w:bookmarkEnd w:id="17"/>
    </w:p>
    <w:p>
      <w:pPr>
        <w:spacing w:line="600" w:lineRule="exact"/>
        <w:ind w:firstLine="640" w:firstLineChars="200"/>
        <w:rPr>
          <w:rFonts w:ascii="仿宋" w:hAnsi="仿宋" w:cs="仿宋"/>
          <w:b/>
          <w:bCs/>
          <w:szCs w:val="32"/>
        </w:rPr>
      </w:pPr>
      <w:r>
        <w:rPr>
          <w:rFonts w:hint="eastAsia" w:ascii="仿宋" w:hAnsi="仿宋" w:cs="仿宋"/>
          <w:szCs w:val="32"/>
        </w:rPr>
        <w:t>立足我区区位及资源禀赋优势、经济社会现实基础、产业发展规律与趋势，以承接北京非首都功能为重点，以产城融合发展为基础，以产业园区为载体，以构建京津冀协同发展长效体制机制为抓手，着力建设</w:t>
      </w:r>
      <w:r>
        <w:rPr>
          <w:rFonts w:hint="eastAsia" w:ascii="仿宋" w:hAnsi="仿宋" w:cs="仿宋"/>
          <w:b/>
          <w:bCs/>
          <w:szCs w:val="32"/>
        </w:rPr>
        <w:t>首都高端要素转移承载基地、京津冀产业技术创新交汇区、京津冀公共服务建设新高地、京津冀交通环保建设新支点。</w:t>
      </w:r>
    </w:p>
    <w:p>
      <w:pPr>
        <w:spacing w:line="600" w:lineRule="exact"/>
        <w:ind w:firstLine="643" w:firstLineChars="200"/>
        <w:rPr>
          <w:rFonts w:ascii="仿宋" w:hAnsi="仿宋" w:cs="仿宋"/>
          <w:szCs w:val="32"/>
        </w:rPr>
      </w:pPr>
      <w:r>
        <w:rPr>
          <w:rFonts w:hint="eastAsia" w:ascii="仿宋" w:hAnsi="仿宋" w:cs="仿宋"/>
          <w:b/>
          <w:bCs/>
          <w:szCs w:val="32"/>
        </w:rPr>
        <w:t>——首都高端要素转移承载基地。</w:t>
      </w:r>
      <w:r>
        <w:rPr>
          <w:rFonts w:hint="eastAsia" w:ascii="仿宋" w:hAnsi="仿宋" w:cs="仿宋"/>
          <w:szCs w:val="32"/>
        </w:rPr>
        <w:t>发挥毗邻北京区位优势，依托北辰产城融合示范区，借助市场化运作手段，发挥企业主体作用，积极承接非首都功能转移，吸引总部、金融、科研、商贸、服务、教育、医疗等优质高端要素落户我区，围绕高端装备制造、现代医药、新能源新材料、电子信息技术等优势产业，加强与大型央企国企、京冀相关部门的战略合作，</w:t>
      </w:r>
      <w:r>
        <w:rPr>
          <w:rFonts w:hint="eastAsia" w:ascii="仿宋" w:hAnsi="仿宋" w:cs="仿宋"/>
          <w:kern w:val="2"/>
          <w:szCs w:val="24"/>
        </w:rPr>
        <w:t>有效承接北京科技成果孵化转化产业化，共建京津冀协同发展“</w:t>
      </w:r>
      <w:r>
        <w:rPr>
          <w:rFonts w:hint="eastAsia" w:ascii="仿宋" w:hAnsi="仿宋" w:cs="仿宋"/>
          <w:kern w:val="2"/>
          <w:szCs w:val="24"/>
          <w:highlight w:val="none"/>
        </w:rPr>
        <w:t>微中心</w:t>
      </w:r>
      <w:r>
        <w:rPr>
          <w:rFonts w:hint="eastAsia" w:ascii="仿宋" w:hAnsi="仿宋" w:cs="仿宋"/>
          <w:kern w:val="2"/>
          <w:szCs w:val="24"/>
        </w:rPr>
        <w:t>”。</w:t>
      </w:r>
    </w:p>
    <w:p>
      <w:pPr>
        <w:spacing w:line="600" w:lineRule="exact"/>
        <w:ind w:firstLine="643" w:firstLineChars="200"/>
        <w:rPr>
          <w:rFonts w:ascii="仿宋" w:hAnsi="仿宋" w:cs="仿宋"/>
          <w:szCs w:val="32"/>
        </w:rPr>
      </w:pPr>
      <w:r>
        <w:rPr>
          <w:rFonts w:hint="eastAsia" w:ascii="仿宋" w:hAnsi="仿宋" w:cs="仿宋"/>
          <w:b/>
          <w:bCs/>
          <w:szCs w:val="32"/>
        </w:rPr>
        <w:t>——京津冀产业技术创新交汇区。</w:t>
      </w:r>
      <w:r>
        <w:rPr>
          <w:rFonts w:hint="eastAsia" w:ascii="仿宋" w:hAnsi="仿宋" w:cs="仿宋"/>
          <w:szCs w:val="32"/>
        </w:rPr>
        <w:t>积极顺应和牢牢把握新科技革命和全球产业变革的大趋势，进一步创新体制机制，集聚科技资源和创新要素，构建“育成中心—孵化器—加速器”的科技创新创业孵化链条，培育一批创新型企业家，形成一批具有知名品牌和综合实力较强的创新型企业，建成一批创新、创业、创造“三创”型的产业集群。</w:t>
      </w:r>
    </w:p>
    <w:p>
      <w:pPr>
        <w:spacing w:line="600" w:lineRule="exact"/>
        <w:ind w:firstLine="643" w:firstLineChars="200"/>
        <w:rPr>
          <w:rFonts w:ascii="仿宋" w:hAnsi="仿宋" w:cs="仿宋"/>
          <w:szCs w:val="32"/>
        </w:rPr>
      </w:pPr>
      <w:r>
        <w:rPr>
          <w:rFonts w:hint="eastAsia" w:ascii="仿宋" w:hAnsi="仿宋" w:cs="仿宋"/>
          <w:b/>
          <w:bCs/>
          <w:szCs w:val="32"/>
        </w:rPr>
        <w:t>——京津冀公共服务建设新高地。</w:t>
      </w:r>
      <w:r>
        <w:rPr>
          <w:rFonts w:hint="eastAsia" w:ascii="仿宋" w:hAnsi="仿宋" w:cs="仿宋"/>
          <w:szCs w:val="32"/>
        </w:rPr>
        <w:t>积极推进京津冀公共服务制度接轨，推进社会治理共建共治，进一步完善一体化体系建设，不断扩大优质公共服务资源供给。在提高教育联合体发展水平、深化医疗卫生事业协同合作、加快旅游产业协作提升等方面，重点推进优质资源共建共享，强化京津冀区域公共服务机构联通合作，加快图书馆、高水平医院和民俗博物馆等公共配套设施建设，形成对接京津冀协同发展的公共服务新高地。</w:t>
      </w:r>
    </w:p>
    <w:p>
      <w:pPr>
        <w:spacing w:line="600" w:lineRule="exact"/>
        <w:ind w:firstLine="643" w:firstLineChars="200"/>
        <w:rPr>
          <w:rFonts w:ascii="仿宋" w:hAnsi="仿宋" w:cs="仿宋"/>
          <w:szCs w:val="32"/>
        </w:rPr>
      </w:pPr>
      <w:r>
        <w:rPr>
          <w:rFonts w:hint="eastAsia" w:ascii="仿宋" w:hAnsi="仿宋" w:cs="仿宋"/>
          <w:b/>
          <w:bCs/>
          <w:szCs w:val="32"/>
        </w:rPr>
        <w:t>——京津冀交通环保建设新支点。</w:t>
      </w:r>
      <w:r>
        <w:rPr>
          <w:rFonts w:hint="eastAsia" w:ascii="仿宋" w:hAnsi="仿宋" w:cs="仿宋"/>
          <w:szCs w:val="32"/>
        </w:rPr>
        <w:t>依托京滨城际等连接京津、辐射华北的交通优势和永定新河、北运河生态资源禀赋，积极探索京津冀区域交通和环保领域现实发展新路径，在推动交通互联互通和生态环保共建共享基础上率先实现“生产、生态、生活”三位一体发展。</w:t>
      </w:r>
    </w:p>
    <w:p>
      <w:pPr>
        <w:pStyle w:val="5"/>
        <w:spacing w:line="600" w:lineRule="exact"/>
        <w:ind w:firstLine="643" w:firstLineChars="200"/>
        <w:jc w:val="both"/>
        <w:rPr>
          <w:rFonts w:ascii="仿宋" w:hAnsi="仿宋" w:eastAsia="仿宋" w:cs="仿宋"/>
        </w:rPr>
      </w:pPr>
      <w:bookmarkStart w:id="18" w:name="_Toc44923591"/>
      <w:bookmarkStart w:id="19" w:name="_Toc20341"/>
      <w:r>
        <w:rPr>
          <w:rFonts w:hint="eastAsia" w:ascii="仿宋" w:hAnsi="仿宋" w:eastAsia="仿宋" w:cs="仿宋"/>
        </w:rPr>
        <w:t>四、发展目标</w:t>
      </w:r>
      <w:bookmarkEnd w:id="18"/>
      <w:bookmarkEnd w:id="19"/>
    </w:p>
    <w:p>
      <w:pPr>
        <w:pStyle w:val="6"/>
        <w:spacing w:line="600" w:lineRule="exact"/>
        <w:ind w:left="640"/>
        <w:rPr>
          <w:rFonts w:ascii="仿宋" w:hAnsi="仿宋" w:cs="仿宋"/>
        </w:rPr>
      </w:pPr>
      <w:r>
        <w:rPr>
          <w:rFonts w:hint="eastAsia" w:ascii="仿宋" w:hAnsi="仿宋" w:cs="仿宋"/>
        </w:rPr>
        <w:t>1、近期目标</w:t>
      </w:r>
    </w:p>
    <w:p>
      <w:pPr>
        <w:spacing w:line="600" w:lineRule="exact"/>
        <w:ind w:firstLine="640" w:firstLineChars="200"/>
        <w:rPr>
          <w:rFonts w:ascii="仿宋" w:hAnsi="仿宋" w:cs="仿宋"/>
          <w:szCs w:val="32"/>
        </w:rPr>
      </w:pPr>
      <w:r>
        <w:rPr>
          <w:rFonts w:hint="eastAsia" w:ascii="仿宋" w:hAnsi="仿宋" w:cs="仿宋"/>
          <w:szCs w:val="32"/>
        </w:rPr>
        <w:t>到2025年，北辰区融入京津冀协同发展取得明显实效，主要经济指标与北京等京津冀核心区差距进一步缩小，</w:t>
      </w:r>
      <w:r>
        <w:rPr>
          <w:rFonts w:hint="eastAsia" w:ascii="仿宋" w:hAnsi="仿宋" w:cs="仿宋"/>
          <w:b/>
          <w:bCs/>
          <w:szCs w:val="32"/>
        </w:rPr>
        <w:t>产业协同、科技创新、区域交通、城乡融合、生态环保、公共服务</w:t>
      </w:r>
      <w:r>
        <w:rPr>
          <w:rFonts w:hint="eastAsia" w:ascii="仿宋" w:hAnsi="仿宋" w:cs="仿宋"/>
          <w:szCs w:val="32"/>
        </w:rPr>
        <w:t>等领域协同发展取得实质性进展，促进区域协调发展向更高水平和更高质量迈进。</w:t>
      </w:r>
    </w:p>
    <w:p>
      <w:pPr>
        <w:spacing w:line="600" w:lineRule="exact"/>
        <w:ind w:firstLine="643" w:firstLineChars="200"/>
        <w:rPr>
          <w:rFonts w:ascii="仿宋" w:hAnsi="仿宋" w:cs="仿宋"/>
          <w:szCs w:val="32"/>
        </w:rPr>
      </w:pPr>
      <w:r>
        <w:rPr>
          <w:rFonts w:hint="eastAsia" w:ascii="仿宋" w:hAnsi="仿宋" w:cs="仿宋"/>
          <w:b/>
          <w:bCs/>
          <w:szCs w:val="32"/>
        </w:rPr>
        <w:t>产业协同发展取得新成效。</w:t>
      </w:r>
      <w:r>
        <w:rPr>
          <w:rFonts w:hint="eastAsia" w:ascii="仿宋" w:hAnsi="仿宋"/>
          <w:szCs w:val="32"/>
        </w:rPr>
        <w:t>从</w:t>
      </w:r>
      <w:r>
        <w:rPr>
          <w:rFonts w:ascii="仿宋" w:hAnsi="仿宋"/>
          <w:szCs w:val="32"/>
        </w:rPr>
        <w:t>规划</w:t>
      </w:r>
      <w:r>
        <w:rPr>
          <w:rFonts w:hint="eastAsia" w:ascii="仿宋" w:hAnsi="仿宋"/>
          <w:szCs w:val="32"/>
        </w:rPr>
        <w:t>、</w:t>
      </w:r>
      <w:r>
        <w:rPr>
          <w:rFonts w:ascii="仿宋" w:hAnsi="仿宋"/>
          <w:szCs w:val="32"/>
        </w:rPr>
        <w:t>项目</w:t>
      </w:r>
      <w:r>
        <w:rPr>
          <w:rFonts w:hint="eastAsia" w:ascii="仿宋" w:hAnsi="仿宋"/>
          <w:szCs w:val="32"/>
        </w:rPr>
        <w:t>、企业、</w:t>
      </w:r>
      <w:r>
        <w:rPr>
          <w:rFonts w:ascii="仿宋" w:hAnsi="仿宋"/>
          <w:szCs w:val="32"/>
        </w:rPr>
        <w:t>载体</w:t>
      </w:r>
      <w:r>
        <w:rPr>
          <w:rFonts w:hint="eastAsia" w:ascii="仿宋" w:hAnsi="仿宋"/>
          <w:szCs w:val="32"/>
        </w:rPr>
        <w:t>、</w:t>
      </w:r>
      <w:r>
        <w:rPr>
          <w:rFonts w:ascii="仿宋" w:hAnsi="仿宋"/>
          <w:szCs w:val="32"/>
        </w:rPr>
        <w:t>政策</w:t>
      </w:r>
      <w:r>
        <w:rPr>
          <w:rFonts w:hint="eastAsia" w:ascii="仿宋" w:hAnsi="仿宋"/>
          <w:szCs w:val="32"/>
        </w:rPr>
        <w:t>等</w:t>
      </w:r>
      <w:r>
        <w:rPr>
          <w:rFonts w:ascii="仿宋" w:hAnsi="仿宋"/>
          <w:szCs w:val="32"/>
        </w:rPr>
        <w:t>方面</w:t>
      </w:r>
      <w:r>
        <w:rPr>
          <w:rFonts w:hint="eastAsia" w:ascii="仿宋" w:hAnsi="仿宋"/>
          <w:szCs w:val="32"/>
        </w:rPr>
        <w:t>，加强我区优势产业和战略性新兴产业与</w:t>
      </w:r>
      <w:r>
        <w:rPr>
          <w:rFonts w:ascii="仿宋" w:hAnsi="仿宋"/>
          <w:szCs w:val="32"/>
        </w:rPr>
        <w:t>京津冀产业链深度融合发展</w:t>
      </w:r>
      <w:r>
        <w:rPr>
          <w:rFonts w:hint="eastAsia" w:ascii="仿宋" w:hAnsi="仿宋"/>
          <w:szCs w:val="32"/>
        </w:rPr>
        <w:t>，</w:t>
      </w:r>
      <w:r>
        <w:rPr>
          <w:rFonts w:hint="eastAsia" w:ascii="仿宋" w:hAnsi="仿宋" w:cs="仿宋"/>
          <w:szCs w:val="32"/>
        </w:rPr>
        <w:t>增强产业协同策源地功能，推动生产型制造向服务型制造转型发展、“城郊经济”向“都市经济”转型发展，引育3-5家行业领军型、生态平台型科技型企业，打造1</w:t>
      </w:r>
      <w:r>
        <w:rPr>
          <w:rFonts w:hint="eastAsia" w:ascii="仿宋" w:hAnsi="仿宋" w:cs="仿宋"/>
          <w:szCs w:val="32"/>
          <w:lang w:val="en-US" w:eastAsia="zh-CN"/>
        </w:rPr>
        <w:t>0余</w:t>
      </w:r>
      <w:r>
        <w:rPr>
          <w:rFonts w:hint="eastAsia" w:ascii="仿宋" w:hAnsi="仿宋" w:cs="仿宋"/>
          <w:szCs w:val="32"/>
        </w:rPr>
        <w:t>条“四基”高级化、现代化的产业链，初步形成2-3个具有世界影响力的制造业研发高地和先进制造业集聚区，协同打造具有全球影响力的京津高技术产业带，将国家级产城融合示范区建设成为承接北京非首都功能疏解“</w:t>
      </w:r>
      <w:r>
        <w:rPr>
          <w:rFonts w:hint="eastAsia" w:ascii="仿宋" w:hAnsi="仿宋" w:cs="仿宋"/>
          <w:szCs w:val="32"/>
          <w:highlight w:val="none"/>
        </w:rPr>
        <w:t>微中心</w:t>
      </w:r>
      <w:r>
        <w:rPr>
          <w:rFonts w:hint="eastAsia" w:ascii="仿宋" w:hAnsi="仿宋" w:cs="仿宋"/>
          <w:szCs w:val="32"/>
        </w:rPr>
        <w:t>”。</w:t>
      </w:r>
    </w:p>
    <w:p>
      <w:pPr>
        <w:spacing w:line="600" w:lineRule="exact"/>
        <w:ind w:firstLine="643" w:firstLineChars="200"/>
        <w:rPr>
          <w:rFonts w:ascii="仿宋" w:hAnsi="仿宋" w:cs="仿宋"/>
          <w:szCs w:val="32"/>
        </w:rPr>
      </w:pPr>
      <w:r>
        <w:rPr>
          <w:rFonts w:hint="eastAsia" w:ascii="仿宋" w:hAnsi="仿宋" w:cs="仿宋"/>
          <w:b/>
          <w:bCs/>
          <w:szCs w:val="32"/>
        </w:rPr>
        <w:t>科技协同创新取得新突破。</w:t>
      </w:r>
      <w:r>
        <w:rPr>
          <w:rFonts w:hint="eastAsia" w:ascii="仿宋" w:hAnsi="仿宋" w:cs="仿宋"/>
          <w:szCs w:val="32"/>
        </w:rPr>
        <w:t>依托各种创新平台，集聚京津冀创新资源和要素，推进跨区域深度合作，促进创新链与产业链深度融合，形成“京雄研发—北辰孵化转化”“总部+生产基地”等多种创新分工模式，共建共管一批高校院所的分校分院、产业（工程）技术研究院、大学科技园，积极开展一批重大科技攻关研发合作项目，重点建设一批特色鲜明的创新合作平台，积极参与京津冀创新共同体建设，协力天津其他区打造我国自主创新的重要源头和原始创新的主要策源地。</w:t>
      </w:r>
    </w:p>
    <w:p>
      <w:pPr>
        <w:spacing w:line="600" w:lineRule="exact"/>
        <w:ind w:firstLine="643" w:firstLineChars="200"/>
        <w:rPr>
          <w:rFonts w:hint="eastAsia" w:ascii="仿宋" w:hAnsi="仿宋" w:cs="仿宋"/>
          <w:szCs w:val="32"/>
        </w:rPr>
      </w:pPr>
      <w:r>
        <w:rPr>
          <w:rFonts w:hint="eastAsia" w:ascii="仿宋" w:hAnsi="仿宋" w:cs="仿宋"/>
          <w:b/>
          <w:bCs/>
          <w:szCs w:val="32"/>
        </w:rPr>
        <w:t>交通互联互通取得新进展。</w:t>
      </w:r>
      <w:r>
        <w:rPr>
          <w:rFonts w:hint="eastAsia" w:ascii="仿宋" w:hAnsi="仿宋" w:cs="仿宋"/>
          <w:kern w:val="2"/>
          <w:szCs w:val="24"/>
        </w:rPr>
        <w:t>推动</w:t>
      </w:r>
      <w:r>
        <w:rPr>
          <w:rFonts w:hint="eastAsia" w:ascii="仿宋" w:hAnsi="仿宋" w:cs="仿宋"/>
          <w:szCs w:val="32"/>
        </w:rPr>
        <w:t>辖区、市内、域外三个层次的交通基础设施建设，推进城市公交、地铁、城际轨道、高速公路和高速铁路</w:t>
      </w:r>
      <w:r>
        <w:rPr>
          <w:rFonts w:hint="eastAsia" w:ascii="仿宋" w:hAnsi="仿宋" w:cs="仿宋"/>
          <w:kern w:val="2"/>
          <w:szCs w:val="24"/>
        </w:rPr>
        <w:t>等</w:t>
      </w:r>
      <w:r>
        <w:rPr>
          <w:rFonts w:hint="eastAsia" w:ascii="仿宋" w:hAnsi="仿宋" w:cs="仿宋"/>
          <w:szCs w:val="32"/>
        </w:rPr>
        <w:t>多种交通工具的“无缝连接、零换乘”，大力提升交通出行的可达性和便捷性，助力建成京津冀“半小时”生活圈、“一小时”交通圈和“三小时”商务圈，以“</w:t>
      </w:r>
      <w:r>
        <w:rPr>
          <w:szCs w:val="32"/>
        </w:rPr>
        <w:t>TOD</w:t>
      </w:r>
      <w:r>
        <w:rPr>
          <w:rFonts w:hint="eastAsia" w:ascii="仿宋" w:hAnsi="仿宋" w:cs="仿宋"/>
          <w:szCs w:val="32"/>
        </w:rPr>
        <w:t>”+“</w:t>
      </w:r>
      <w:r>
        <w:rPr>
          <w:rFonts w:hint="eastAsia"/>
          <w:szCs w:val="32"/>
        </w:rPr>
        <w:t>SOD</w:t>
      </w:r>
      <w:r>
        <w:rPr>
          <w:rFonts w:hint="eastAsia" w:ascii="仿宋" w:hAnsi="仿宋" w:cs="仿宋"/>
          <w:szCs w:val="32"/>
        </w:rPr>
        <w:t>”的组</w:t>
      </w:r>
      <w:r>
        <w:rPr>
          <w:szCs w:val="32"/>
        </w:rPr>
        <w:t>合模式，</w:t>
      </w:r>
      <w:r>
        <w:rPr>
          <w:rFonts w:hint="eastAsia" w:ascii="仿宋" w:hAnsi="仿宋" w:cs="仿宋"/>
          <w:szCs w:val="32"/>
        </w:rPr>
        <w:t>打造京津走廊和区域协同发展的综合交通枢纽。协力完善轨道、货运、航空等交通互联互通机制。</w:t>
      </w:r>
    </w:p>
    <w:p>
      <w:pPr>
        <w:spacing w:line="600" w:lineRule="exact"/>
        <w:ind w:firstLine="643" w:firstLineChars="200"/>
        <w:rPr>
          <w:rFonts w:ascii="仿宋" w:hAnsi="仿宋" w:cs="仿宋"/>
          <w:szCs w:val="32"/>
        </w:rPr>
      </w:pPr>
      <w:r>
        <w:rPr>
          <w:rFonts w:hint="eastAsia" w:ascii="仿宋" w:hAnsi="仿宋" w:cs="仿宋"/>
          <w:b/>
          <w:bCs/>
          <w:szCs w:val="32"/>
        </w:rPr>
        <w:t>城乡统筹发展迈出新步伐。</w:t>
      </w:r>
      <w:r>
        <w:rPr>
          <w:rFonts w:hint="eastAsia" w:ascii="仿宋" w:hAnsi="仿宋" w:cs="仿宋"/>
          <w:szCs w:val="32"/>
        </w:rPr>
        <w:t>从辖区、跨区域两个层面推进城乡统筹和新型城镇化建设，助力形成京津冀区域联动发展、城乡融合发展、优势互补发展态势。北辰国家级产城融合示范区能级显著提高，城乡融合、乡村振兴取得显著成效。</w:t>
      </w:r>
    </w:p>
    <w:p>
      <w:pPr>
        <w:spacing w:line="600" w:lineRule="exact"/>
        <w:ind w:firstLine="643" w:firstLineChars="200"/>
        <w:rPr>
          <w:rFonts w:ascii="仿宋" w:hAnsi="仿宋" w:cs="仿宋"/>
          <w:szCs w:val="32"/>
        </w:rPr>
      </w:pPr>
      <w:r>
        <w:rPr>
          <w:rFonts w:hint="eastAsia" w:ascii="仿宋" w:hAnsi="仿宋" w:cs="仿宋"/>
          <w:b/>
          <w:bCs/>
          <w:szCs w:val="32"/>
        </w:rPr>
        <w:t>生态环境联防联控实现新进步。</w:t>
      </w:r>
      <w:r>
        <w:rPr>
          <w:rFonts w:hint="eastAsia" w:ascii="仿宋" w:hAnsi="仿宋" w:cs="仿宋"/>
          <w:szCs w:val="32"/>
        </w:rPr>
        <w:t>协力完善京津冀大气、水污染应急联动机制，助力健全京津冀环境信息共享机制，协同建立京津冀生态环境协同监管预警体系。协力完善流域上下游等生态环境保护联动机制，绿色发展生态基础进一步夯实，区域生态环境问题得到有效治理。</w:t>
      </w:r>
    </w:p>
    <w:p>
      <w:pPr>
        <w:spacing w:line="600" w:lineRule="exact"/>
        <w:ind w:firstLine="643" w:firstLineChars="200"/>
        <w:rPr>
          <w:rFonts w:ascii="仿宋" w:hAnsi="仿宋" w:cs="仿宋"/>
          <w:szCs w:val="32"/>
          <w:highlight w:val="yellow"/>
        </w:rPr>
      </w:pPr>
      <w:r>
        <w:rPr>
          <w:rFonts w:hint="eastAsia" w:ascii="仿宋" w:hAnsi="仿宋" w:cs="仿宋"/>
          <w:b/>
          <w:bCs/>
          <w:szCs w:val="32"/>
        </w:rPr>
        <w:t>公共服务便利普惠达到新水平。</w:t>
      </w:r>
      <w:r>
        <w:rPr>
          <w:rFonts w:hint="eastAsia" w:ascii="仿宋" w:hAnsi="仿宋" w:cs="仿宋"/>
          <w:szCs w:val="32"/>
        </w:rPr>
        <w:t>深化落实教育、医疗、应急、防疫等公共服务合作机制，加强与京津冀优质公共服务资源对接，按照便捷、普惠、优质“三步走”战略，基本公共服务保障水平、便利共享水平逐步提升，率先实现基本公共服务均等化，人民群众幸福感、获得感显著增强。</w:t>
      </w:r>
    </w:p>
    <w:p>
      <w:pPr>
        <w:spacing w:line="600" w:lineRule="exact"/>
        <w:ind w:firstLine="643" w:firstLineChars="200"/>
        <w:rPr>
          <w:rFonts w:ascii="仿宋" w:hAnsi="仿宋" w:cs="仿宋"/>
          <w:b/>
          <w:bCs/>
        </w:rPr>
      </w:pPr>
      <w:r>
        <w:rPr>
          <w:rFonts w:hint="eastAsia" w:ascii="仿宋" w:hAnsi="仿宋" w:cs="仿宋"/>
          <w:b/>
          <w:bCs/>
        </w:rPr>
        <w:t>2、远景目标</w:t>
      </w:r>
    </w:p>
    <w:p>
      <w:pPr>
        <w:spacing w:line="600" w:lineRule="exact"/>
        <w:ind w:firstLine="640" w:firstLineChars="200"/>
        <w:rPr>
          <w:rFonts w:ascii="仿宋" w:hAnsi="仿宋" w:cs="仿宋"/>
          <w:bCs/>
          <w:szCs w:val="32"/>
        </w:rPr>
      </w:pPr>
      <w:r>
        <w:rPr>
          <w:rFonts w:hint="eastAsia" w:ascii="仿宋" w:hAnsi="仿宋" w:cs="仿宋"/>
          <w:szCs w:val="32"/>
        </w:rPr>
        <w:t>力争到2035年，协同发展体制机制高效运转，主要指标基本达到京津冀领先水平，创新创业活力充分释放，城乡区域差距进一步缩小，基础设施互联互通全面实现，公共服务水平更加优质和普惠，生态环境发生根本好转，人民基本生活保障水平与京津冀先进城区大体相当，高质量的区域一体化发展格局基本形成，建设</w:t>
      </w:r>
      <w:r>
        <w:rPr>
          <w:rFonts w:hint="eastAsia" w:ascii="仿宋" w:hAnsi="仿宋" w:cs="仿宋"/>
          <w:bCs/>
          <w:szCs w:val="32"/>
        </w:rPr>
        <w:t>成为京津冀地区的经济强区、文化名区、绿色城区。</w:t>
      </w:r>
    </w:p>
    <w:p>
      <w:pPr>
        <w:pStyle w:val="2"/>
        <w:spacing w:line="600" w:lineRule="exact"/>
        <w:ind w:firstLine="600"/>
        <w:rPr>
          <w:rFonts w:ascii="仿宋" w:hAnsi="仿宋" w:cs="仿宋"/>
        </w:rPr>
      </w:pPr>
    </w:p>
    <w:p>
      <w:pPr>
        <w:pStyle w:val="2"/>
        <w:spacing w:line="600" w:lineRule="exact"/>
        <w:ind w:firstLine="600"/>
        <w:rPr>
          <w:rFonts w:ascii="仿宋" w:hAnsi="仿宋" w:cs="仿宋"/>
        </w:rPr>
      </w:pPr>
    </w:p>
    <w:p>
      <w:pPr>
        <w:pStyle w:val="4"/>
        <w:spacing w:line="600" w:lineRule="exact"/>
        <w:rPr>
          <w:rFonts w:ascii="仿宋" w:hAnsi="仿宋" w:eastAsia="仿宋" w:cs="仿宋"/>
        </w:rPr>
      </w:pPr>
      <w:bookmarkStart w:id="20" w:name="_Toc6793"/>
      <w:bookmarkStart w:id="21" w:name="_Toc40535496"/>
      <w:r>
        <w:rPr>
          <w:rFonts w:hint="eastAsia" w:ascii="仿宋" w:hAnsi="仿宋" w:eastAsia="仿宋" w:cs="仿宋"/>
        </w:rPr>
        <w:t>第三章 北辰区融入京津冀协同发展的战略思路</w:t>
      </w:r>
      <w:bookmarkEnd w:id="20"/>
      <w:bookmarkEnd w:id="21"/>
    </w:p>
    <w:p>
      <w:pPr>
        <w:pStyle w:val="5"/>
        <w:spacing w:line="600" w:lineRule="exact"/>
        <w:jc w:val="both"/>
        <w:rPr>
          <w:rFonts w:ascii="仿宋" w:hAnsi="仿宋" w:eastAsia="仿宋" w:cs="仿宋"/>
        </w:rPr>
      </w:pPr>
      <w:bookmarkStart w:id="22" w:name="_Toc14901"/>
      <w:bookmarkStart w:id="23" w:name="_Toc40535497"/>
      <w:bookmarkStart w:id="24" w:name="_Toc40535499"/>
    </w:p>
    <w:p>
      <w:pPr>
        <w:spacing w:line="600" w:lineRule="exact"/>
        <w:ind w:firstLine="640" w:firstLineChars="200"/>
        <w:rPr>
          <w:rFonts w:ascii="仿宋" w:hAnsi="仿宋" w:cs="仿宋"/>
        </w:rPr>
      </w:pPr>
      <w:r>
        <w:rPr>
          <w:rFonts w:hint="eastAsia" w:ascii="仿宋" w:hAnsi="仿宋" w:cs="仿宋"/>
        </w:rPr>
        <w:t>我区按照“链式集群、发挥整体优势”“协同推进、构建共赢机制”“创新驱动、引领天津智造”“生态发展、提升协同环境”的战略思路，</w:t>
      </w:r>
      <w:r>
        <w:rPr>
          <w:rFonts w:hint="eastAsia" w:ascii="仿宋" w:hAnsi="仿宋"/>
          <w:szCs w:val="32"/>
        </w:rPr>
        <w:t>坚持“有所为，有所不为”，破解瓶颈，突出重点，把握关键，深度嵌入京津冀产业分工与协同发展新格局</w:t>
      </w:r>
      <w:r>
        <w:rPr>
          <w:rFonts w:hint="eastAsia" w:ascii="仿宋" w:hAnsi="仿宋" w:cs="仿宋"/>
        </w:rPr>
        <w:t>。</w:t>
      </w:r>
    </w:p>
    <w:p>
      <w:pPr>
        <w:pStyle w:val="5"/>
        <w:spacing w:line="600" w:lineRule="exact"/>
        <w:ind w:firstLine="643" w:firstLineChars="200"/>
        <w:jc w:val="both"/>
        <w:rPr>
          <w:rFonts w:ascii="仿宋" w:hAnsi="仿宋" w:eastAsia="仿宋" w:cs="仿宋"/>
        </w:rPr>
      </w:pPr>
      <w:r>
        <w:rPr>
          <w:rFonts w:hint="eastAsia" w:ascii="仿宋" w:hAnsi="仿宋" w:eastAsia="仿宋" w:cs="仿宋"/>
        </w:rPr>
        <w:t>一、链式集群，发挥整体优势</w:t>
      </w:r>
      <w:bookmarkEnd w:id="22"/>
    </w:p>
    <w:p>
      <w:pPr>
        <w:spacing w:line="600" w:lineRule="exact"/>
        <w:ind w:firstLine="640" w:firstLineChars="200"/>
        <w:rPr>
          <w:rFonts w:ascii="仿宋" w:hAnsi="仿宋" w:cs="仿宋"/>
        </w:rPr>
      </w:pPr>
      <w:r>
        <w:rPr>
          <w:rFonts w:ascii="仿宋" w:hAnsi="仿宋"/>
          <w:szCs w:val="32"/>
        </w:rPr>
        <w:t>以规划</w:t>
      </w:r>
      <w:r>
        <w:rPr>
          <w:rFonts w:hint="eastAsia" w:ascii="仿宋" w:hAnsi="仿宋"/>
          <w:szCs w:val="32"/>
        </w:rPr>
        <w:t>、</w:t>
      </w:r>
      <w:r>
        <w:rPr>
          <w:rFonts w:ascii="仿宋" w:hAnsi="仿宋"/>
          <w:szCs w:val="32"/>
        </w:rPr>
        <w:t>项目</w:t>
      </w:r>
      <w:r>
        <w:rPr>
          <w:rFonts w:hint="eastAsia" w:ascii="仿宋" w:hAnsi="仿宋"/>
          <w:szCs w:val="32"/>
        </w:rPr>
        <w:t>、企业、</w:t>
      </w:r>
      <w:r>
        <w:rPr>
          <w:rFonts w:ascii="仿宋" w:hAnsi="仿宋"/>
          <w:szCs w:val="32"/>
        </w:rPr>
        <w:t>载体</w:t>
      </w:r>
      <w:r>
        <w:rPr>
          <w:rFonts w:hint="eastAsia" w:ascii="仿宋" w:hAnsi="仿宋"/>
          <w:szCs w:val="32"/>
        </w:rPr>
        <w:t>、</w:t>
      </w:r>
      <w:r>
        <w:rPr>
          <w:rFonts w:ascii="仿宋" w:hAnsi="仿宋"/>
          <w:szCs w:val="32"/>
        </w:rPr>
        <w:t>政策五个方面为重点</w:t>
      </w:r>
      <w:r>
        <w:rPr>
          <w:rFonts w:hint="eastAsia" w:ascii="仿宋" w:hAnsi="仿宋"/>
          <w:szCs w:val="32"/>
        </w:rPr>
        <w:t>，全面融入</w:t>
      </w:r>
      <w:r>
        <w:rPr>
          <w:rFonts w:ascii="仿宋" w:hAnsi="仿宋"/>
          <w:szCs w:val="32"/>
        </w:rPr>
        <w:t>京津冀产业</w:t>
      </w:r>
      <w:r>
        <w:rPr>
          <w:rFonts w:hint="eastAsia" w:ascii="仿宋" w:hAnsi="仿宋"/>
          <w:szCs w:val="32"/>
        </w:rPr>
        <w:t>一体化</w:t>
      </w:r>
      <w:r>
        <w:rPr>
          <w:rFonts w:ascii="仿宋" w:hAnsi="仿宋"/>
          <w:szCs w:val="32"/>
        </w:rPr>
        <w:t>发展</w:t>
      </w:r>
      <w:r>
        <w:rPr>
          <w:rFonts w:hint="eastAsia" w:ascii="仿宋" w:hAnsi="仿宋"/>
          <w:szCs w:val="32"/>
        </w:rPr>
        <w:t>。</w:t>
      </w:r>
      <w:r>
        <w:rPr>
          <w:rFonts w:hint="eastAsia" w:ascii="仿宋" w:hAnsi="仿宋" w:cs="仿宋"/>
          <w:b/>
          <w:bCs/>
        </w:rPr>
        <w:t>一是</w:t>
      </w:r>
      <w:r>
        <w:rPr>
          <w:rFonts w:hint="eastAsia" w:ascii="仿宋" w:hAnsi="仿宋"/>
          <w:szCs w:val="32"/>
        </w:rPr>
        <w:t>梳理我区优势产业和战略性新兴产业主要产业链的关键环节，理清产业链的优势、劣势和缺失环节，实施“建链、补链、强链、延链”的发展战略，打造若干条从研发、制造到服务的特色鲜明、竞争力强的完整产业链。推动实现从北京知识技术创新源，到北辰创新转化基地、先进制造的产业协同网络架构。</w:t>
      </w:r>
      <w:r>
        <w:rPr>
          <w:rFonts w:hint="eastAsia" w:ascii="仿宋" w:hAnsi="仿宋" w:cs="仿宋"/>
          <w:b/>
          <w:bCs/>
        </w:rPr>
        <w:t>二是</w:t>
      </w:r>
      <w:r>
        <w:rPr>
          <w:rFonts w:hint="eastAsia" w:ascii="仿宋" w:hAnsi="仿宋"/>
          <w:szCs w:val="32"/>
        </w:rPr>
        <w:t>完善以高端装备制造园为代表的京津冀协同发展合作平台，引导企业向</w:t>
      </w:r>
      <w:r>
        <w:rPr>
          <w:rFonts w:hint="eastAsia" w:ascii="仿宋" w:hAnsi="仿宋" w:cs="仿宋"/>
        </w:rPr>
        <w:t>“一区四园”</w:t>
      </w:r>
      <w:r>
        <w:rPr>
          <w:rFonts w:hint="eastAsia" w:ascii="仿宋" w:hAnsi="仿宋"/>
          <w:szCs w:val="32"/>
        </w:rPr>
        <w:t>聚集，拓展“点—链—线—集群—园区—网络”的产业合作格局，促进形成</w:t>
      </w:r>
      <w:r>
        <w:rPr>
          <w:rFonts w:hint="eastAsia" w:ascii="仿宋" w:hAnsi="仿宋" w:cs="仿宋"/>
        </w:rPr>
        <w:t>“3+2+</w:t>
      </w:r>
      <w:r>
        <w:rPr>
          <w:rFonts w:hint="eastAsia"/>
          <w:kern w:val="2"/>
          <w:szCs w:val="24"/>
        </w:rPr>
        <w:t>N</w:t>
      </w:r>
      <w:r>
        <w:rPr>
          <w:rFonts w:hint="eastAsia" w:ascii="仿宋" w:hAnsi="仿宋" w:cs="仿宋"/>
        </w:rPr>
        <w:t>”个</w:t>
      </w:r>
      <w:r>
        <w:rPr>
          <w:rFonts w:hint="eastAsia" w:ascii="仿宋" w:hAnsi="仿宋"/>
          <w:szCs w:val="32"/>
        </w:rPr>
        <w:t>特色产业集群。</w:t>
      </w:r>
    </w:p>
    <w:p>
      <w:pPr>
        <w:pStyle w:val="5"/>
        <w:spacing w:line="600" w:lineRule="exact"/>
        <w:ind w:firstLine="643" w:firstLineChars="200"/>
        <w:jc w:val="both"/>
        <w:rPr>
          <w:rFonts w:ascii="仿宋" w:hAnsi="仿宋" w:eastAsia="仿宋" w:cs="仿宋"/>
        </w:rPr>
      </w:pPr>
      <w:bookmarkStart w:id="25" w:name="_Toc11434"/>
      <w:r>
        <w:rPr>
          <w:rFonts w:hint="eastAsia" w:ascii="仿宋" w:hAnsi="仿宋" w:eastAsia="仿宋" w:cs="仿宋"/>
        </w:rPr>
        <w:t>二、协同开放，构建共赢格局</w:t>
      </w:r>
      <w:bookmarkEnd w:id="25"/>
    </w:p>
    <w:p>
      <w:pPr>
        <w:spacing w:line="600" w:lineRule="exact"/>
        <w:ind w:firstLine="640" w:firstLineChars="200"/>
        <w:rPr>
          <w:rFonts w:ascii="仿宋" w:hAnsi="仿宋" w:cs="仿宋"/>
        </w:rPr>
      </w:pPr>
      <w:r>
        <w:rPr>
          <w:rFonts w:hint="eastAsia" w:ascii="仿宋" w:hAnsi="仿宋" w:cs="仿宋"/>
        </w:rPr>
        <w:t>以国内大循环为主体，形成国内国际“双循环”相互促进的新发展格局，持续深化改革公共领域，加强服务国内区域经济发展。</w:t>
      </w:r>
      <w:r>
        <w:rPr>
          <w:rFonts w:hint="eastAsia" w:ascii="仿宋" w:hAnsi="仿宋" w:cs="仿宋"/>
          <w:b/>
          <w:bCs/>
        </w:rPr>
        <w:t>一是</w:t>
      </w:r>
      <w:r>
        <w:rPr>
          <w:rFonts w:hint="eastAsia" w:ascii="仿宋" w:hAnsi="仿宋" w:cs="仿宋"/>
        </w:rPr>
        <w:t>服务内循环，积极为国内扩大内需贯通物流大通道。应用融合社交、移动、大数据和云计算的“互联网+”智慧园区管理系统，研究制定涉及教育、医疗、社会保障等诸多方面公共服务政策，打造汇集研发、孵化、国际贸易、生产、物流于一体的智慧物流产业园，积极服务京津冀协同发展，协助打造环渤海干支联动网络。</w:t>
      </w:r>
      <w:r>
        <w:rPr>
          <w:rFonts w:hint="eastAsia" w:ascii="仿宋" w:hAnsi="仿宋"/>
          <w:b/>
          <w:bCs/>
          <w:szCs w:val="32"/>
        </w:rPr>
        <w:t>二是</w:t>
      </w:r>
      <w:r>
        <w:rPr>
          <w:rFonts w:hint="eastAsia" w:ascii="仿宋" w:hAnsi="仿宋"/>
          <w:szCs w:val="32"/>
        </w:rPr>
        <w:t>以共建共管一批研究院、产业园区和承接平台为抓手，</w:t>
      </w:r>
      <w:r>
        <w:rPr>
          <w:rFonts w:hint="eastAsia" w:ascii="仿宋" w:hAnsi="仿宋" w:cs="仿宋"/>
          <w:color w:val="000000"/>
          <w:szCs w:val="32"/>
        </w:rPr>
        <w:t>探索共建“飞地经济”，三地联合引导资源、要素和项目，推动</w:t>
      </w:r>
      <w:r>
        <w:rPr>
          <w:rFonts w:ascii="仿宋" w:hAnsi="仿宋"/>
          <w:szCs w:val="32"/>
        </w:rPr>
        <w:t>“技术进链、企业进群、产业进带</w:t>
      </w:r>
      <w:r>
        <w:rPr>
          <w:rFonts w:hint="eastAsia" w:ascii="仿宋" w:hAnsi="仿宋"/>
          <w:szCs w:val="32"/>
        </w:rPr>
        <w:t>、园区进圈</w:t>
      </w:r>
      <w:r>
        <w:rPr>
          <w:rFonts w:ascii="仿宋" w:hAnsi="仿宋"/>
          <w:szCs w:val="32"/>
        </w:rPr>
        <w:t>”</w:t>
      </w:r>
      <w:r>
        <w:rPr>
          <w:rFonts w:hint="eastAsia" w:ascii="仿宋" w:hAnsi="仿宋"/>
          <w:szCs w:val="32"/>
        </w:rPr>
        <w:t>，</w:t>
      </w:r>
      <w:r>
        <w:rPr>
          <w:rFonts w:hint="eastAsia" w:ascii="仿宋" w:hAnsi="仿宋" w:cs="仿宋"/>
          <w:color w:val="000000"/>
          <w:szCs w:val="32"/>
        </w:rPr>
        <w:t>促进产业转移精准化、产业承接集聚化和平台建设专业化。</w:t>
      </w:r>
    </w:p>
    <w:p>
      <w:pPr>
        <w:pStyle w:val="5"/>
        <w:spacing w:line="600" w:lineRule="exact"/>
        <w:ind w:firstLine="643" w:firstLineChars="200"/>
        <w:jc w:val="both"/>
        <w:rPr>
          <w:rFonts w:ascii="仿宋" w:hAnsi="仿宋" w:eastAsia="仿宋" w:cs="仿宋"/>
        </w:rPr>
      </w:pPr>
      <w:bookmarkStart w:id="26" w:name="_Toc9294"/>
      <w:r>
        <w:rPr>
          <w:rFonts w:hint="eastAsia" w:ascii="仿宋" w:hAnsi="仿宋" w:eastAsia="仿宋" w:cs="仿宋"/>
        </w:rPr>
        <w:t>三、创新驱动，引领天津智造</w:t>
      </w:r>
      <w:bookmarkEnd w:id="26"/>
    </w:p>
    <w:p>
      <w:pPr>
        <w:spacing w:line="600" w:lineRule="exact"/>
        <w:ind w:firstLine="640" w:firstLineChars="200"/>
        <w:rPr>
          <w:rFonts w:ascii="仿宋" w:hAnsi="仿宋" w:cs="仿宋"/>
          <w:highlight w:val="yellow"/>
        </w:rPr>
      </w:pPr>
      <w:r>
        <w:rPr>
          <w:rFonts w:hint="eastAsia" w:ascii="仿宋" w:hAnsi="仿宋"/>
          <w:szCs w:val="32"/>
        </w:rPr>
        <w:t>借助首都优质资源，实现创新要素的跨区域流动聚集，激发创新驱动发展的内生动力，在互惠共赢的基础上协同创新，培育新的经济增长点</w:t>
      </w:r>
      <w:r>
        <w:rPr>
          <w:rFonts w:hint="eastAsia" w:ascii="仿宋" w:hAnsi="仿宋" w:cs="仿宋"/>
          <w:sz w:val="24"/>
          <w:szCs w:val="24"/>
        </w:rPr>
        <w:t>。</w:t>
      </w:r>
      <w:r>
        <w:rPr>
          <w:rFonts w:hint="eastAsia" w:ascii="仿宋" w:hAnsi="仿宋" w:cs="仿宋"/>
          <w:color w:val="000000"/>
          <w:szCs w:val="32"/>
        </w:rPr>
        <w:t>一</w:t>
      </w:r>
      <w:r>
        <w:rPr>
          <w:rFonts w:hint="eastAsia" w:ascii="仿宋" w:hAnsi="仿宋" w:cs="仿宋"/>
          <w:b/>
          <w:bCs/>
          <w:color w:val="000000"/>
          <w:szCs w:val="32"/>
        </w:rPr>
        <w:t>是</w:t>
      </w:r>
      <w:r>
        <w:rPr>
          <w:rFonts w:hint="eastAsia" w:ascii="仿宋" w:hAnsi="仿宋" w:cs="仿宋"/>
          <w:color w:val="000000"/>
          <w:szCs w:val="32"/>
        </w:rPr>
        <w:t>以技术策源地的北京为创新链布局的核心，</w:t>
      </w:r>
      <w:r>
        <w:rPr>
          <w:rFonts w:ascii="仿宋" w:hAnsi="仿宋"/>
          <w:szCs w:val="32"/>
        </w:rPr>
        <w:t>统筹</w:t>
      </w:r>
      <w:r>
        <w:rPr>
          <w:rFonts w:hint="eastAsia" w:ascii="仿宋" w:hAnsi="仿宋"/>
          <w:szCs w:val="32"/>
        </w:rPr>
        <w:t>区域</w:t>
      </w:r>
      <w:r>
        <w:rPr>
          <w:rFonts w:ascii="仿宋" w:hAnsi="仿宋"/>
          <w:szCs w:val="32"/>
        </w:rPr>
        <w:t>科技资源，促进创新成果</w:t>
      </w:r>
      <w:r>
        <w:rPr>
          <w:rFonts w:hint="eastAsia" w:ascii="仿宋" w:hAnsi="仿宋"/>
          <w:szCs w:val="32"/>
        </w:rPr>
        <w:t>在北辰孵化</w:t>
      </w:r>
      <w:r>
        <w:rPr>
          <w:rFonts w:ascii="仿宋" w:hAnsi="仿宋"/>
          <w:szCs w:val="32"/>
        </w:rPr>
        <w:t>产业化，</w:t>
      </w:r>
      <w:r>
        <w:rPr>
          <w:rFonts w:hint="eastAsia" w:ascii="仿宋" w:hAnsi="仿宋"/>
          <w:szCs w:val="32"/>
        </w:rPr>
        <w:t>充分释放彼此间“人才、资本、信息、技术”等创新要素活力，</w:t>
      </w:r>
      <w:r>
        <w:rPr>
          <w:rFonts w:ascii="仿宋" w:hAnsi="仿宋"/>
          <w:szCs w:val="32"/>
        </w:rPr>
        <w:t>形成多主体、多层次、开放互动的创新机制和环境</w:t>
      </w:r>
      <w:r>
        <w:rPr>
          <w:rFonts w:hint="eastAsia" w:ascii="仿宋" w:hAnsi="仿宋"/>
          <w:szCs w:val="32"/>
        </w:rPr>
        <w:t>，</w:t>
      </w:r>
      <w:r>
        <w:rPr>
          <w:rFonts w:hint="eastAsia" w:ascii="仿宋" w:hAnsi="仿宋" w:cs="仿宋"/>
          <w:color w:val="000000"/>
          <w:szCs w:val="32"/>
        </w:rPr>
        <w:t>重点推进我区从制造向智造升级。</w:t>
      </w:r>
      <w:r>
        <w:rPr>
          <w:rFonts w:hint="eastAsia" w:ascii="仿宋" w:hAnsi="仿宋" w:cs="仿宋"/>
          <w:b/>
          <w:bCs/>
          <w:color w:val="000000"/>
          <w:szCs w:val="32"/>
        </w:rPr>
        <w:t>二是</w:t>
      </w:r>
      <w:r>
        <w:rPr>
          <w:rFonts w:hint="eastAsia" w:ascii="仿宋" w:hAnsi="仿宋" w:cs="仿宋"/>
        </w:rPr>
        <w:t>共建虚拟大学园和产业技术研究院等产业科技创新平台，从技术研发和成果孵化转化两层面补齐创新链“短板”，助推“科+教+产”融合发展。</w:t>
      </w:r>
    </w:p>
    <w:p>
      <w:pPr>
        <w:pStyle w:val="5"/>
        <w:spacing w:line="600" w:lineRule="exact"/>
        <w:ind w:firstLine="643" w:firstLineChars="200"/>
        <w:jc w:val="both"/>
        <w:rPr>
          <w:rFonts w:ascii="仿宋" w:hAnsi="仿宋" w:eastAsia="仿宋" w:cs="仿宋"/>
        </w:rPr>
      </w:pPr>
      <w:bookmarkStart w:id="27" w:name="_Toc17933"/>
      <w:r>
        <w:rPr>
          <w:rFonts w:hint="eastAsia" w:ascii="仿宋" w:hAnsi="仿宋" w:eastAsia="仿宋" w:cs="仿宋"/>
        </w:rPr>
        <w:t>四、生态发展，提升协同环境</w:t>
      </w:r>
      <w:bookmarkEnd w:id="27"/>
    </w:p>
    <w:p>
      <w:pPr>
        <w:spacing w:line="600" w:lineRule="exact"/>
        <w:ind w:firstLine="640" w:firstLineChars="200"/>
        <w:rPr>
          <w:rFonts w:ascii="仿宋" w:hAnsi="仿宋" w:cs="仿宋"/>
        </w:rPr>
      </w:pPr>
      <w:r>
        <w:rPr>
          <w:rFonts w:hint="eastAsia" w:ascii="仿宋" w:hAnsi="仿宋" w:cs="仿宋"/>
        </w:rPr>
        <w:t>全面融入京津冀协同发展空间载体，主动布局京津冀协同发展新载体。</w:t>
      </w:r>
      <w:r>
        <w:rPr>
          <w:rFonts w:hint="eastAsia" w:ascii="仿宋" w:hAnsi="仿宋" w:cs="仿宋"/>
          <w:b/>
          <w:bCs/>
        </w:rPr>
        <w:t>一是</w:t>
      </w:r>
      <w:r>
        <w:rPr>
          <w:rFonts w:hint="eastAsia" w:ascii="仿宋" w:hAnsi="仿宋" w:cs="仿宋"/>
        </w:rPr>
        <w:t>依托产城融合示范区和“一区四园”，举京津、集全国和聚国际的优质市场要素，</w:t>
      </w:r>
      <w:r>
        <w:rPr>
          <w:rFonts w:hint="eastAsia" w:ascii="仿宋" w:hAnsi="仿宋"/>
          <w:szCs w:val="32"/>
        </w:rPr>
        <w:t>通过产业要素间协调整合，推动</w:t>
      </w:r>
      <w:r>
        <w:rPr>
          <w:rFonts w:hint="eastAsia" w:ascii="仿宋" w:hAnsi="仿宋" w:cs="仿宋"/>
        </w:rPr>
        <w:t>实体经济、科技创新、现代金融</w:t>
      </w:r>
      <w:r>
        <w:rPr>
          <w:rFonts w:hint="eastAsia" w:ascii="仿宋" w:hAnsi="仿宋"/>
          <w:szCs w:val="32"/>
        </w:rPr>
        <w:t>形成“研发设计—孵化转化—生产制造—物流配送—服务”良性循环的产业生态、区域生态和创新生态，</w:t>
      </w:r>
      <w:r>
        <w:rPr>
          <w:rFonts w:hint="eastAsia" w:ascii="仿宋" w:hAnsi="仿宋" w:cs="仿宋"/>
        </w:rPr>
        <w:t>助推建设“京津智能科技走廊”。</w:t>
      </w:r>
      <w:r>
        <w:rPr>
          <w:rFonts w:hint="eastAsia" w:ascii="仿宋" w:hAnsi="仿宋" w:cs="仿宋"/>
          <w:b/>
          <w:bCs/>
        </w:rPr>
        <w:t>二是</w:t>
      </w:r>
      <w:r>
        <w:rPr>
          <w:rFonts w:hint="eastAsia" w:ascii="仿宋" w:hAnsi="仿宋" w:cs="仿宋"/>
        </w:rPr>
        <w:t>推进职住均衡的“三生共生”的空间发展，构建新型空间规划体系，提高城市综合承载能力，增加产城融合示范区生态、居住、生活服务用地，建设智享创新区域中心。</w:t>
      </w:r>
    </w:p>
    <w:p>
      <w:pPr>
        <w:pStyle w:val="2"/>
        <w:ind w:firstLine="600"/>
      </w:pPr>
    </w:p>
    <w:bookmarkEnd w:id="23"/>
    <w:bookmarkEnd w:id="24"/>
    <w:p>
      <w:pPr>
        <w:pStyle w:val="4"/>
        <w:spacing w:line="600" w:lineRule="exact"/>
        <w:rPr>
          <w:rFonts w:ascii="仿宋" w:hAnsi="仿宋" w:eastAsia="仿宋" w:cs="仿宋"/>
        </w:rPr>
      </w:pPr>
      <w:bookmarkStart w:id="28" w:name="_Toc9662"/>
      <w:bookmarkStart w:id="29" w:name="_Toc40535503"/>
      <w:r>
        <w:rPr>
          <w:rFonts w:hint="eastAsia" w:ascii="仿宋" w:hAnsi="仿宋" w:eastAsia="仿宋" w:cs="仿宋"/>
        </w:rPr>
        <w:t>第四章 北辰区融入京津冀协同发展的重点任务</w:t>
      </w:r>
      <w:bookmarkEnd w:id="28"/>
      <w:bookmarkEnd w:id="29"/>
    </w:p>
    <w:p>
      <w:pPr>
        <w:widowControl w:val="0"/>
        <w:spacing w:line="600" w:lineRule="exact"/>
        <w:ind w:firstLine="640" w:firstLineChars="200"/>
        <w:rPr>
          <w:rFonts w:ascii="仿宋" w:hAnsi="仿宋" w:cs="仿宋"/>
          <w:kern w:val="2"/>
          <w:szCs w:val="24"/>
        </w:rPr>
      </w:pPr>
      <w:bookmarkStart w:id="30" w:name="_Toc23311"/>
    </w:p>
    <w:p>
      <w:pPr>
        <w:widowControl w:val="0"/>
        <w:spacing w:line="600" w:lineRule="exact"/>
        <w:ind w:firstLine="640" w:firstLineChars="200"/>
        <w:rPr>
          <w:rFonts w:ascii="仿宋" w:hAnsi="仿宋" w:cs="仿宋"/>
          <w:kern w:val="2"/>
          <w:szCs w:val="24"/>
        </w:rPr>
      </w:pPr>
      <w:r>
        <w:rPr>
          <w:rFonts w:hint="eastAsia" w:ascii="仿宋" w:hAnsi="仿宋" w:cs="仿宋"/>
          <w:kern w:val="2"/>
          <w:szCs w:val="24"/>
        </w:rPr>
        <w:t>“十四五”期间，我区着力在产业一体化、协同创新、交通一体化、城乡统筹发展、生态联防联控、公共服务共建共享等方面全面融入京津冀协同发展，努力建设成为天津中心城区与首都对接的战略新支点。</w:t>
      </w:r>
    </w:p>
    <w:bookmarkEnd w:id="30"/>
    <w:p>
      <w:pPr>
        <w:pStyle w:val="5"/>
        <w:spacing w:line="600" w:lineRule="exact"/>
        <w:rPr>
          <w:rFonts w:ascii="仿宋" w:hAnsi="仿宋" w:eastAsia="仿宋" w:cs="仿宋"/>
        </w:rPr>
      </w:pPr>
      <w:r>
        <w:rPr>
          <w:rFonts w:hint="eastAsia" w:ascii="仿宋" w:hAnsi="仿宋" w:eastAsia="仿宋" w:cs="仿宋"/>
        </w:rPr>
        <w:t>一、聚力“高质量”，打造产业协同发展体系</w:t>
      </w:r>
    </w:p>
    <w:p>
      <w:pPr>
        <w:widowControl w:val="0"/>
        <w:spacing w:line="600" w:lineRule="exact"/>
        <w:ind w:firstLine="640" w:firstLineChars="200"/>
        <w:rPr>
          <w:rFonts w:ascii="仿宋" w:hAnsi="仿宋" w:cs="仿宋"/>
          <w:kern w:val="2"/>
          <w:szCs w:val="24"/>
        </w:rPr>
      </w:pPr>
      <w:r>
        <w:rPr>
          <w:rFonts w:hint="eastAsia" w:ascii="仿宋" w:hAnsi="仿宋" w:cs="仿宋"/>
          <w:kern w:val="2"/>
          <w:szCs w:val="24"/>
        </w:rPr>
        <w:t>深度融入京津冀产业一体化，以高端装备产业园等园区为载体，瞄准世界科技前沿和产业制高点，紧紧扭住承接非首都功能疏解这个“牛鼻子”，实施“延链聚带—特色集群—产城融合”的发展战略，建设现代化产业生态体系。</w:t>
      </w:r>
    </w:p>
    <w:p>
      <w:pPr>
        <w:widowControl w:val="0"/>
        <w:spacing w:line="600" w:lineRule="exact"/>
        <w:ind w:firstLine="643" w:firstLineChars="200"/>
        <w:rPr>
          <w:rFonts w:ascii="仿宋" w:hAnsi="仿宋" w:cs="仿宋"/>
          <w:kern w:val="2"/>
          <w:szCs w:val="24"/>
        </w:rPr>
      </w:pPr>
      <w:r>
        <w:rPr>
          <w:rFonts w:hint="eastAsia" w:ascii="仿宋" w:hAnsi="仿宋" w:cs="仿宋"/>
          <w:b/>
          <w:bCs/>
          <w:kern w:val="2"/>
          <w:szCs w:val="24"/>
        </w:rPr>
        <w:t>1、延链聚带：聚集产业链带完善，释放集群集聚效应，夯实非首都功能转移的发展基础。</w:t>
      </w:r>
      <w:r>
        <w:rPr>
          <w:rFonts w:hint="eastAsia" w:ascii="仿宋" w:hAnsi="仿宋" w:cs="仿宋"/>
          <w:kern w:val="2"/>
          <w:szCs w:val="24"/>
        </w:rPr>
        <w:t>重点围绕高端装备制造产业、生物医药及健康产业、智能科技产业和新能源新材料产业四大领域，坚持“缺链补位、短链拉长、弱链增强、同链错构”的发展思路，努力打造1</w:t>
      </w:r>
      <w:r>
        <w:rPr>
          <w:rFonts w:hint="eastAsia" w:ascii="仿宋" w:hAnsi="仿宋" w:cs="仿宋"/>
          <w:kern w:val="2"/>
          <w:szCs w:val="24"/>
          <w:lang w:val="en-US" w:eastAsia="zh-CN"/>
        </w:rPr>
        <w:t>0余</w:t>
      </w:r>
      <w:r>
        <w:rPr>
          <w:rFonts w:hint="eastAsia" w:ascii="仿宋" w:hAnsi="仿宋" w:cs="仿宋"/>
          <w:kern w:val="2"/>
          <w:szCs w:val="24"/>
        </w:rPr>
        <w:t>条</w:t>
      </w:r>
      <w:r>
        <w:rPr>
          <w:rFonts w:hint="eastAsia" w:ascii="仿宋" w:hAnsi="仿宋"/>
          <w:szCs w:val="32"/>
        </w:rPr>
        <w:t>自研发、到制造和服务的特色鲜明、竞争力强的较为完整的产业链，推动实现从北京知识技术创新源，到北辰创新转化基地、先进制造的产业协同网络架构。</w:t>
      </w:r>
      <w:r>
        <w:rPr>
          <w:rFonts w:hint="eastAsia" w:ascii="仿宋" w:hAnsi="仿宋" w:cs="仿宋"/>
          <w:kern w:val="2"/>
          <w:szCs w:val="24"/>
        </w:rPr>
        <w:t>有力支撑京津高新技术产业带（京津科技新干线）。</w:t>
      </w:r>
    </w:p>
    <w:p>
      <w:pPr>
        <w:widowControl w:val="0"/>
        <w:spacing w:line="600" w:lineRule="exact"/>
        <w:ind w:firstLine="643" w:firstLineChars="200"/>
        <w:rPr>
          <w:rFonts w:ascii="仿宋" w:hAnsi="仿宋" w:cs="仿宋"/>
          <w:kern w:val="2"/>
          <w:szCs w:val="32"/>
        </w:rPr>
      </w:pPr>
      <w:r>
        <w:rPr>
          <w:rFonts w:hint="eastAsia" w:ascii="仿宋" w:hAnsi="仿宋" w:cs="仿宋"/>
          <w:b/>
          <w:bCs/>
          <w:kern w:val="2"/>
          <w:szCs w:val="32"/>
        </w:rPr>
        <w:t>一是</w:t>
      </w:r>
      <w:bookmarkStart w:id="31" w:name="_Toc51182974"/>
      <w:r>
        <w:rPr>
          <w:rFonts w:hint="eastAsia" w:ascii="仿宋" w:hAnsi="仿宋" w:cs="仿宋"/>
          <w:b/>
          <w:bCs/>
          <w:kern w:val="2"/>
          <w:szCs w:val="32"/>
        </w:rPr>
        <w:t>发展高端装备制造产业，推动</w:t>
      </w:r>
      <w:r>
        <w:rPr>
          <w:rFonts w:hint="eastAsia" w:ascii="仿宋" w:hAnsi="仿宋" w:cs="仿宋"/>
          <w:b/>
          <w:bCs/>
          <w:kern w:val="2"/>
          <w:szCs w:val="22"/>
        </w:rPr>
        <w:t>传统制造业向智能化转型</w:t>
      </w:r>
      <w:bookmarkEnd w:id="31"/>
      <w:r>
        <w:rPr>
          <w:rFonts w:hint="eastAsia" w:ascii="仿宋" w:hAnsi="仿宋" w:cs="仿宋"/>
          <w:b/>
          <w:bCs/>
          <w:kern w:val="2"/>
          <w:szCs w:val="22"/>
        </w:rPr>
        <w:t>。</w:t>
      </w:r>
      <w:r>
        <w:rPr>
          <w:rFonts w:hint="eastAsia" w:ascii="仿宋" w:hAnsi="仿宋" w:cs="仿宋"/>
          <w:kern w:val="2"/>
          <w:szCs w:val="32"/>
        </w:rPr>
        <w:t>围绕高端装备制造，由关键点引领链条，由关键链带动域面，</w:t>
      </w:r>
      <w:r>
        <w:rPr>
          <w:rFonts w:hint="eastAsia" w:ascii="仿宋" w:hAnsi="仿宋" w:cs="仿宋"/>
          <w:kern w:val="2"/>
          <w:szCs w:val="32"/>
          <w:highlight w:val="none"/>
        </w:rPr>
        <w:t>由域</w:t>
      </w:r>
      <w:r>
        <w:rPr>
          <w:rFonts w:hint="eastAsia" w:ascii="仿宋" w:hAnsi="仿宋" w:cs="仿宋"/>
          <w:kern w:val="2"/>
          <w:szCs w:val="32"/>
        </w:rPr>
        <w:t>面交织成网络系统，着力打造从产品创新与研发到产业化生产的智能装备产业集群，深化区域产业链融合发展。加快京津智慧科创园、高端装备产业园建设，</w:t>
      </w:r>
      <w:r>
        <w:rPr>
          <w:rFonts w:hint="eastAsia" w:ascii="仿宋" w:hAnsi="仿宋" w:cs="仿宋"/>
          <w:kern w:val="2"/>
          <w:szCs w:val="22"/>
        </w:rPr>
        <w:t>重点瞄准智能印刷装备、动力传动设备、军民融合三大产业集群，</w:t>
      </w:r>
      <w:r>
        <w:rPr>
          <w:rFonts w:hint="eastAsia" w:ascii="仿宋" w:hAnsi="仿宋" w:cs="仿宋"/>
          <w:kern w:val="2"/>
          <w:szCs w:val="32"/>
        </w:rPr>
        <w:t>努力建设成为高技术、高附加值的智能装备产业基地。以长荣印刷智能绿色产业基地和国家级新闻出版装备产业园两个重点项目为依托，积极引进数字印刷产业相关项目，打造国内知名的智能化印刷设备研发制造基地。以</w:t>
      </w:r>
      <w:r>
        <w:rPr>
          <w:kern w:val="2"/>
          <w:szCs w:val="32"/>
        </w:rPr>
        <w:t>SMC</w:t>
      </w:r>
      <w:r>
        <w:rPr>
          <w:rFonts w:hint="eastAsia" w:ascii="仿宋" w:hAnsi="仿宋" w:cs="仿宋"/>
          <w:kern w:val="2"/>
          <w:szCs w:val="32"/>
        </w:rPr>
        <w:t>、弗兰德等龙头企业为引领，重点推进气动元件、多行业应用减速机等研发生产，构建动力传动设备产业集群。依托兵器集团70所、捷强装备等，实现军民融合产业发展。</w:t>
      </w:r>
      <w:bookmarkStart w:id="32" w:name="_Toc51182975"/>
    </w:p>
    <w:p>
      <w:pPr>
        <w:widowControl w:val="0"/>
        <w:spacing w:line="600" w:lineRule="exact"/>
        <w:ind w:firstLine="643" w:firstLineChars="200"/>
        <w:rPr>
          <w:rFonts w:ascii="仿宋" w:hAnsi="仿宋" w:cs="仿宋"/>
          <w:szCs w:val="32"/>
        </w:rPr>
      </w:pPr>
      <w:r>
        <w:rPr>
          <w:rFonts w:hint="eastAsia" w:ascii="仿宋" w:hAnsi="仿宋" w:cs="仿宋"/>
          <w:b/>
          <w:bCs/>
          <w:szCs w:val="32"/>
        </w:rPr>
        <w:t>二是发展生物医药</w:t>
      </w:r>
      <w:bookmarkEnd w:id="32"/>
      <w:r>
        <w:rPr>
          <w:rFonts w:hint="eastAsia" w:ascii="仿宋" w:hAnsi="仿宋" w:cs="仿宋"/>
          <w:b/>
          <w:bCs/>
          <w:szCs w:val="32"/>
        </w:rPr>
        <w:t>和中医药产业，推动新兴产业加速聚集。</w:t>
      </w:r>
      <w:r>
        <w:rPr>
          <w:rFonts w:hint="eastAsia" w:ascii="仿宋" w:hAnsi="仿宋" w:cs="仿宋"/>
          <w:szCs w:val="32"/>
        </w:rPr>
        <w:t>立足北辰在医药产业方面的优势，加快天津生物医药（中医药）产业园规划落地，以生物医药和中医药为产业主导方向，引进龙头企业和产业化项目，形成相对完善的生物医药产业链，建设生物医药产业的技术、人才、资金密集区，打造全国一流的医药研发制造和中医药现代化产业聚集区，与医药医疗器械产业园、天士力大健康产业园联动发展。</w:t>
      </w:r>
    </w:p>
    <w:p>
      <w:pPr>
        <w:spacing w:line="600" w:lineRule="exact"/>
        <w:ind w:firstLine="643" w:firstLineChars="200"/>
        <w:rPr>
          <w:rFonts w:ascii="仿宋" w:hAnsi="仿宋" w:cs="仿宋"/>
          <w:szCs w:val="32"/>
        </w:rPr>
      </w:pPr>
      <w:r>
        <w:rPr>
          <w:rFonts w:hint="eastAsia" w:ascii="仿宋" w:hAnsi="仿宋" w:cs="仿宋"/>
          <w:b/>
          <w:bCs/>
          <w:szCs w:val="32"/>
        </w:rPr>
        <w:t>三是发展</w:t>
      </w:r>
      <w:bookmarkStart w:id="33" w:name="_Hlk44455675"/>
      <w:r>
        <w:rPr>
          <w:rFonts w:hint="eastAsia" w:ascii="仿宋" w:hAnsi="仿宋" w:cs="仿宋"/>
          <w:b/>
          <w:bCs/>
          <w:szCs w:val="32"/>
        </w:rPr>
        <w:t>新能源新材料</w:t>
      </w:r>
      <w:bookmarkEnd w:id="33"/>
      <w:r>
        <w:rPr>
          <w:rFonts w:hint="eastAsia" w:ascii="仿宋" w:hAnsi="仿宋" w:cs="仿宋"/>
          <w:b/>
          <w:bCs/>
          <w:szCs w:val="32"/>
        </w:rPr>
        <w:t>产业，形成特色产业聚集基地。</w:t>
      </w:r>
      <w:r>
        <w:rPr>
          <w:rFonts w:hint="eastAsia" w:ascii="仿宋" w:hAnsi="仿宋" w:cs="仿宋"/>
          <w:szCs w:val="32"/>
        </w:rPr>
        <w:t>立足本地产业基础和区域市场需求，以“高端延伸、引进培育”为导向，继续做大做精新能源新材料产业。大力推动铸金科技、久日新材、博威动力、银龙预应力等现有企业发展壮大，加速推进中兴5</w:t>
      </w:r>
      <w:r>
        <w:rPr>
          <w:szCs w:val="32"/>
        </w:rPr>
        <w:t>G</w:t>
      </w:r>
      <w:r>
        <w:rPr>
          <w:rFonts w:hint="eastAsia" w:ascii="仿宋" w:hAnsi="仿宋" w:cs="仿宋"/>
          <w:szCs w:val="32"/>
        </w:rPr>
        <w:t>光介质产业园建设进度，积极引进宁德时代、阳光电源等产业龙头项目，形成区域特色新能源新材料产业发展基地。</w:t>
      </w:r>
    </w:p>
    <w:p>
      <w:pPr>
        <w:spacing w:line="600" w:lineRule="exact"/>
        <w:ind w:firstLine="643" w:firstLineChars="200"/>
        <w:rPr>
          <w:rFonts w:ascii="仿宋" w:hAnsi="仿宋" w:cs="仿宋"/>
          <w:b/>
          <w:bCs/>
          <w:szCs w:val="32"/>
        </w:rPr>
      </w:pPr>
      <w:r>
        <w:rPr>
          <w:rFonts w:hint="eastAsia" w:ascii="仿宋" w:hAnsi="仿宋" w:cs="仿宋"/>
          <w:b/>
          <w:bCs/>
          <w:szCs w:val="32"/>
        </w:rPr>
        <w:t>四是发展新一代信息技术产业，打造智慧型产业园区。</w:t>
      </w:r>
      <w:r>
        <w:rPr>
          <w:rFonts w:hint="eastAsia" w:ascii="仿宋" w:hAnsi="仿宋" w:cs="仿宋"/>
          <w:szCs w:val="32"/>
        </w:rPr>
        <w:t>以“数据化、智能化、终端化”为主攻方向，加快培育新一代信息技术产业集群。以朝亚大数据项目为重点，培育发展大数据装备制造、存储管理、分析挖掘、安全保障的大数据产业链。发挥长荣建设工业互联网标识解析二级节点的先发优势，积极发展工业互联网，实施“5</w:t>
      </w:r>
      <w:r>
        <w:rPr>
          <w:kern w:val="2"/>
          <w:szCs w:val="24"/>
        </w:rPr>
        <w:t>G</w:t>
      </w:r>
      <w:r>
        <w:rPr>
          <w:rFonts w:hint="eastAsia" w:ascii="仿宋" w:hAnsi="仿宋" w:cs="仿宋"/>
          <w:szCs w:val="32"/>
        </w:rPr>
        <w:t>+工业互联网+工业大数据中心”战略计划，培育和引进一批国内顶尖的工业互联网平台企业和服务商，打造一批以工业互联网平台、大数据行业解决方案、工业核心软件与信息技术服务等为代表的引领性产品和应用。</w:t>
      </w:r>
    </w:p>
    <w:p>
      <w:pPr>
        <w:widowControl w:val="0"/>
        <w:spacing w:line="600" w:lineRule="exact"/>
        <w:ind w:firstLine="643" w:firstLineChars="200"/>
        <w:rPr>
          <w:rFonts w:ascii="仿宋" w:hAnsi="仿宋" w:cs="仿宋"/>
          <w:kern w:val="2"/>
          <w:szCs w:val="24"/>
        </w:rPr>
      </w:pPr>
      <w:r>
        <w:rPr>
          <w:rFonts w:hint="eastAsia" w:ascii="仿宋" w:hAnsi="仿宋" w:cs="仿宋"/>
          <w:b/>
          <w:bCs/>
          <w:kern w:val="2"/>
          <w:szCs w:val="24"/>
        </w:rPr>
        <w:t>2、特色集群：聚焦服务业与制造业融合发展打造现代服务业集群，发挥增强带动效应。</w:t>
      </w:r>
      <w:r>
        <w:rPr>
          <w:rFonts w:hint="eastAsia" w:ascii="仿宋" w:hAnsi="仿宋" w:cs="仿宋"/>
          <w:kern w:val="2"/>
          <w:szCs w:val="24"/>
        </w:rPr>
        <w:t>促进服务业提质扩容，精准承接和服务非首都功能产业转移，努力建设成为京津冀合作共建的典范、协同创新的战略高地</w:t>
      </w:r>
      <w:r>
        <w:rPr>
          <w:rFonts w:hint="eastAsia" w:ascii="仿宋" w:hAnsi="仿宋" w:cs="仿宋"/>
        </w:rPr>
        <w:t>，以智能科技产业和现代服务业等新兴产业和以若干个未来经济增长点等为特色产业的“3+2+</w:t>
      </w:r>
      <w:r>
        <w:t>N</w:t>
      </w:r>
      <w:r>
        <w:rPr>
          <w:rFonts w:hint="eastAsia" w:ascii="仿宋" w:hAnsi="仿宋" w:cs="仿宋"/>
        </w:rPr>
        <w:t>”个产业集群，引领北辰高质量发展</w:t>
      </w:r>
      <w:r>
        <w:rPr>
          <w:rFonts w:hint="eastAsia" w:ascii="仿宋" w:hAnsi="仿宋" w:cs="仿宋"/>
          <w:kern w:val="2"/>
          <w:szCs w:val="24"/>
        </w:rPr>
        <w:t>。</w:t>
      </w:r>
    </w:p>
    <w:p>
      <w:pPr>
        <w:widowControl w:val="0"/>
        <w:spacing w:line="600" w:lineRule="exact"/>
        <w:ind w:firstLine="643" w:firstLineChars="200"/>
        <w:rPr>
          <w:rFonts w:ascii="仿宋" w:hAnsi="仿宋" w:cs="仿宋"/>
          <w:kern w:val="2"/>
          <w:szCs w:val="24"/>
        </w:rPr>
      </w:pPr>
      <w:r>
        <w:rPr>
          <w:rFonts w:hint="eastAsia" w:ascii="仿宋" w:hAnsi="仿宋" w:cs="仿宋"/>
          <w:b/>
          <w:bCs/>
          <w:kern w:val="2"/>
          <w:szCs w:val="24"/>
        </w:rPr>
        <w:t>一是推动生活性服务业向精细化和高品质转变，对接京津冀。</w:t>
      </w:r>
      <w:r>
        <w:rPr>
          <w:rFonts w:hint="eastAsia" w:ascii="仿宋" w:hAnsi="仿宋" w:cs="仿宋"/>
          <w:kern w:val="2"/>
          <w:szCs w:val="24"/>
        </w:rPr>
        <w:t>聚焦创意文化、健康养老服务、旅游休闲等重点业态，着力推进栖凤国际健康养老新市镇、运河国际生态新市镇、都市农业生态观光园、郊野公园等重点项目建设，做好引绿入城的生态空间利用，加快建设、完善示范区内等宜居生活空间，促进城镇综合服务功能不断完善，加快建设京津冀服务业集聚示范基地，形成国内具有综合竞争优势的服务业集群。</w:t>
      </w:r>
    </w:p>
    <w:p>
      <w:pPr>
        <w:widowControl w:val="0"/>
        <w:spacing w:line="600" w:lineRule="exact"/>
        <w:ind w:firstLine="643" w:firstLineChars="200"/>
        <w:rPr>
          <w:rFonts w:ascii="仿宋" w:hAnsi="仿宋" w:cs="仿宋"/>
          <w:kern w:val="2"/>
          <w:szCs w:val="24"/>
        </w:rPr>
      </w:pPr>
      <w:r>
        <w:rPr>
          <w:rFonts w:hint="eastAsia" w:ascii="仿宋" w:hAnsi="仿宋" w:cs="仿宋"/>
          <w:b/>
          <w:bCs/>
          <w:kern w:val="2"/>
          <w:szCs w:val="24"/>
        </w:rPr>
        <w:t>二是推动生产性服务业向专业化和价值链高端化延伸，服务京津雄。</w:t>
      </w:r>
      <w:r>
        <w:rPr>
          <w:rFonts w:hint="eastAsia" w:ascii="仿宋" w:hAnsi="仿宋" w:cs="仿宋"/>
          <w:kern w:val="2"/>
          <w:szCs w:val="24"/>
        </w:rPr>
        <w:t>结合北辰经济技术开发区核心区提升改造及京津公路黄金走廊建设，聚焦科创服务、信息服务、金融服务、人力资源服务和现代物流等重点业态，围绕研发设计、供应链服务、制造数字化服务、工业互联网等领域，推进北科建产业园等项目建设，加快培育一批国家级、市级服务型制造示范企业，推动全产业链条整合创新，助力打造京津科技新干线，全力服务雄安新区规划建设。</w:t>
      </w:r>
    </w:p>
    <w:p>
      <w:pPr>
        <w:widowControl w:val="0"/>
        <w:spacing w:line="600" w:lineRule="exact"/>
        <w:ind w:firstLine="643" w:firstLineChars="200"/>
        <w:rPr>
          <w:rFonts w:ascii="仿宋" w:hAnsi="仿宋" w:cs="仿宋"/>
          <w:kern w:val="2"/>
          <w:szCs w:val="24"/>
        </w:rPr>
      </w:pPr>
      <w:r>
        <w:rPr>
          <w:rFonts w:hint="eastAsia" w:ascii="仿宋" w:hAnsi="仿宋" w:cs="仿宋"/>
          <w:b/>
          <w:bCs/>
          <w:kern w:val="2"/>
          <w:szCs w:val="24"/>
        </w:rPr>
        <w:t>三是着力推进国家物流枢纽的布局，参与“一带一路”。</w:t>
      </w:r>
      <w:r>
        <w:rPr>
          <w:rFonts w:hint="eastAsia" w:ascii="仿宋" w:hAnsi="仿宋" w:cs="仿宋"/>
          <w:kern w:val="2"/>
          <w:szCs w:val="24"/>
        </w:rPr>
        <w:t>以陆路港物流装备产业园为核心，着力推进陆港型、生产服务型、商贸服务型京津冀地区物流枢纽建设。坚持“先行物流”的发展理念，立足陆路港、大北环货运铁路、空港、海港优势，以推进物流基础设施建设为重点，打造天津集公路、铁路、空运、海运于一体的“四式联运”现代物流产业基地。推动智普科技、优视津创金属科技等企业在重型成套机械核心装备、高端电梯配套及金属家居配套项目投产量产，加快中兴环保智慧仓储物流园项目建设，打造汇集研发、孵化、国际贸易、生产、物流于一体的跨境小镇及电商产业园区。</w:t>
      </w:r>
    </w:p>
    <w:p>
      <w:pPr>
        <w:spacing w:line="600" w:lineRule="exact"/>
        <w:ind w:firstLine="643" w:firstLineChars="200"/>
        <w:rPr>
          <w:rFonts w:ascii="仿宋" w:hAnsi="仿宋" w:cs="仿宋"/>
          <w:kern w:val="2"/>
          <w:szCs w:val="24"/>
        </w:rPr>
      </w:pPr>
      <w:r>
        <w:rPr>
          <w:rFonts w:hint="eastAsia" w:ascii="仿宋" w:hAnsi="仿宋" w:cs="仿宋"/>
          <w:b/>
          <w:bCs/>
        </w:rPr>
        <w:t>3、产城融合：聚焦载体功能复合，发挥产城融合“核聚”效应，积极打造京津冀协同发展“</w:t>
      </w:r>
      <w:r>
        <w:rPr>
          <w:rFonts w:hint="eastAsia" w:ascii="仿宋" w:hAnsi="仿宋" w:cs="仿宋"/>
          <w:b/>
          <w:bCs/>
          <w:highlight w:val="none"/>
        </w:rPr>
        <w:t>微中心</w:t>
      </w:r>
      <w:r>
        <w:rPr>
          <w:rFonts w:hint="eastAsia" w:ascii="仿宋" w:hAnsi="仿宋" w:cs="仿宋"/>
          <w:b/>
          <w:bCs/>
        </w:rPr>
        <w:t>”。</w:t>
      </w:r>
      <w:r>
        <w:rPr>
          <w:rFonts w:hint="eastAsia" w:ascii="仿宋" w:hAnsi="仿宋" w:cs="仿宋"/>
          <w:kern w:val="2"/>
          <w:szCs w:val="24"/>
        </w:rPr>
        <w:t>以产城融合示范区为载体，构建园区产业服务体系，实现园区生态化升级改造承接，有效承接北京科技成果孵化转化产业化，共建生产、生活、生态“三生融合”的京津冀协同发展“</w:t>
      </w:r>
      <w:r>
        <w:rPr>
          <w:rFonts w:hint="eastAsia" w:ascii="仿宋" w:hAnsi="仿宋" w:cs="仿宋"/>
          <w:kern w:val="2"/>
          <w:szCs w:val="24"/>
          <w:highlight w:val="none"/>
        </w:rPr>
        <w:t>微中心</w:t>
      </w:r>
      <w:r>
        <w:rPr>
          <w:rFonts w:hint="eastAsia" w:ascii="仿宋" w:hAnsi="仿宋" w:cs="仿宋"/>
          <w:kern w:val="2"/>
          <w:szCs w:val="24"/>
        </w:rPr>
        <w:t>”。</w:t>
      </w:r>
    </w:p>
    <w:p>
      <w:pPr>
        <w:widowControl w:val="0"/>
        <w:spacing w:line="600" w:lineRule="exact"/>
        <w:ind w:firstLine="643" w:firstLineChars="200"/>
        <w:rPr>
          <w:rFonts w:ascii="仿宋" w:hAnsi="仿宋" w:cs="仿宋"/>
          <w:kern w:val="2"/>
          <w:szCs w:val="24"/>
        </w:rPr>
      </w:pPr>
      <w:r>
        <w:rPr>
          <w:rFonts w:hint="eastAsia" w:ascii="仿宋" w:hAnsi="仿宋" w:cs="仿宋"/>
          <w:b/>
          <w:bCs/>
          <w:kern w:val="2"/>
          <w:szCs w:val="24"/>
        </w:rPr>
        <w:t>一是从载体上，倡导实施“枢纽+门户”扩大双向开放。</w:t>
      </w:r>
      <w:r>
        <w:rPr>
          <w:rFonts w:hint="eastAsia" w:ascii="仿宋" w:hAnsi="仿宋" w:cs="仿宋"/>
          <w:kern w:val="2"/>
          <w:szCs w:val="24"/>
        </w:rPr>
        <w:t>围绕京津冀协同发展“</w:t>
      </w:r>
      <w:r>
        <w:rPr>
          <w:rFonts w:hint="eastAsia" w:ascii="仿宋" w:hAnsi="仿宋" w:cs="仿宋"/>
          <w:kern w:val="2"/>
          <w:szCs w:val="24"/>
          <w:highlight w:val="none"/>
        </w:rPr>
        <w:t>微中心</w:t>
      </w:r>
      <w:r>
        <w:rPr>
          <w:rFonts w:hint="eastAsia" w:ascii="仿宋" w:hAnsi="仿宋" w:cs="仿宋"/>
          <w:kern w:val="2"/>
          <w:szCs w:val="24"/>
        </w:rPr>
        <w:t>”建设和城市节点功能需求，推动轨道交通站点</w:t>
      </w:r>
      <w:r>
        <w:rPr>
          <w:kern w:val="2"/>
          <w:szCs w:val="24"/>
        </w:rPr>
        <w:t>TOD</w:t>
      </w:r>
      <w:r>
        <w:rPr>
          <w:rFonts w:hint="eastAsia" w:ascii="仿宋" w:hAnsi="仿宋" w:cs="仿宋"/>
          <w:kern w:val="2"/>
          <w:szCs w:val="24"/>
        </w:rPr>
        <w:t>开发模式，以京滨城际北辰站、地铁5号线和建设中的4号线站点为中心，8～15分钟步行距离为半径布局，提升绿地贸易港等商务功能，以交通为引导实现产业园区生产性功能与城市功能的互动融合，实现轨道交通与周边土地、商业的良性互动，努力打造北辰为京津冀重要战略黄金节点。</w:t>
      </w:r>
    </w:p>
    <w:p>
      <w:pPr>
        <w:widowControl w:val="0"/>
        <w:spacing w:line="600" w:lineRule="exact"/>
        <w:ind w:firstLine="643" w:firstLineChars="200"/>
        <w:rPr>
          <w:rFonts w:ascii="仿宋" w:hAnsi="仿宋" w:cs="仿宋"/>
          <w:kern w:val="2"/>
          <w:szCs w:val="24"/>
        </w:rPr>
      </w:pPr>
      <w:r>
        <w:rPr>
          <w:rFonts w:hint="eastAsia" w:ascii="仿宋" w:hAnsi="仿宋" w:cs="仿宋"/>
          <w:b/>
          <w:bCs/>
          <w:kern w:val="2"/>
          <w:szCs w:val="24"/>
        </w:rPr>
        <w:t>二是从动能上，注重通过“产业+科创”强化内生动力。</w:t>
      </w:r>
      <w:r>
        <w:rPr>
          <w:rFonts w:hint="eastAsia" w:ascii="仿宋" w:hAnsi="仿宋" w:cs="仿宋"/>
          <w:kern w:val="2"/>
          <w:szCs w:val="24"/>
        </w:rPr>
        <w:t>积极谋划高端装备制造、生物医药、新能源新材料、新一代信息技术等领域的各类创新研究平台，鼓励长荣股份、精雕数控、捷强装备等大中型工业企业建立工程（技术）研究中心、实验室、企业技术中心等研发机构，在星谷创业工场国家级众创空间及北达市级企业孵化器基础上，进一步加大孵化器、众创空间建设投入。依托创新创业园“苗圃＋孵化器＋加速器”</w:t>
      </w:r>
      <w:r>
        <w:rPr>
          <w:rFonts w:hint="eastAsia" w:ascii="仿宋" w:hAnsi="仿宋" w:cs="仿宋"/>
          <w:kern w:val="2"/>
          <w:szCs w:val="24"/>
          <w:highlight w:val="none"/>
        </w:rPr>
        <w:t>的孵化</w:t>
      </w:r>
      <w:r>
        <w:rPr>
          <w:rFonts w:hint="eastAsia" w:ascii="仿宋" w:hAnsi="仿宋" w:cs="仿宋"/>
          <w:kern w:val="2"/>
          <w:szCs w:val="24"/>
        </w:rPr>
        <w:t>培育链条、“孵化＋投资”的双轮驱动以及“金融服务、公共技术、专业孵化、人才培训、市场拓展、商务服务”等服务平台，推动园区从单一生产型园区，向集生产、服务、消费等多功能的复合型园区转型，推动承接北京非首都功能项目引得来、留得住、发展好。</w:t>
      </w:r>
    </w:p>
    <w:p>
      <w:pPr>
        <w:widowControl w:val="0"/>
        <w:spacing w:line="600" w:lineRule="exact"/>
        <w:ind w:firstLine="643" w:firstLineChars="200"/>
        <w:rPr>
          <w:rFonts w:ascii="仿宋" w:hAnsi="仿宋" w:cs="仿宋"/>
          <w:kern w:val="2"/>
          <w:szCs w:val="24"/>
        </w:rPr>
      </w:pPr>
      <w:r>
        <w:rPr>
          <w:rFonts w:hint="eastAsia" w:ascii="仿宋" w:hAnsi="仿宋" w:cs="仿宋"/>
          <w:b/>
          <w:bCs/>
          <w:kern w:val="2"/>
          <w:szCs w:val="24"/>
        </w:rPr>
        <w:t>三是从功能上，注重通过“生产+生活”促进职住均衡。</w:t>
      </w:r>
      <w:r>
        <w:rPr>
          <w:rFonts w:hint="eastAsia" w:ascii="仿宋" w:hAnsi="仿宋" w:cs="仿宋"/>
          <w:kern w:val="2"/>
          <w:szCs w:val="24"/>
        </w:rPr>
        <w:t>一方面，依托“智能制造+机器人”科技产业园、绿地天津全球商品贸易港、朝亚大数据、苏宁智慧物流电商产业园等一批智能产业项目，加快发展集科学发现、技术发明、工艺提升、原创成果的新产业和业态，培育壮大智能制造龙头骨干企业，推动产业迈上全球价值链中高端，形成创新引领产业发展的格局。另一方面，做好公共服务与居住空间配套，建设智慧城市功能体系，融合生态、交通、公共空间、文化等载体，推进海绵城市、人文城市建设，加快光华国际学校、绿地缤纷城、盛景星级酒店等配套服务设施建设，扩大现代服务业有效供给，构筑“高增值、强辐射、广融合”的现代服务业体系。</w:t>
      </w:r>
    </w:p>
    <w:p>
      <w:pPr>
        <w:widowControl w:val="0"/>
        <w:spacing w:line="600" w:lineRule="exact"/>
        <w:ind w:firstLine="640" w:firstLineChars="200"/>
        <w:rPr>
          <w:rFonts w:ascii="仿宋" w:hAnsi="仿宋" w:cs="仿宋"/>
          <w:kern w:val="2"/>
          <w:szCs w:val="24"/>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600" w:lineRule="exact"/>
              <w:jc w:val="center"/>
              <w:rPr>
                <w:rFonts w:ascii="仿宋" w:hAnsi="仿宋" w:cs="仿宋"/>
                <w:bCs/>
                <w:kern w:val="2"/>
                <w:sz w:val="28"/>
                <w:szCs w:val="28"/>
              </w:rPr>
            </w:pPr>
            <w:r>
              <w:rPr>
                <w:rFonts w:hint="eastAsia" w:ascii="仿宋" w:hAnsi="仿宋" w:cs="仿宋"/>
                <w:b/>
                <w:kern w:val="2"/>
                <w:sz w:val="28"/>
                <w:szCs w:val="28"/>
              </w:rPr>
              <w:t>专栏一 重点产业链提升工程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600" w:lineRule="exact"/>
              <w:ind w:firstLine="562" w:firstLineChars="200"/>
              <w:rPr>
                <w:rFonts w:ascii="仿宋" w:hAnsi="仿宋" w:cs="仿宋"/>
                <w:b/>
                <w:bCs/>
                <w:kern w:val="2"/>
                <w:sz w:val="28"/>
                <w:szCs w:val="28"/>
              </w:rPr>
            </w:pPr>
            <w:r>
              <w:rPr>
                <w:rFonts w:hint="eastAsia" w:ascii="仿宋" w:hAnsi="仿宋" w:cs="仿宋"/>
                <w:b/>
                <w:bCs/>
                <w:kern w:val="2"/>
                <w:sz w:val="28"/>
                <w:szCs w:val="28"/>
              </w:rPr>
              <w:t>——主要的高端装备制造产业链</w:t>
            </w:r>
          </w:p>
          <w:p>
            <w:pPr>
              <w:widowControl w:val="0"/>
              <w:spacing w:line="600" w:lineRule="exact"/>
              <w:ind w:firstLine="562" w:firstLineChars="200"/>
              <w:rPr>
                <w:rFonts w:ascii="仿宋" w:hAnsi="仿宋" w:cs="仿宋"/>
                <w:kern w:val="2"/>
                <w:sz w:val="28"/>
                <w:szCs w:val="28"/>
              </w:rPr>
            </w:pPr>
            <w:r>
              <w:rPr>
                <w:rFonts w:hint="eastAsia" w:ascii="仿宋" w:hAnsi="仿宋" w:cs="仿宋"/>
                <w:b/>
                <w:bCs/>
                <w:kern w:val="2"/>
                <w:sz w:val="28"/>
                <w:szCs w:val="28"/>
              </w:rPr>
              <w:t>高档数控机床产业链。</w:t>
            </w:r>
            <w:r>
              <w:rPr>
                <w:rFonts w:hint="eastAsia" w:ascii="仿宋" w:hAnsi="仿宋" w:cs="仿宋"/>
                <w:kern w:val="2"/>
                <w:sz w:val="28"/>
                <w:szCs w:val="28"/>
              </w:rPr>
              <w:t>重点依托天锻和西门子传动等数控机床及关键零部件制造企业，坚持“强链、补链和延链”的发展思路，针对北辰区乃至天津市在数控系统、机床电气和机床附件等环节的缺失，做好招引培育，着力推动京津冀高档数控机床产业协同。</w:t>
            </w:r>
          </w:p>
          <w:p>
            <w:pPr>
              <w:widowControl w:val="0"/>
              <w:spacing w:line="600" w:lineRule="exact"/>
              <w:ind w:firstLine="562" w:firstLineChars="200"/>
              <w:rPr>
                <w:rFonts w:ascii="仿宋" w:hAnsi="仿宋" w:cs="仿宋"/>
                <w:kern w:val="2"/>
                <w:sz w:val="28"/>
                <w:szCs w:val="28"/>
              </w:rPr>
            </w:pPr>
            <w:r>
              <w:rPr>
                <w:rFonts w:hint="eastAsia" w:ascii="仿宋" w:hAnsi="仿宋" w:cs="仿宋"/>
                <w:b/>
                <w:bCs/>
                <w:kern w:val="2"/>
                <w:sz w:val="28"/>
                <w:szCs w:val="28"/>
              </w:rPr>
              <w:t>工程机械产业链。</w:t>
            </w:r>
            <w:r>
              <w:rPr>
                <w:rFonts w:hint="eastAsia" w:ascii="仿宋" w:hAnsi="仿宋" w:cs="仿宋"/>
                <w:kern w:val="2"/>
                <w:sz w:val="28"/>
                <w:szCs w:val="28"/>
              </w:rPr>
              <w:t>重点依托天工院、雷沃发动机等科研院所及企业，加快龙头企业的招引培育，通过招引外来顶尖企业、培育本土龙头企业，加快建设工程机械产业创新综合体。</w:t>
            </w:r>
          </w:p>
          <w:p>
            <w:pPr>
              <w:widowControl w:val="0"/>
              <w:spacing w:line="600" w:lineRule="exact"/>
              <w:ind w:firstLine="562" w:firstLineChars="200"/>
              <w:rPr>
                <w:rFonts w:ascii="仿宋" w:hAnsi="仿宋" w:cs="仿宋"/>
                <w:kern w:val="2"/>
                <w:sz w:val="28"/>
                <w:szCs w:val="28"/>
              </w:rPr>
            </w:pPr>
            <w:r>
              <w:rPr>
                <w:rFonts w:hint="eastAsia" w:ascii="仿宋" w:hAnsi="仿宋" w:cs="仿宋"/>
                <w:b/>
                <w:bCs/>
                <w:kern w:val="2"/>
                <w:sz w:val="28"/>
                <w:szCs w:val="28"/>
              </w:rPr>
              <w:t>现代包装印刷产业链。</w:t>
            </w:r>
            <w:r>
              <w:rPr>
                <w:rFonts w:hint="eastAsia" w:ascii="仿宋" w:hAnsi="仿宋" w:cs="仿宋"/>
                <w:kern w:val="2"/>
                <w:sz w:val="28"/>
                <w:szCs w:val="28"/>
              </w:rPr>
              <w:t>以长荣印刷股份有限公司为依托，以数字印刷及印刷数字化技术装备为核心，引导传统印刷向绿色印刷发展、创新印刷、创意印刷发展，打造国内知名印刷设备研发制造基地，逐步形成现代包装印刷产业集群。</w:t>
            </w:r>
          </w:p>
          <w:p>
            <w:pPr>
              <w:widowControl w:val="0"/>
              <w:spacing w:line="600" w:lineRule="exact"/>
              <w:ind w:firstLine="562" w:firstLineChars="200"/>
              <w:rPr>
                <w:rFonts w:ascii="仿宋" w:hAnsi="仿宋" w:cs="仿宋"/>
                <w:kern w:val="2"/>
                <w:sz w:val="28"/>
                <w:szCs w:val="28"/>
              </w:rPr>
            </w:pPr>
            <w:r>
              <w:rPr>
                <w:rFonts w:hint="eastAsia" w:ascii="仿宋" w:hAnsi="仿宋" w:cs="仿宋"/>
                <w:b/>
                <w:bCs/>
                <w:kern w:val="2"/>
                <w:sz w:val="28"/>
                <w:szCs w:val="28"/>
              </w:rPr>
              <w:t>轨道交通装备产业链。</w:t>
            </w:r>
            <w:r>
              <w:rPr>
                <w:rFonts w:hint="eastAsia" w:ascii="仿宋" w:hAnsi="仿宋" w:cs="仿宋"/>
                <w:kern w:val="2"/>
                <w:sz w:val="28"/>
                <w:szCs w:val="28"/>
              </w:rPr>
              <w:t>依托中车四方和南车产业园，向产业链的高端发展，建立健全产业的研发体系链条，发挥中铁三院的主体、中介与纽带作用，联合铁路电气化设计院、天津城建大学、国家工程中心等科研院所，进行轨道交通基础科技研究和应用科技研究，促使轨道交通高科技企业孵化和实现高科技产品产业化。</w:t>
            </w:r>
          </w:p>
          <w:p>
            <w:pPr>
              <w:widowControl w:val="0"/>
              <w:spacing w:line="600" w:lineRule="exact"/>
              <w:ind w:firstLine="562" w:firstLineChars="200"/>
              <w:rPr>
                <w:rFonts w:ascii="仿宋" w:hAnsi="仿宋" w:cs="仿宋"/>
                <w:b/>
                <w:bCs/>
                <w:kern w:val="2"/>
                <w:sz w:val="28"/>
                <w:szCs w:val="28"/>
              </w:rPr>
            </w:pPr>
            <w:r>
              <w:rPr>
                <w:rFonts w:hint="eastAsia" w:ascii="仿宋" w:hAnsi="仿宋" w:cs="仿宋"/>
                <w:b/>
                <w:bCs/>
                <w:kern w:val="2"/>
                <w:sz w:val="28"/>
                <w:szCs w:val="28"/>
              </w:rPr>
              <w:t>——主要的生物医药及健康产业链</w:t>
            </w:r>
          </w:p>
          <w:p>
            <w:pPr>
              <w:widowControl w:val="0"/>
              <w:spacing w:line="600" w:lineRule="exact"/>
              <w:ind w:firstLine="562" w:firstLineChars="200"/>
              <w:rPr>
                <w:rFonts w:ascii="仿宋" w:hAnsi="仿宋" w:cs="仿宋"/>
                <w:kern w:val="2"/>
                <w:sz w:val="28"/>
                <w:szCs w:val="28"/>
              </w:rPr>
            </w:pPr>
            <w:r>
              <w:rPr>
                <w:rFonts w:hint="eastAsia" w:ascii="仿宋" w:hAnsi="仿宋" w:cs="仿宋"/>
                <w:b/>
                <w:bCs/>
                <w:kern w:val="2"/>
                <w:sz w:val="28"/>
                <w:szCs w:val="28"/>
              </w:rPr>
              <w:t>中成药和天然药产业链。</w:t>
            </w:r>
            <w:r>
              <w:rPr>
                <w:rFonts w:hint="eastAsia" w:ascii="仿宋" w:hAnsi="仿宋" w:cs="仿宋"/>
                <w:kern w:val="2"/>
                <w:sz w:val="28"/>
                <w:szCs w:val="28"/>
              </w:rPr>
              <w:t>依托天津市生物医药（中医药）产业园，巩固在中成药和天然药研发制造中药制剂、中药配方颗粒的优势，抓紧布局补足适宜的中药种植的缺失环节，利用下游流通需求、中游产品研发制造对上游中药材料的需求来带动上游环节发展，提升北辰区中成药和天然药产业链的完备性。</w:t>
            </w:r>
          </w:p>
          <w:p>
            <w:pPr>
              <w:widowControl w:val="0"/>
              <w:spacing w:line="600" w:lineRule="exact"/>
              <w:ind w:firstLine="562" w:firstLineChars="200"/>
              <w:rPr>
                <w:rFonts w:ascii="仿宋" w:hAnsi="仿宋" w:cs="仿宋"/>
                <w:kern w:val="2"/>
                <w:sz w:val="28"/>
                <w:szCs w:val="28"/>
              </w:rPr>
            </w:pPr>
            <w:r>
              <w:rPr>
                <w:rFonts w:hint="eastAsia" w:ascii="仿宋" w:hAnsi="仿宋" w:cs="仿宋"/>
                <w:b/>
                <w:bCs/>
                <w:kern w:val="2"/>
                <w:sz w:val="28"/>
                <w:szCs w:val="28"/>
              </w:rPr>
              <w:t>医疗器械制造产业链。</w:t>
            </w:r>
            <w:r>
              <w:rPr>
                <w:rFonts w:hint="eastAsia" w:ascii="仿宋" w:hAnsi="仿宋" w:cs="仿宋"/>
                <w:kern w:val="2"/>
                <w:sz w:val="28"/>
                <w:szCs w:val="28"/>
              </w:rPr>
              <w:t>依托医疗器械产业园，巩固在医疗器械制造中植入材料和人工器官制造、医疗影像设备制造、其他医疗器械制造上的优势，抓紧布局补足医疗器械原材料的缺失环节。第三，利用下游医疗器械的需求带动中游产品制造以及对上游医疗器械原材料提取技术的发展，提升北辰区医疗器械产业链的完备性。</w:t>
            </w:r>
          </w:p>
          <w:p>
            <w:pPr>
              <w:widowControl w:val="0"/>
              <w:spacing w:line="600" w:lineRule="exact"/>
              <w:ind w:firstLine="562" w:firstLineChars="200"/>
              <w:rPr>
                <w:rFonts w:ascii="仿宋" w:hAnsi="仿宋" w:cs="仿宋"/>
                <w:kern w:val="2"/>
                <w:sz w:val="28"/>
                <w:szCs w:val="28"/>
              </w:rPr>
            </w:pPr>
            <w:r>
              <w:rPr>
                <w:rFonts w:hint="eastAsia" w:ascii="仿宋" w:hAnsi="仿宋" w:cs="仿宋"/>
                <w:b/>
                <w:bCs/>
                <w:kern w:val="2"/>
                <w:sz w:val="28"/>
                <w:szCs w:val="28"/>
              </w:rPr>
              <w:t>化学药和生物药产业链。</w:t>
            </w:r>
            <w:r>
              <w:rPr>
                <w:rFonts w:hint="eastAsia" w:ascii="仿宋" w:hAnsi="仿宋" w:cs="仿宋"/>
                <w:kern w:val="2"/>
                <w:sz w:val="28"/>
                <w:szCs w:val="28"/>
              </w:rPr>
              <w:t>依托国家生物医药国际创新园，立足优势，巩固在化学药和生物药产业在合成法、分离提纯法及生物疫苗制造的优势，加强与河北工业大学的合作，集聚创新平台、加快创新转换成果、增加创新资本，强化以基因工程制药、细胞工程制药、生物诊断工程为代表的劣势环节，推动生物技术融合创新，加快向生物制药转型。</w:t>
            </w:r>
          </w:p>
          <w:p>
            <w:pPr>
              <w:widowControl w:val="0"/>
              <w:spacing w:line="600" w:lineRule="exact"/>
              <w:ind w:firstLine="562" w:firstLineChars="200"/>
              <w:rPr>
                <w:rFonts w:ascii="仿宋" w:hAnsi="仿宋" w:cs="仿宋"/>
                <w:kern w:val="2"/>
                <w:sz w:val="28"/>
                <w:szCs w:val="28"/>
              </w:rPr>
            </w:pPr>
            <w:r>
              <w:rPr>
                <w:rFonts w:hint="eastAsia" w:ascii="仿宋" w:hAnsi="仿宋" w:cs="仿宋"/>
                <w:b/>
                <w:bCs/>
                <w:kern w:val="2"/>
                <w:sz w:val="28"/>
                <w:szCs w:val="28"/>
              </w:rPr>
              <w:t>大健康产业链。</w:t>
            </w:r>
            <w:r>
              <w:rPr>
                <w:rFonts w:hint="eastAsia" w:ascii="仿宋" w:hAnsi="仿宋" w:cs="仿宋"/>
                <w:kern w:val="2"/>
                <w:sz w:val="28"/>
                <w:szCs w:val="28"/>
              </w:rPr>
              <w:t>依托天士力集团，强化以健康生产的医药健康、美容护肤品、医疗、健康养老环节，积极开展研发配套合作，打造专业化产业链，利用下游大健康服务的需求带动中游健康生产，提升北辰区大健康产业链的完备性。</w:t>
            </w:r>
          </w:p>
          <w:p>
            <w:pPr>
              <w:widowControl w:val="0"/>
              <w:spacing w:line="600" w:lineRule="exact"/>
              <w:ind w:firstLine="562" w:firstLineChars="200"/>
              <w:rPr>
                <w:rFonts w:ascii="仿宋" w:hAnsi="仿宋" w:cs="仿宋"/>
                <w:b/>
                <w:bCs/>
                <w:kern w:val="2"/>
                <w:sz w:val="28"/>
                <w:szCs w:val="28"/>
              </w:rPr>
            </w:pPr>
            <w:r>
              <w:rPr>
                <w:rFonts w:hint="eastAsia" w:ascii="仿宋" w:hAnsi="仿宋" w:cs="仿宋"/>
                <w:b/>
                <w:bCs/>
                <w:kern w:val="2"/>
                <w:sz w:val="28"/>
                <w:szCs w:val="28"/>
              </w:rPr>
              <w:t>——主要的智能科技产业链</w:t>
            </w:r>
          </w:p>
          <w:p>
            <w:pPr>
              <w:widowControl w:val="0"/>
              <w:spacing w:line="600" w:lineRule="exact"/>
              <w:ind w:firstLine="562" w:firstLineChars="200"/>
              <w:rPr>
                <w:rFonts w:ascii="仿宋" w:hAnsi="仿宋" w:cs="仿宋"/>
                <w:kern w:val="2"/>
                <w:sz w:val="28"/>
                <w:szCs w:val="28"/>
              </w:rPr>
            </w:pPr>
            <w:r>
              <w:rPr>
                <w:rFonts w:hint="eastAsia" w:ascii="仿宋" w:hAnsi="仿宋" w:cs="仿宋"/>
                <w:b/>
                <w:bCs/>
                <w:kern w:val="2"/>
                <w:sz w:val="28"/>
                <w:szCs w:val="28"/>
              </w:rPr>
              <w:t>工业机器人产业链。</w:t>
            </w:r>
            <w:r>
              <w:rPr>
                <w:rFonts w:hint="eastAsia" w:ascii="仿宋" w:hAnsi="仿宋" w:cs="仿宋"/>
                <w:kern w:val="2"/>
                <w:sz w:val="28"/>
                <w:szCs w:val="28"/>
              </w:rPr>
              <w:t>依托天津福云天翼科技有限公司和天津七所高科技有限公司，与天津市其他辖区和京冀地区共同开展机器人共性关键技术和前沿技术的研发，补足北辰区本体合作商、第三方服务和代理商等缺失环节，全面提升工业机器人产业链的完备性。</w:t>
            </w:r>
          </w:p>
          <w:p>
            <w:pPr>
              <w:widowControl w:val="0"/>
              <w:spacing w:line="600" w:lineRule="exact"/>
              <w:ind w:firstLine="562" w:firstLineChars="200"/>
              <w:rPr>
                <w:rFonts w:ascii="仿宋" w:hAnsi="仿宋" w:cs="仿宋"/>
                <w:kern w:val="2"/>
                <w:sz w:val="28"/>
                <w:szCs w:val="28"/>
              </w:rPr>
            </w:pPr>
            <w:r>
              <w:rPr>
                <w:rFonts w:hint="eastAsia" w:ascii="仿宋" w:hAnsi="仿宋" w:cs="仿宋"/>
                <w:b/>
                <w:bCs/>
                <w:kern w:val="2"/>
                <w:sz w:val="28"/>
                <w:szCs w:val="28"/>
              </w:rPr>
              <w:t>大数据产业链。</w:t>
            </w:r>
            <w:r>
              <w:rPr>
                <w:rFonts w:hint="eastAsia" w:ascii="仿宋" w:hAnsi="仿宋" w:cs="仿宋"/>
                <w:kern w:val="2"/>
                <w:sz w:val="28"/>
                <w:szCs w:val="28"/>
              </w:rPr>
              <w:t>依托朝亚数据中心、北辰腾讯云工业云基地和苏宁智慧物流中心等领军企业，与滨海“工业云”、高新区“紫光云”、开发区“腾讯数据中心”、津南“易华录数据湖”和东丽“华为云”共同打造完整、科技含量高、竞争力强的大数据产业链。</w:t>
            </w:r>
          </w:p>
          <w:p>
            <w:pPr>
              <w:widowControl w:val="0"/>
              <w:spacing w:line="600" w:lineRule="exact"/>
              <w:ind w:firstLine="562" w:firstLineChars="200"/>
              <w:rPr>
                <w:rFonts w:ascii="仿宋" w:hAnsi="仿宋" w:cs="仿宋"/>
                <w:kern w:val="2"/>
                <w:sz w:val="28"/>
                <w:szCs w:val="28"/>
              </w:rPr>
            </w:pPr>
            <w:r>
              <w:rPr>
                <w:rFonts w:hint="eastAsia" w:ascii="仿宋" w:hAnsi="仿宋" w:cs="仿宋"/>
                <w:b/>
                <w:bCs/>
                <w:kern w:val="2"/>
                <w:sz w:val="28"/>
                <w:szCs w:val="28"/>
              </w:rPr>
              <w:t>自主可控信息系统产业链。</w:t>
            </w:r>
            <w:r>
              <w:rPr>
                <w:rFonts w:hint="eastAsia" w:ascii="仿宋" w:hAnsi="仿宋" w:cs="仿宋"/>
                <w:kern w:val="2"/>
                <w:sz w:val="28"/>
                <w:szCs w:val="28"/>
              </w:rPr>
              <w:t>依托朝亚数据中心和北辰腾讯云工业云基地，与滨海高新区的南大通用、神舟通用共同发挥天津市在基础软件上的优势地位，助力我国从根本上解决“卡脖子”技术，加快息产业自主可控的发展进程。</w:t>
            </w:r>
          </w:p>
          <w:p>
            <w:pPr>
              <w:widowControl w:val="0"/>
              <w:spacing w:line="600" w:lineRule="exact"/>
              <w:ind w:firstLine="562" w:firstLineChars="200"/>
              <w:rPr>
                <w:rFonts w:ascii="仿宋" w:hAnsi="仿宋" w:cs="仿宋"/>
                <w:kern w:val="2"/>
                <w:sz w:val="28"/>
                <w:szCs w:val="28"/>
              </w:rPr>
            </w:pPr>
            <w:r>
              <w:rPr>
                <w:rFonts w:hint="eastAsia" w:ascii="仿宋" w:hAnsi="仿宋" w:cs="仿宋"/>
                <w:b/>
                <w:bCs/>
                <w:kern w:val="2"/>
                <w:sz w:val="28"/>
                <w:szCs w:val="28"/>
              </w:rPr>
              <w:t>智能安防产业链。</w:t>
            </w:r>
            <w:r>
              <w:rPr>
                <w:rFonts w:hint="eastAsia" w:ascii="仿宋" w:hAnsi="仿宋" w:cs="仿宋"/>
                <w:kern w:val="2"/>
                <w:sz w:val="28"/>
                <w:szCs w:val="28"/>
              </w:rPr>
              <w:t>依托天津烽火信息管理技术有限公司等企业，与高新区、武清区等辖区的龙头企业共同构成天津市的智能安防产业链，助力京津冀及全国智能安防产业成长。</w:t>
            </w:r>
          </w:p>
          <w:p>
            <w:pPr>
              <w:widowControl w:val="0"/>
              <w:spacing w:line="600" w:lineRule="exact"/>
              <w:ind w:firstLine="562" w:firstLineChars="200"/>
              <w:rPr>
                <w:rFonts w:ascii="仿宋" w:hAnsi="仿宋" w:cs="仿宋"/>
                <w:kern w:val="2"/>
                <w:sz w:val="28"/>
                <w:szCs w:val="28"/>
              </w:rPr>
            </w:pPr>
            <w:r>
              <w:rPr>
                <w:rFonts w:hint="eastAsia" w:ascii="仿宋" w:hAnsi="仿宋" w:cs="仿宋"/>
                <w:b/>
                <w:bCs/>
                <w:kern w:val="2"/>
                <w:sz w:val="28"/>
                <w:szCs w:val="28"/>
              </w:rPr>
              <w:t>5G产业链。</w:t>
            </w:r>
            <w:r>
              <w:rPr>
                <w:rFonts w:hint="eastAsia" w:ascii="仿宋" w:hAnsi="仿宋" w:cs="仿宋"/>
                <w:kern w:val="2"/>
                <w:sz w:val="28"/>
                <w:szCs w:val="28"/>
              </w:rPr>
              <w:t>依托天津万博线缆有限公司，增强自身在5G产业链中光纤光缆环节的优势地位，鼓励天津市推动5G大规模射频芯片及元器件、通信芯片制造封测、通信设备智能化制造、设备智能操作系统等一批产业化项目建设，引导5G创新成果转化，有力推动5G从技术研发到产业化落地。</w:t>
            </w:r>
          </w:p>
          <w:p>
            <w:pPr>
              <w:widowControl w:val="0"/>
              <w:spacing w:line="600" w:lineRule="exact"/>
              <w:ind w:firstLine="562" w:firstLineChars="200"/>
              <w:rPr>
                <w:rFonts w:ascii="仿宋" w:hAnsi="仿宋" w:cs="仿宋"/>
                <w:b/>
                <w:bCs/>
                <w:kern w:val="2"/>
                <w:sz w:val="28"/>
                <w:szCs w:val="28"/>
              </w:rPr>
            </w:pPr>
            <w:r>
              <w:rPr>
                <w:rFonts w:hint="eastAsia" w:ascii="仿宋" w:hAnsi="仿宋" w:cs="仿宋"/>
                <w:b/>
                <w:bCs/>
                <w:kern w:val="2"/>
                <w:sz w:val="28"/>
                <w:szCs w:val="28"/>
              </w:rPr>
              <w:t>——主要的新能源新材料产业链</w:t>
            </w:r>
          </w:p>
          <w:p>
            <w:pPr>
              <w:widowControl w:val="0"/>
              <w:spacing w:line="600" w:lineRule="exact"/>
              <w:ind w:firstLine="562" w:firstLineChars="200"/>
              <w:rPr>
                <w:rFonts w:ascii="仿宋" w:hAnsi="仿宋" w:cs="仿宋"/>
                <w:kern w:val="2"/>
                <w:sz w:val="28"/>
                <w:szCs w:val="28"/>
              </w:rPr>
            </w:pPr>
            <w:r>
              <w:rPr>
                <w:rFonts w:hint="eastAsia" w:ascii="仿宋" w:hAnsi="仿宋" w:cs="仿宋"/>
                <w:b/>
                <w:bCs/>
                <w:kern w:val="2"/>
                <w:sz w:val="28"/>
                <w:szCs w:val="28"/>
              </w:rPr>
              <w:t>风电产业链。</w:t>
            </w:r>
            <w:r>
              <w:rPr>
                <w:rFonts w:hint="eastAsia" w:ascii="仿宋" w:hAnsi="仿宋" w:cs="仿宋"/>
                <w:kern w:val="2"/>
                <w:sz w:val="28"/>
                <w:szCs w:val="28"/>
              </w:rPr>
              <w:t>依托西门子，中车风电叶片，采埃孚以及伍德沃德等企业在原材料的齿轮箱、叶片、发电机、风轮以及风电发电机组制造生产上具有优势，推进风电产业自主创新能力，依托骨干企业，积极搭建创新平台，不断做优做强。</w:t>
            </w:r>
          </w:p>
          <w:p>
            <w:pPr>
              <w:widowControl w:val="0"/>
              <w:spacing w:line="600" w:lineRule="exact"/>
              <w:ind w:firstLine="562" w:firstLineChars="200"/>
              <w:rPr>
                <w:rFonts w:ascii="仿宋" w:hAnsi="仿宋" w:cs="仿宋"/>
                <w:kern w:val="2"/>
                <w:sz w:val="28"/>
                <w:szCs w:val="28"/>
              </w:rPr>
            </w:pPr>
            <w:r>
              <w:rPr>
                <w:rFonts w:hint="eastAsia" w:ascii="仿宋" w:hAnsi="仿宋" w:cs="仿宋"/>
                <w:b/>
                <w:bCs/>
                <w:kern w:val="2"/>
                <w:sz w:val="28"/>
                <w:szCs w:val="28"/>
              </w:rPr>
              <w:t>绿色电池产业链。</w:t>
            </w:r>
            <w:r>
              <w:rPr>
                <w:rFonts w:hint="eastAsia" w:ascii="仿宋" w:hAnsi="仿宋" w:cs="仿宋"/>
                <w:kern w:val="2"/>
                <w:sz w:val="28"/>
                <w:szCs w:val="28"/>
              </w:rPr>
              <w:t>依托金牛电源、比克国际（天津）、航力源科技等龙头企业，优化绿色电池产业结构，丰富产业线，提高主打产品的市场竞争力，加快推进电解液、正极材料、超级电容以及绿色电池制造生产设备的技术研发，提升北辰区绿色电池生产自主性。</w:t>
            </w:r>
          </w:p>
        </w:tc>
      </w:tr>
    </w:tbl>
    <w:p>
      <w:pPr>
        <w:widowControl w:val="0"/>
        <w:spacing w:line="600" w:lineRule="exact"/>
        <w:rPr>
          <w:rFonts w:ascii="仿宋" w:hAnsi="仿宋" w:cs="仿宋"/>
        </w:rPr>
      </w:pPr>
    </w:p>
    <w:p>
      <w:pPr>
        <w:pStyle w:val="5"/>
        <w:spacing w:line="600" w:lineRule="exact"/>
        <w:rPr>
          <w:rFonts w:ascii="仿宋" w:hAnsi="仿宋" w:eastAsia="仿宋" w:cs="仿宋"/>
        </w:rPr>
      </w:pPr>
      <w:bookmarkStart w:id="34" w:name="_Toc5219"/>
      <w:r>
        <w:rPr>
          <w:rFonts w:hint="eastAsia" w:ascii="仿宋" w:hAnsi="仿宋" w:eastAsia="仿宋" w:cs="仿宋"/>
        </w:rPr>
        <w:t>二、聚焦“高水平”，优化科技创新发展高地</w:t>
      </w:r>
      <w:bookmarkEnd w:id="34"/>
    </w:p>
    <w:p>
      <w:pPr>
        <w:widowControl w:val="0"/>
        <w:spacing w:line="600" w:lineRule="exact"/>
        <w:ind w:firstLine="640" w:firstLineChars="200"/>
        <w:rPr>
          <w:rFonts w:ascii="仿宋" w:hAnsi="仿宋" w:cs="仿宋"/>
          <w:kern w:val="2"/>
          <w:szCs w:val="24"/>
        </w:rPr>
      </w:pPr>
      <w:r>
        <w:rPr>
          <w:rFonts w:hint="eastAsia" w:ascii="仿宋" w:hAnsi="仿宋" w:cs="仿宋"/>
          <w:kern w:val="2"/>
          <w:szCs w:val="24"/>
        </w:rPr>
        <w:t>借力北京高端科创资源，实施“头部研发—生态平台—创新</w:t>
      </w:r>
      <w:r>
        <w:rPr>
          <w:rFonts w:hint="eastAsia" w:ascii="仿宋" w:hAnsi="仿宋" w:cs="仿宋"/>
          <w:kern w:val="2"/>
          <w:szCs w:val="24"/>
          <w:lang w:val="en-US" w:eastAsia="zh-CN"/>
        </w:rPr>
        <w:t>城区</w:t>
      </w:r>
      <w:r>
        <w:rPr>
          <w:rFonts w:hint="eastAsia" w:ascii="仿宋" w:hAnsi="仿宋" w:cs="仿宋"/>
          <w:kern w:val="2"/>
          <w:szCs w:val="24"/>
        </w:rPr>
        <w:t>”的发展战略，主动对接中央企业、科研院所、高等院校等，推进北辰“生产性制造”向“研发服务性智造”转变，协力打造京津冀协同创新共同体。</w:t>
      </w:r>
    </w:p>
    <w:p>
      <w:pPr>
        <w:pStyle w:val="6"/>
        <w:spacing w:line="600" w:lineRule="exact"/>
        <w:ind w:left="0" w:leftChars="0" w:firstLine="643" w:firstLineChars="200"/>
        <w:jc w:val="left"/>
        <w:rPr>
          <w:rFonts w:ascii="仿宋" w:hAnsi="仿宋" w:cs="仿宋"/>
          <w:b w:val="0"/>
          <w:bCs w:val="0"/>
          <w:kern w:val="2"/>
          <w:szCs w:val="24"/>
        </w:rPr>
      </w:pPr>
      <w:r>
        <w:rPr>
          <w:rFonts w:hint="eastAsia" w:ascii="仿宋" w:hAnsi="仿宋" w:cs="仿宋"/>
        </w:rPr>
        <w:t>1、头部研发：聚集科技重大专项和首都科技资源，联合提升原始创新能力。</w:t>
      </w:r>
      <w:r>
        <w:rPr>
          <w:rFonts w:hint="eastAsia" w:ascii="仿宋" w:hAnsi="仿宋" w:cs="仿宋"/>
          <w:b w:val="0"/>
          <w:bCs w:val="0"/>
          <w:kern w:val="2"/>
          <w:szCs w:val="24"/>
        </w:rPr>
        <w:t>依托河北工业大学，集聚天津高校资源，主动对接北京高等院校，借助北辰区国家级开发区，加快建设重点实验室和大学科技园区，综合高校及科研院所智力创新联合攻关。</w:t>
      </w:r>
    </w:p>
    <w:p>
      <w:pPr>
        <w:widowControl w:val="0"/>
        <w:spacing w:line="600" w:lineRule="exact"/>
        <w:ind w:firstLine="643" w:firstLineChars="200"/>
        <w:rPr>
          <w:rFonts w:ascii="仿宋" w:hAnsi="仿宋" w:cs="仿宋"/>
          <w:kern w:val="2"/>
          <w:szCs w:val="24"/>
        </w:rPr>
      </w:pPr>
      <w:r>
        <w:rPr>
          <w:rFonts w:hint="eastAsia" w:ascii="仿宋" w:hAnsi="仿宋" w:cs="仿宋"/>
          <w:b/>
          <w:bCs/>
          <w:kern w:val="2"/>
          <w:szCs w:val="24"/>
        </w:rPr>
        <w:t>一是“带土移植”创新“基因”激活新动能。</w:t>
      </w:r>
      <w:r>
        <w:rPr>
          <w:rFonts w:hint="eastAsia" w:ascii="仿宋" w:hAnsi="仿宋" w:cs="仿宋"/>
          <w:kern w:val="2"/>
          <w:szCs w:val="24"/>
        </w:rPr>
        <w:t>设立北辰版的“海河英才”行动计划，</w:t>
      </w:r>
      <w:r>
        <w:rPr>
          <w:rFonts w:hint="eastAsia" w:ascii="仿宋" w:hAnsi="仿宋" w:cs="仿宋"/>
          <w:bCs/>
          <w:sz w:val="30"/>
          <w:szCs w:val="30"/>
        </w:rPr>
        <w:t>落实</w:t>
      </w:r>
      <w:r>
        <w:rPr>
          <w:rFonts w:hint="eastAsia" w:ascii="仿宋" w:hAnsi="仿宋" w:cs="仿宋"/>
          <w:bCs/>
          <w:sz w:val="30"/>
          <w:szCs w:val="30"/>
          <w:highlight w:val="none"/>
        </w:rPr>
        <w:t>《</w:t>
      </w:r>
      <w:r>
        <w:rPr>
          <w:rFonts w:hint="eastAsia" w:ascii="仿宋" w:hAnsi="仿宋" w:cs="仿宋"/>
          <w:bCs/>
          <w:sz w:val="30"/>
          <w:szCs w:val="30"/>
        </w:rPr>
        <w:t>北辰区“北极星”人才发展计划（培养储备）实施办法</w:t>
      </w:r>
      <w:r>
        <w:rPr>
          <w:rFonts w:hint="eastAsia" w:ascii="仿宋" w:hAnsi="仿宋" w:cs="仿宋"/>
          <w:bCs/>
          <w:sz w:val="30"/>
          <w:szCs w:val="30"/>
          <w:highlight w:val="none"/>
        </w:rPr>
        <w:t>》</w:t>
      </w:r>
      <w:r>
        <w:rPr>
          <w:rFonts w:hint="eastAsia" w:ascii="仿宋" w:hAnsi="仿宋" w:cs="仿宋"/>
          <w:bCs/>
          <w:sz w:val="30"/>
          <w:szCs w:val="30"/>
        </w:rPr>
        <w:t>和《北辰区拔尖人才库建设实施办法（试行）》等。</w:t>
      </w:r>
      <w:r>
        <w:rPr>
          <w:rFonts w:hint="eastAsia" w:ascii="仿宋" w:hAnsi="仿宋" w:cs="仿宋"/>
          <w:kern w:val="2"/>
          <w:szCs w:val="24"/>
        </w:rPr>
        <w:t>强化高端人才引育，优化放宽“企业提名单、政府接单办”人才引进政策条件，推广“项目+团队”模式，鼓励领军人才打包人才团队、技术专利等资源“带土移植”；推进“创新人才队伍培育工程”和“海河工匠”建设工程，汇聚一批高水平企业家和技能人才，造就一支知识型、技能型的创新、创业和创智的“三创”大军。</w:t>
      </w:r>
    </w:p>
    <w:p>
      <w:pPr>
        <w:widowControl w:val="0"/>
        <w:spacing w:line="600" w:lineRule="exact"/>
        <w:ind w:firstLine="643" w:firstLineChars="200"/>
        <w:rPr>
          <w:rFonts w:ascii="仿宋" w:hAnsi="仿宋" w:cs="仿宋"/>
          <w:kern w:val="2"/>
          <w:szCs w:val="24"/>
        </w:rPr>
      </w:pPr>
      <w:r>
        <w:rPr>
          <w:rFonts w:hint="eastAsia" w:ascii="仿宋" w:hAnsi="仿宋" w:cs="仿宋"/>
          <w:b/>
          <w:bCs/>
          <w:kern w:val="2"/>
          <w:szCs w:val="24"/>
        </w:rPr>
        <w:t>二是重点面向北京大规模布局创新载体促进协同创新。</w:t>
      </w:r>
      <w:r>
        <w:rPr>
          <w:rFonts w:hint="eastAsia" w:ascii="仿宋" w:hAnsi="仿宋" w:cs="仿宋"/>
          <w:kern w:val="2"/>
          <w:szCs w:val="24"/>
        </w:rPr>
        <w:t>积极对接北京、上海和广州等发达地区，重点围绕新一代信息技术和先进制造技术深度融合，推进国家实验室建设，集中突破一批核心关键技术和“卡脖子”技术。围绕装备制造、生物医药等领域组建产业发展专家库，以兵器集团70所为龙头，建设一批院士工作站、博士后科研工作站和科技创业园，集聚创新创业人才，加速创新链与人才连深度融合，强化头部研发人才和技术支撑，增强创新内生动力。</w:t>
      </w:r>
    </w:p>
    <w:p>
      <w:pPr>
        <w:pStyle w:val="6"/>
        <w:spacing w:line="600" w:lineRule="exact"/>
        <w:ind w:left="0" w:leftChars="0" w:firstLine="643" w:firstLineChars="200"/>
      </w:pPr>
      <w:r>
        <w:rPr>
          <w:rFonts w:hint="eastAsia" w:ascii="仿宋" w:hAnsi="仿宋" w:cs="仿宋"/>
        </w:rPr>
        <w:t>2、</w:t>
      </w:r>
      <w:r>
        <w:rPr>
          <w:rFonts w:hint="eastAsia" w:ascii="仿宋" w:hAnsi="仿宋" w:cs="仿宋"/>
          <w:kern w:val="2"/>
          <w:szCs w:val="24"/>
        </w:rPr>
        <w:t>生态平台：</w:t>
      </w:r>
      <w:r>
        <w:rPr>
          <w:rFonts w:hint="eastAsia" w:ascii="仿宋" w:hAnsi="仿宋" w:cs="仿宋"/>
        </w:rPr>
        <w:t>构建引育创新创业生态载体，营造协同创新生态环境。</w:t>
      </w:r>
      <w:r>
        <w:rPr>
          <w:rFonts w:hint="eastAsia" w:ascii="仿宋" w:hAnsi="仿宋" w:cs="仿宋"/>
          <w:b w:val="0"/>
          <w:bCs w:val="0"/>
          <w:kern w:val="2"/>
          <w:szCs w:val="24"/>
        </w:rPr>
        <w:t>瞄准非首都功能产业转移，集聚京津冀优质科创资源，引育和培育平台型企业及产业孵化器，以“无成本创业、无障碍准入、无差别服务”为发展理念，搭建“育成中心—孵化器—加速器—生产基地”等多种创新创业平台，建设创新研发、孵化转化和产业化“三位一体”的高水平创新型载体，打造北辰创新创业生态。</w:t>
      </w:r>
    </w:p>
    <w:p>
      <w:pPr>
        <w:widowControl w:val="0"/>
        <w:spacing w:line="600" w:lineRule="exact"/>
        <w:ind w:firstLine="643" w:firstLineChars="200"/>
        <w:rPr>
          <w:rFonts w:ascii="仿宋" w:hAnsi="仿宋" w:cs="仿宋"/>
          <w:kern w:val="2"/>
          <w:szCs w:val="24"/>
        </w:rPr>
      </w:pPr>
      <w:r>
        <w:rPr>
          <w:rFonts w:hint="eastAsia" w:ascii="仿宋" w:hAnsi="仿宋" w:cs="仿宋"/>
          <w:b/>
          <w:bCs/>
          <w:kern w:val="2"/>
          <w:szCs w:val="24"/>
        </w:rPr>
        <w:t>一是理顺科技型企业培育路径，实施企业梯度培育工程。</w:t>
      </w:r>
      <w:r>
        <w:rPr>
          <w:rFonts w:hint="eastAsia" w:ascii="仿宋" w:hAnsi="仿宋" w:cs="仿宋"/>
          <w:kern w:val="2"/>
          <w:szCs w:val="24"/>
        </w:rPr>
        <w:t>加速承接北京总部型企业，聚焦“雏鹰—瞪羚—领军”企业遴选和递进式培育路径，根据行业特征、技术领域、企业规模等分类建立动态调整、跟踪服务的重点科技型企业培育库，整合特色优质服务资源对入库企业实行精准、持续支持。构建市政府、区政府、产业园功能区三级联动培育机制，营造产业功能区与科技型企业“共生共赢”局面。充分发挥</w:t>
      </w:r>
      <w:r>
        <w:rPr>
          <w:rFonts w:ascii="仿宋" w:hAnsi="仿宋" w:cs="仿宋"/>
          <w:kern w:val="2"/>
          <w:szCs w:val="24"/>
        </w:rPr>
        <w:t>京津冀产业协同发展投资基金</w:t>
      </w:r>
      <w:r>
        <w:rPr>
          <w:rFonts w:hint="eastAsia" w:ascii="仿宋" w:hAnsi="仿宋" w:cs="仿宋"/>
          <w:kern w:val="2"/>
          <w:szCs w:val="24"/>
        </w:rPr>
        <w:t>、京津冀产业</w:t>
      </w:r>
      <w:r>
        <w:rPr>
          <w:rFonts w:ascii="仿宋" w:hAnsi="仿宋" w:cs="仿宋"/>
          <w:kern w:val="2"/>
          <w:szCs w:val="24"/>
        </w:rPr>
        <w:t>结构调整引导基金</w:t>
      </w:r>
      <w:r>
        <w:rPr>
          <w:rFonts w:hint="eastAsia" w:ascii="仿宋" w:hAnsi="仿宋" w:cs="仿宋"/>
          <w:kern w:val="2"/>
          <w:szCs w:val="24"/>
        </w:rPr>
        <w:t>等金融资本作用，推进企业培育措施由“资金支持”向“服务支撑”转变，对符合产业功能区主导产业方向，研发投入高、发展潜力大的企业进行定向扶持性投资，促进企业发展由“潜能”向“动能”转变。</w:t>
      </w:r>
    </w:p>
    <w:p>
      <w:pPr>
        <w:widowControl w:val="0"/>
        <w:spacing w:line="600" w:lineRule="exact"/>
        <w:ind w:firstLine="643" w:firstLineChars="200"/>
        <w:rPr>
          <w:rFonts w:ascii="仿宋" w:hAnsi="仿宋" w:cs="仿宋"/>
          <w:kern w:val="2"/>
          <w:szCs w:val="24"/>
        </w:rPr>
      </w:pPr>
      <w:r>
        <w:rPr>
          <w:rFonts w:hint="eastAsia" w:ascii="仿宋" w:hAnsi="仿宋" w:cs="仿宋"/>
          <w:b/>
          <w:bCs/>
          <w:kern w:val="2"/>
          <w:szCs w:val="24"/>
        </w:rPr>
        <w:t>二是强化以逆向创新为主导的产学研合作，打造京津冀高层次科技合作平台。</w:t>
      </w:r>
      <w:r>
        <w:rPr>
          <w:rFonts w:hint="eastAsia" w:ascii="仿宋" w:hAnsi="仿宋" w:cs="仿宋"/>
          <w:kern w:val="2"/>
          <w:szCs w:val="24"/>
        </w:rPr>
        <w:t>重点围绕装备制造、生物医药、新能源新材料等领域，</w:t>
      </w:r>
      <w:r>
        <w:rPr>
          <w:rFonts w:hint="eastAsia" w:ascii="仿宋" w:hAnsi="仿宋" w:cs="仿宋"/>
        </w:rPr>
        <w:t>借助“一园多校、市校共建”的模式</w:t>
      </w:r>
      <w:r>
        <w:rPr>
          <w:rFonts w:hint="eastAsia" w:ascii="仿宋" w:hAnsi="仿宋" w:cs="仿宋"/>
          <w:kern w:val="2"/>
          <w:szCs w:val="24"/>
        </w:rPr>
        <w:t>推进设立</w:t>
      </w:r>
      <w:r>
        <w:rPr>
          <w:rFonts w:hint="eastAsia" w:ascii="仿宋" w:hAnsi="仿宋" w:cs="仿宋"/>
        </w:rPr>
        <w:t>汇聚政产学研资介等诸多要素的</w:t>
      </w:r>
      <w:r>
        <w:rPr>
          <w:rFonts w:hint="eastAsia" w:ascii="仿宋" w:hAnsi="仿宋" w:cs="仿宋"/>
          <w:kern w:val="2"/>
          <w:szCs w:val="24"/>
        </w:rPr>
        <w:t>（虚拟）大学科技园。</w:t>
      </w:r>
      <w:r>
        <w:rPr>
          <w:rFonts w:hint="eastAsia" w:ascii="仿宋" w:hAnsi="仿宋" w:cs="仿宋"/>
        </w:rPr>
        <w:t>搭建促进科技成果转移落地的服务平台，</w:t>
      </w:r>
      <w:r>
        <w:rPr>
          <w:rFonts w:hint="eastAsia" w:ascii="仿宋" w:hAnsi="仿宋" w:cs="仿宋"/>
          <w:kern w:val="2"/>
          <w:szCs w:val="24"/>
        </w:rPr>
        <w:t>引入南开大学、天津大学等京津高校院所设立分校分院，建立专属产业化基地、产业化综合大楼。</w:t>
      </w:r>
      <w:r>
        <w:rPr>
          <w:rFonts w:hint="eastAsia" w:ascii="仿宋" w:hAnsi="仿宋" w:cs="仿宋"/>
        </w:rPr>
        <w:t>大量引入中介服务机构、投融资机构，推进“技术转移经纪人模式”、市校“合作契约制”等集群式的技术成果孵化转化。最终</w:t>
      </w:r>
      <w:r>
        <w:rPr>
          <w:rFonts w:hint="eastAsia" w:ascii="仿宋" w:hAnsi="仿宋" w:cs="仿宋"/>
          <w:kern w:val="2"/>
          <w:szCs w:val="24"/>
        </w:rPr>
        <w:t>形成以政府为主导、院校为主体、多元化投资的“孵化研究院、孵化研究机构、孵化企业、孵化服务”四位一体的孵化器群。</w:t>
      </w:r>
    </w:p>
    <w:p>
      <w:pPr>
        <w:widowControl w:val="0"/>
        <w:spacing w:line="600" w:lineRule="exact"/>
        <w:ind w:firstLine="643" w:firstLineChars="200"/>
        <w:rPr>
          <w:rFonts w:ascii="仿宋" w:hAnsi="仿宋" w:cs="仿宋"/>
        </w:rPr>
      </w:pPr>
      <w:r>
        <w:rPr>
          <w:rFonts w:hint="eastAsia" w:ascii="仿宋" w:hAnsi="仿宋" w:cs="仿宋"/>
          <w:b/>
          <w:bCs/>
        </w:rPr>
        <w:t>三是谋划建设多家产业技术研究院，推进科技成果转化。</w:t>
      </w:r>
      <w:r>
        <w:rPr>
          <w:rFonts w:hint="eastAsia" w:ascii="仿宋" w:hAnsi="仿宋" w:cs="仿宋"/>
          <w:kern w:val="2"/>
          <w:szCs w:val="24"/>
        </w:rPr>
        <w:t>依托天辰、中材、中船重工等科研院所的创新“基因”，主动对接中关村综合性国家级科学创新中心，重点推动“智慧物流创新先行区”“生物医药产业先导区”和“产城融合示范区”中产业技术研究院建设，建立与中关村科学中心及高等院校常态化联络机制，</w:t>
      </w:r>
      <w:r>
        <w:rPr>
          <w:rFonts w:hint="eastAsia" w:ascii="仿宋" w:hAnsi="仿宋" w:cs="仿宋"/>
        </w:rPr>
        <w:t>推动国家、京津冀的关键先进技术和重大科技成果在北辰市场化产业化，将产业院建设成为京津冀科技创新的“先导”、人才培养的“枢纽”、能源发展的“智库”、协同发展的“示范”。</w:t>
      </w:r>
    </w:p>
    <w:p>
      <w:pPr>
        <w:widowControl w:val="0"/>
        <w:spacing w:line="600" w:lineRule="exact"/>
        <w:ind w:firstLine="643" w:firstLineChars="200"/>
        <w:rPr>
          <w:rFonts w:hint="eastAsia" w:ascii="仿宋" w:hAnsi="仿宋" w:cs="仿宋"/>
          <w:kern w:val="2"/>
          <w:szCs w:val="24"/>
        </w:rPr>
      </w:pPr>
      <w:r>
        <w:rPr>
          <w:rFonts w:hint="eastAsia" w:ascii="仿宋" w:hAnsi="仿宋" w:cs="仿宋"/>
          <w:b/>
          <w:bCs/>
          <w:kern w:val="2"/>
          <w:szCs w:val="24"/>
        </w:rPr>
        <w:t>3、创新</w:t>
      </w:r>
      <w:r>
        <w:rPr>
          <w:rFonts w:hint="eastAsia" w:ascii="仿宋" w:hAnsi="仿宋" w:cs="仿宋"/>
          <w:b/>
          <w:bCs/>
          <w:kern w:val="2"/>
          <w:szCs w:val="24"/>
          <w:lang w:val="en-US" w:eastAsia="zh-CN"/>
        </w:rPr>
        <w:t>城</w:t>
      </w:r>
      <w:r>
        <w:rPr>
          <w:rFonts w:hint="eastAsia" w:ascii="仿宋" w:hAnsi="仿宋" w:cs="仿宋"/>
          <w:b/>
          <w:bCs/>
          <w:kern w:val="2"/>
          <w:szCs w:val="24"/>
        </w:rPr>
        <w:t>区：坚持“智慧化”的城市运行管理与服务，强化城市创新效能。</w:t>
      </w:r>
      <w:r>
        <w:rPr>
          <w:rFonts w:hint="eastAsia" w:ascii="仿宋" w:hAnsi="仿宋" w:cs="仿宋"/>
          <w:kern w:val="2"/>
          <w:szCs w:val="24"/>
        </w:rPr>
        <w:t>以集聚首都高端人才和创新资源为目标，</w:t>
      </w:r>
      <w:r>
        <w:rPr>
          <w:rFonts w:hint="eastAsia" w:ascii="仿宋" w:hAnsi="仿宋" w:cs="仿宋"/>
          <w:kern w:val="2"/>
          <w:szCs w:val="24"/>
          <w:lang w:val="en-US" w:eastAsia="zh-CN"/>
        </w:rPr>
        <w:t>按照中央创新区（</w:t>
      </w:r>
      <w:r>
        <w:rPr>
          <w:rFonts w:hint="default" w:ascii="Times New Roman" w:hAnsi="Times New Roman" w:cs="Times New Roman"/>
          <w:kern w:val="2"/>
          <w:szCs w:val="24"/>
          <w:lang w:val="en-US" w:eastAsia="zh-CN"/>
        </w:rPr>
        <w:t>CID</w:t>
      </w:r>
      <w:r>
        <w:rPr>
          <w:rFonts w:hint="eastAsia" w:ascii="仿宋" w:hAnsi="仿宋" w:cs="仿宋"/>
          <w:kern w:val="2"/>
          <w:szCs w:val="24"/>
          <w:lang w:val="en-US" w:eastAsia="zh-CN"/>
        </w:rPr>
        <w:t>）理念，</w:t>
      </w:r>
      <w:r>
        <w:rPr>
          <w:rFonts w:hint="eastAsia" w:ascii="仿宋" w:hAnsi="仿宋" w:cs="仿宋"/>
          <w:kern w:val="2"/>
          <w:szCs w:val="24"/>
        </w:rPr>
        <w:t>以服务导向型“</w:t>
      </w:r>
      <w:r>
        <w:rPr>
          <w:kern w:val="2"/>
          <w:szCs w:val="24"/>
        </w:rPr>
        <w:t>SOD</w:t>
      </w:r>
      <w:r>
        <w:rPr>
          <w:rFonts w:hint="eastAsia" w:ascii="仿宋" w:hAnsi="仿宋" w:cs="仿宋"/>
          <w:kern w:val="2"/>
          <w:szCs w:val="24"/>
        </w:rPr>
        <w:t>”发展模式为核心，从“产—城—人”转到“人—城—产”，重新布局城市功能，以“服务城市”推动北部创新区发展</w:t>
      </w:r>
      <w:r>
        <w:rPr>
          <w:rFonts w:hint="eastAsia" w:ascii="仿宋" w:hAnsi="仿宋" w:cs="仿宋"/>
          <w:kern w:val="2"/>
          <w:szCs w:val="24"/>
          <w:lang w:eastAsia="zh-CN"/>
        </w:rPr>
        <w:t>，</w:t>
      </w:r>
      <w:r>
        <w:rPr>
          <w:rFonts w:hint="eastAsia" w:ascii="仿宋" w:hAnsi="仿宋" w:cs="仿宋"/>
          <w:kern w:val="2"/>
          <w:szCs w:val="24"/>
          <w:lang w:val="en-US" w:eastAsia="zh-CN"/>
        </w:rPr>
        <w:t>进一步拓展到全部辖区范围</w:t>
      </w:r>
      <w:r>
        <w:rPr>
          <w:rFonts w:hint="eastAsia" w:ascii="仿宋" w:hAnsi="仿宋" w:cs="仿宋"/>
          <w:kern w:val="2"/>
          <w:szCs w:val="24"/>
        </w:rPr>
        <w:t>。</w:t>
      </w:r>
    </w:p>
    <w:p>
      <w:pPr>
        <w:widowControl w:val="0"/>
        <w:spacing w:line="600" w:lineRule="exact"/>
        <w:ind w:firstLine="643" w:firstLineChars="200"/>
        <w:rPr>
          <w:rFonts w:ascii="仿宋" w:hAnsi="仿宋" w:cs="仿宋"/>
          <w:kern w:val="2"/>
          <w:szCs w:val="24"/>
        </w:rPr>
      </w:pPr>
      <w:r>
        <w:rPr>
          <w:rFonts w:hint="eastAsia" w:ascii="仿宋" w:hAnsi="仿宋" w:cs="仿宋"/>
          <w:b/>
          <w:bCs/>
          <w:kern w:val="2"/>
          <w:szCs w:val="24"/>
        </w:rPr>
        <w:t>一是优化基础设施建设，适应服务型城市发展需求。</w:t>
      </w:r>
      <w:r>
        <w:rPr>
          <w:rFonts w:hint="eastAsia" w:ascii="仿宋" w:hAnsi="仿宋" w:cs="仿宋"/>
          <w:kern w:val="2"/>
          <w:szCs w:val="24"/>
        </w:rPr>
        <w:t>推进京津公路两侧和大张庄示范镇等地城市公共基础设施物联网部署，鼓励利用遥感技术、北斗卫星定位、传感器及摄像头等多种感知技术，实现交通、能源、给排水、环保、应急等城市基础设施物联网化改造，打造未来网络技术革命性创新和演进式发展的技术融合平台，以“智慧城市”推动城市“智慧”提升，增加产业转移吸引力。</w:t>
      </w:r>
    </w:p>
    <w:p>
      <w:pPr>
        <w:widowControl w:val="0"/>
        <w:spacing w:line="600" w:lineRule="exact"/>
        <w:ind w:firstLine="643" w:firstLineChars="200"/>
        <w:rPr>
          <w:rFonts w:ascii="仿宋" w:hAnsi="仿宋" w:cs="仿宋"/>
          <w:kern w:val="2"/>
          <w:szCs w:val="24"/>
        </w:rPr>
      </w:pPr>
      <w:r>
        <w:rPr>
          <w:rFonts w:hint="eastAsia" w:ascii="仿宋" w:hAnsi="仿宋" w:cs="仿宋"/>
          <w:b/>
          <w:bCs/>
          <w:kern w:val="2"/>
          <w:szCs w:val="24"/>
        </w:rPr>
        <w:t>二是建设区域性标志</w:t>
      </w:r>
      <w:r>
        <w:rPr>
          <w:rFonts w:hint="eastAsia" w:ascii="仿宋" w:hAnsi="仿宋" w:cs="仿宋"/>
          <w:b/>
          <w:bCs/>
          <w:kern w:val="2"/>
          <w:szCs w:val="24"/>
          <w:lang w:val="en-US" w:eastAsia="zh-CN"/>
        </w:rPr>
        <w:t>的综合性</w:t>
      </w:r>
      <w:r>
        <w:rPr>
          <w:rFonts w:hint="eastAsia" w:ascii="仿宋" w:hAnsi="仿宋" w:cs="仿宋"/>
          <w:b/>
          <w:bCs/>
          <w:kern w:val="2"/>
          <w:szCs w:val="24"/>
        </w:rPr>
        <w:t>建筑</w:t>
      </w:r>
      <w:r>
        <w:rPr>
          <w:rFonts w:hint="eastAsia" w:ascii="仿宋" w:hAnsi="仿宋" w:cs="仿宋"/>
          <w:b/>
          <w:bCs/>
          <w:kern w:val="2"/>
          <w:szCs w:val="24"/>
          <w:lang w:val="en-US" w:eastAsia="zh-CN"/>
        </w:rPr>
        <w:t>群落</w:t>
      </w:r>
      <w:r>
        <w:rPr>
          <w:rFonts w:hint="eastAsia" w:ascii="仿宋" w:hAnsi="仿宋" w:cs="仿宋"/>
          <w:b/>
          <w:bCs/>
          <w:kern w:val="2"/>
          <w:szCs w:val="24"/>
          <w:lang w:eastAsia="zh-CN"/>
        </w:rPr>
        <w:t>，</w:t>
      </w:r>
      <w:r>
        <w:rPr>
          <w:rFonts w:hint="eastAsia" w:ascii="仿宋" w:hAnsi="仿宋" w:cs="仿宋"/>
          <w:b/>
          <w:bCs/>
          <w:kern w:val="2"/>
          <w:szCs w:val="24"/>
        </w:rPr>
        <w:t>打造北部创新区。</w:t>
      </w:r>
      <w:r>
        <w:rPr>
          <w:rFonts w:hint="eastAsia" w:ascii="仿宋" w:hAnsi="仿宋" w:cs="仿宋"/>
          <w:kern w:val="2"/>
          <w:szCs w:val="24"/>
        </w:rPr>
        <w:t>依托绿地缤纷城、绿地全球贸易港、苏宁智慧物流电商产业园、中兴创新科技产业园等一批重大项目和地铁五号线北辰科技园地铁站交通站点优势，迁入并建设住宅和商业等大型公建项目，带动相关总部经济、创新创业、文化娱乐等产业发展，增加北部地区辐射效应，促进产城融合示范区向功能多元化发展，加速“北京研发—北辰孵化”的良性循环。</w:t>
      </w:r>
    </w:p>
    <w:p>
      <w:pPr>
        <w:widowControl w:val="0"/>
        <w:spacing w:line="600" w:lineRule="exact"/>
        <w:ind w:firstLine="640" w:firstLineChars="200"/>
        <w:rPr>
          <w:rFonts w:ascii="Calibri" w:hAnsi="Calibri"/>
          <w:kern w:val="2"/>
          <w:szCs w:val="24"/>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600" w:lineRule="exact"/>
              <w:jc w:val="center"/>
              <w:rPr>
                <w:rFonts w:eastAsia="黑体"/>
                <w:bCs/>
                <w:kern w:val="2"/>
                <w:sz w:val="28"/>
                <w:szCs w:val="28"/>
              </w:rPr>
            </w:pPr>
            <w:r>
              <w:rPr>
                <w:rFonts w:eastAsia="黑体"/>
                <w:bCs/>
                <w:kern w:val="2"/>
                <w:sz w:val="28"/>
                <w:szCs w:val="28"/>
              </w:rPr>
              <w:t>专栏</w:t>
            </w:r>
            <w:r>
              <w:rPr>
                <w:rFonts w:hint="eastAsia" w:eastAsia="黑体"/>
                <w:bCs/>
                <w:kern w:val="2"/>
                <w:sz w:val="28"/>
                <w:szCs w:val="28"/>
              </w:rPr>
              <w:t>二</w:t>
            </w:r>
            <w:r>
              <w:rPr>
                <w:rFonts w:eastAsia="黑体"/>
                <w:bCs/>
                <w:kern w:val="2"/>
                <w:sz w:val="28"/>
                <w:szCs w:val="28"/>
              </w:rPr>
              <w:t xml:space="preserve"> </w:t>
            </w:r>
            <w:r>
              <w:rPr>
                <w:rFonts w:hint="eastAsia" w:eastAsia="黑体"/>
                <w:bCs/>
                <w:kern w:val="2"/>
                <w:sz w:val="28"/>
                <w:szCs w:val="28"/>
              </w:rPr>
              <w:t>科技创新提升工程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600" w:lineRule="exact"/>
              <w:ind w:firstLine="560" w:firstLineChars="200"/>
              <w:rPr>
                <w:rFonts w:eastAsia="黑体"/>
                <w:b/>
                <w:kern w:val="2"/>
                <w:sz w:val="28"/>
                <w:szCs w:val="28"/>
              </w:rPr>
            </w:pPr>
            <w:r>
              <w:rPr>
                <w:rFonts w:hint="eastAsia" w:eastAsia="黑体"/>
                <w:bCs/>
                <w:kern w:val="2"/>
                <w:sz w:val="28"/>
                <w:szCs w:val="28"/>
              </w:rPr>
              <w:t>新型产业技术研究院建设工程。</w:t>
            </w:r>
            <w:r>
              <w:rPr>
                <w:rFonts w:hint="eastAsia" w:eastAsia="仿宋_GB2312"/>
                <w:bCs/>
                <w:kern w:val="2"/>
                <w:sz w:val="28"/>
                <w:szCs w:val="28"/>
              </w:rPr>
              <w:t>依托天辰等科研院所，积极引进京津冀乃至全国优质智力资源，按照“优势互补、互惠双赢、资源共享、共同发展”的原则，立足北辰产业发展需求和科技创新前沿，与北京、上海等地在建设人才培养基地、建设科技创新平台、服务产业创新发展方面展开合作，重点建设装备制造、生物医药、新能源新材料等研究院，共同构建政产学研用合作创新体系，优化产业结构布局和推动产业优化升级。</w:t>
            </w:r>
          </w:p>
          <w:p>
            <w:pPr>
              <w:widowControl w:val="0"/>
              <w:spacing w:line="600" w:lineRule="exact"/>
              <w:ind w:firstLine="560" w:firstLineChars="200"/>
              <w:rPr>
                <w:rFonts w:eastAsia="仿宋_GB2312"/>
                <w:bCs/>
                <w:kern w:val="2"/>
                <w:sz w:val="28"/>
                <w:szCs w:val="28"/>
              </w:rPr>
            </w:pPr>
            <w:r>
              <w:rPr>
                <w:rFonts w:hint="eastAsia" w:eastAsia="黑体"/>
                <w:bCs/>
                <w:kern w:val="2"/>
                <w:sz w:val="28"/>
                <w:szCs w:val="28"/>
              </w:rPr>
              <w:t>虚拟大学科技园建设工程。</w:t>
            </w:r>
            <w:r>
              <w:rPr>
                <w:rFonts w:hint="eastAsia" w:eastAsia="仿宋_GB2312"/>
                <w:bCs/>
                <w:kern w:val="2"/>
                <w:sz w:val="28"/>
                <w:szCs w:val="28"/>
              </w:rPr>
              <w:t>谋划引入南开大学、天津大学等天津高校、北京高校院所高教和科研资源设立分校分院，规划建设虚拟大学科技园，建立高效运行机制，积极构建高质量创新服务体系，打造科技创新新高地，聚力建设京津冀地区实验室核心区、大科学装置集中区、教育科研集聚区、产学研用创新成果孵化加速转化区“四个先行区”。</w:t>
            </w:r>
          </w:p>
          <w:p>
            <w:pPr>
              <w:widowControl w:val="0"/>
              <w:spacing w:line="600" w:lineRule="exact"/>
              <w:ind w:firstLine="560" w:firstLineChars="200"/>
              <w:rPr>
                <w:rFonts w:eastAsia="仿宋_GB2312"/>
                <w:bCs/>
                <w:kern w:val="2"/>
                <w:sz w:val="28"/>
                <w:szCs w:val="28"/>
              </w:rPr>
            </w:pPr>
            <w:r>
              <w:rPr>
                <w:rFonts w:hint="eastAsia" w:eastAsia="黑体"/>
                <w:bCs/>
                <w:kern w:val="2"/>
                <w:sz w:val="28"/>
                <w:szCs w:val="28"/>
              </w:rPr>
              <w:t>“SOD”城市服务建设工程。</w:t>
            </w:r>
            <w:r>
              <w:rPr>
                <w:rFonts w:hint="eastAsia" w:ascii="仿宋" w:hAnsi="仿宋" w:cs="仿宋"/>
                <w:bCs/>
                <w:kern w:val="2"/>
                <w:sz w:val="28"/>
                <w:szCs w:val="28"/>
              </w:rPr>
              <w:t>通过社会服务设施建设引导城市开发，依托绿</w:t>
            </w:r>
            <w:r>
              <w:rPr>
                <w:rFonts w:hint="eastAsia" w:eastAsia="仿宋_GB2312"/>
                <w:bCs/>
                <w:kern w:val="2"/>
                <w:sz w:val="28"/>
                <w:szCs w:val="28"/>
              </w:rPr>
              <w:t>地缤纷城、绿地全球贸易港、苏宁智慧物流电商产业园、中兴创新科技产业园等一批重大项目，重新布局创业创新、总部商务、贸易展示、商业时尚、旅游观光、品质居住、生态休闲等功能，带动人流物流、资金信息流，逐步完善形成教育、医疗等强大的保障体系，加速城市扩张。</w:t>
            </w:r>
          </w:p>
        </w:tc>
      </w:tr>
    </w:tbl>
    <w:p>
      <w:pPr>
        <w:pStyle w:val="5"/>
        <w:spacing w:line="600" w:lineRule="exact"/>
        <w:rPr>
          <w:rFonts w:ascii="仿宋" w:hAnsi="仿宋" w:eastAsia="仿宋" w:cs="仿宋"/>
        </w:rPr>
      </w:pPr>
    </w:p>
    <w:p>
      <w:pPr>
        <w:pStyle w:val="5"/>
        <w:spacing w:line="600" w:lineRule="exact"/>
        <w:rPr>
          <w:rFonts w:ascii="仿宋" w:hAnsi="仿宋" w:eastAsia="仿宋" w:cs="仿宋"/>
        </w:rPr>
      </w:pPr>
      <w:bookmarkStart w:id="35" w:name="_Toc6463"/>
      <w:r>
        <w:rPr>
          <w:rFonts w:hint="eastAsia" w:ascii="仿宋" w:hAnsi="仿宋" w:eastAsia="仿宋" w:cs="仿宋"/>
        </w:rPr>
        <w:t>三、聚势“高标准”，构筑交通互联互通网络</w:t>
      </w:r>
      <w:bookmarkEnd w:id="35"/>
    </w:p>
    <w:p>
      <w:pPr>
        <w:spacing w:line="600" w:lineRule="exact"/>
        <w:ind w:firstLine="640" w:firstLineChars="200"/>
        <w:rPr>
          <w:rFonts w:ascii="仿宋" w:hAnsi="仿宋" w:cs="仿宋"/>
          <w:kern w:val="2"/>
          <w:szCs w:val="24"/>
        </w:rPr>
      </w:pPr>
      <w:r>
        <w:rPr>
          <w:rFonts w:hint="eastAsia" w:ascii="仿宋" w:hAnsi="仿宋" w:cs="仿宋"/>
          <w:kern w:val="2"/>
          <w:szCs w:val="24"/>
        </w:rPr>
        <w:t>坚持外联一体、内聚成核的原则，</w:t>
      </w:r>
      <w:r>
        <w:rPr>
          <w:rFonts w:hint="eastAsia" w:ascii="仿宋" w:hAnsi="仿宋" w:cs="仿宋"/>
        </w:rPr>
        <w:t>实施“区内强点、市域结网、域外畅通”的发展战略，形成区内综合交通枢纽、市域“轨道交通+城市公交”与域外“高速公路+城际铁路+高速铁路”等三层交通网络通联，</w:t>
      </w:r>
      <w:r>
        <w:rPr>
          <w:rFonts w:hint="eastAsia" w:ascii="仿宋" w:hAnsi="仿宋" w:cs="仿宋"/>
          <w:kern w:val="2"/>
          <w:szCs w:val="24"/>
        </w:rPr>
        <w:t>加快建设快速、便捷、大容量、低成本的综合交通网络体系。</w:t>
      </w:r>
    </w:p>
    <w:p>
      <w:pPr>
        <w:spacing w:line="600" w:lineRule="exact"/>
        <w:ind w:firstLine="643" w:firstLineChars="200"/>
        <w:rPr>
          <w:rFonts w:ascii="仿宋" w:hAnsi="仿宋" w:cs="仿宋"/>
        </w:rPr>
      </w:pPr>
      <w:r>
        <w:rPr>
          <w:rFonts w:hint="eastAsia" w:ascii="仿宋" w:hAnsi="仿宋" w:cs="仿宋"/>
          <w:b/>
          <w:bCs/>
        </w:rPr>
        <w:t>1、区内强点：加强高铁站点与城市公交系统衔接，探索</w:t>
      </w:r>
      <w:r>
        <w:rPr>
          <w:b/>
          <w:bCs/>
        </w:rPr>
        <w:t>TOD</w:t>
      </w:r>
      <w:r>
        <w:rPr>
          <w:rFonts w:hint="eastAsia" w:ascii="仿宋" w:hAnsi="仿宋" w:cs="仿宋"/>
          <w:b/>
          <w:bCs/>
        </w:rPr>
        <w:t>开发模式。</w:t>
      </w:r>
      <w:r>
        <w:rPr>
          <w:rFonts w:hint="eastAsia" w:ascii="仿宋" w:hAnsi="仿宋" w:cs="仿宋"/>
        </w:rPr>
        <w:t>谋划北辰区高铁站与周边地区交通快速通道连接方案，增强京滨城际高铁</w:t>
      </w:r>
      <w:r>
        <w:rPr>
          <w:rFonts w:hint="eastAsia" w:ascii="仿宋" w:hAnsi="仿宋" w:cs="仿宋"/>
          <w:highlight w:val="none"/>
        </w:rPr>
        <w:t>的集聚</w:t>
      </w:r>
      <w:r>
        <w:rPr>
          <w:rFonts w:hint="eastAsia" w:ascii="仿宋" w:hAnsi="仿宋" w:cs="仿宋"/>
        </w:rPr>
        <w:t>辐射效应，探索北辰区城市公</w:t>
      </w:r>
      <w:r>
        <w:t>交BRT建设，提高公共交通转移效率，缓解道路交通压力。积极探索京滨城际北辰站的TOD开发模</w:t>
      </w:r>
      <w:r>
        <w:rPr>
          <w:rFonts w:hint="eastAsia" w:ascii="仿宋" w:hAnsi="仿宋" w:cs="仿宋"/>
        </w:rPr>
        <w:t>式，以公共交通为导向，集居住、工作、休憩和交通功能为一体，推动城市地标、枢纽站点、绿色环保、“</w:t>
      </w:r>
      <w:r>
        <w:t>TOD+商业</w:t>
      </w:r>
      <w:r>
        <w:rPr>
          <w:rFonts w:hint="eastAsia" w:ascii="仿宋" w:hAnsi="仿宋" w:cs="仿宋"/>
        </w:rPr>
        <w:t>”、“</w:t>
      </w:r>
      <w:r>
        <w:t>TOD</w:t>
      </w:r>
      <w:r>
        <w:rPr>
          <w:rFonts w:hint="eastAsia" w:ascii="仿宋" w:hAnsi="仿宋" w:cs="仿宋"/>
        </w:rPr>
        <w:t>+运动健康”、产业链接等发展。</w:t>
      </w:r>
    </w:p>
    <w:p>
      <w:pPr>
        <w:spacing w:line="600" w:lineRule="exact"/>
        <w:ind w:firstLine="643" w:firstLineChars="200"/>
        <w:rPr>
          <w:rFonts w:ascii="仿宋" w:hAnsi="仿宋" w:cs="仿宋"/>
        </w:rPr>
      </w:pPr>
      <w:r>
        <w:rPr>
          <w:rFonts w:hint="eastAsia" w:ascii="仿宋" w:hAnsi="仿宋" w:cs="仿宋"/>
          <w:b/>
          <w:bCs/>
        </w:rPr>
        <w:t>2、市域结网：优化城市内部交通网络，全面带动北辰区内部交通快速化发展。</w:t>
      </w:r>
      <w:r>
        <w:rPr>
          <w:rFonts w:hint="eastAsia" w:ascii="仿宋" w:hAnsi="仿宋" w:cs="仿宋"/>
        </w:rPr>
        <w:t>全面启动辖区内部交通多维基础设施建设，高标准、高质量建设北京非首都功能疏解集中承载地，打造高效、便捷的城市交通网络和现代化基础设施。</w:t>
      </w:r>
    </w:p>
    <w:p>
      <w:pPr>
        <w:widowControl w:val="0"/>
        <w:spacing w:line="600" w:lineRule="exact"/>
        <w:ind w:firstLine="643" w:firstLineChars="200"/>
        <w:rPr>
          <w:rFonts w:ascii="仿宋" w:hAnsi="仿宋" w:cs="仿宋"/>
          <w:kern w:val="2"/>
          <w:szCs w:val="24"/>
        </w:rPr>
      </w:pPr>
      <w:r>
        <w:rPr>
          <w:rFonts w:hint="eastAsia" w:ascii="仿宋" w:hAnsi="仿宋" w:cs="仿宋"/>
          <w:b/>
          <w:bCs/>
          <w:kern w:val="2"/>
          <w:szCs w:val="24"/>
        </w:rPr>
        <w:t>一是优化完善北辰城市轨道线网规划。</w:t>
      </w:r>
      <w:r>
        <w:rPr>
          <w:rFonts w:hint="eastAsia" w:ascii="仿宋" w:hAnsi="仿宋" w:cs="仿宋"/>
          <w:kern w:val="2"/>
          <w:szCs w:val="24"/>
        </w:rPr>
        <w:t>加快地铁4号线、10号线建设，推进已规划的北辰区11条地铁87个站点工程实施，配合启动7号线二期规划，以同城化通勤和优势产业上下游配套为目标，实施5分钟邻里生活圈、15分钟社区生活圈、30分钟街镇生活圈、城乡片区生活圈四个层级，科学组织编制发展规划，超前做好项目前期储备，创新完善投融资体制机制，研究轨道</w:t>
      </w:r>
      <w:r>
        <w:rPr>
          <w:kern w:val="2"/>
          <w:szCs w:val="24"/>
        </w:rPr>
        <w:t>PPP建设</w:t>
      </w:r>
      <w:r>
        <w:rPr>
          <w:rFonts w:hint="eastAsia" w:ascii="仿宋" w:hAnsi="仿宋" w:cs="仿宋"/>
          <w:kern w:val="2"/>
          <w:szCs w:val="24"/>
        </w:rPr>
        <w:t>模式，鼓励吸引社会力量参与轨道交通建设运营。</w:t>
      </w:r>
    </w:p>
    <w:p>
      <w:pPr>
        <w:widowControl w:val="0"/>
        <w:spacing w:line="600" w:lineRule="exact"/>
        <w:ind w:firstLine="643" w:firstLineChars="200"/>
        <w:rPr>
          <w:rFonts w:ascii="仿宋" w:hAnsi="仿宋" w:cs="仿宋"/>
          <w:kern w:val="2"/>
          <w:szCs w:val="24"/>
        </w:rPr>
      </w:pPr>
      <w:r>
        <w:rPr>
          <w:rFonts w:hint="eastAsia" w:ascii="仿宋" w:hAnsi="仿宋" w:cs="仿宋"/>
          <w:b/>
          <w:bCs/>
          <w:kern w:val="2"/>
          <w:szCs w:val="24"/>
        </w:rPr>
        <w:t>二是建设南北顺畅、东西贯通的“四横六纵”路网骨架。</w:t>
      </w:r>
      <w:r>
        <w:rPr>
          <w:rFonts w:hint="eastAsia" w:ascii="仿宋" w:hAnsi="仿宋" w:cs="仿宋"/>
          <w:kern w:val="2"/>
          <w:szCs w:val="24"/>
        </w:rPr>
        <w:t>推进津蓟快速、津围快速、武静公路、京津塘高速九园路出入口、外环线东北部调线北辰段等重点工程建设，完成汾河南道、潞江东路等6条主次道路建设，启动朝阳路下穿南曹铁路、铁东路上跨龙门东道立交工程，加速推进北辰东道及综合管廊建设，以拓展空间、优化环境、联通四方的思路，最大限度改善交通基础设施。</w:t>
      </w:r>
    </w:p>
    <w:p>
      <w:pPr>
        <w:widowControl w:val="0"/>
        <w:spacing w:line="600" w:lineRule="exact"/>
        <w:ind w:firstLine="643" w:firstLineChars="200"/>
        <w:rPr>
          <w:rFonts w:ascii="仿宋" w:hAnsi="仿宋" w:cs="仿宋"/>
          <w:b/>
          <w:bCs/>
          <w:kern w:val="2"/>
          <w:szCs w:val="24"/>
        </w:rPr>
      </w:pPr>
      <w:r>
        <w:rPr>
          <w:rFonts w:hint="eastAsia" w:ascii="仿宋" w:hAnsi="仿宋" w:cs="仿宋"/>
          <w:b/>
          <w:bCs/>
          <w:kern w:val="2"/>
          <w:szCs w:val="24"/>
        </w:rPr>
        <w:t>3、域外连接：共建京津冀交通网络，全面促进北辰区对外交通高速化发展</w:t>
      </w:r>
    </w:p>
    <w:p>
      <w:pPr>
        <w:widowControl w:val="0"/>
        <w:spacing w:line="600" w:lineRule="exact"/>
        <w:ind w:firstLine="643" w:firstLineChars="200"/>
        <w:rPr>
          <w:rFonts w:ascii="仿宋" w:hAnsi="仿宋" w:cs="仿宋"/>
          <w:kern w:val="2"/>
          <w:szCs w:val="24"/>
          <w:highlight w:val="yellow"/>
        </w:rPr>
      </w:pPr>
      <w:r>
        <w:rPr>
          <w:rFonts w:hint="eastAsia" w:ascii="仿宋" w:hAnsi="仿宋" w:cs="仿宋"/>
          <w:b/>
          <w:bCs/>
          <w:kern w:val="2"/>
          <w:szCs w:val="24"/>
        </w:rPr>
        <w:t>一是积极对接京津冀交通基础设施互联互通，强化北辰综合交通枢纽地位。</w:t>
      </w:r>
      <w:r>
        <w:rPr>
          <w:rFonts w:hint="eastAsia" w:ascii="仿宋" w:hAnsi="仿宋" w:cs="仿宋"/>
        </w:rPr>
        <w:t>围绕“三横三纵”高速路网、京滨等铁路与北辰边界构成16个进出通道、3条国道过境而形成的9个进出通道，以及省道、县道和城市路网形成的约116余个进出通道，着力提升进出北辰的通道体系区内外联通畅通能力，为京津冀协同发展提供坚实的交通基础保障。</w:t>
      </w:r>
    </w:p>
    <w:p>
      <w:pPr>
        <w:spacing w:line="600" w:lineRule="exact"/>
        <w:ind w:firstLine="643" w:firstLineChars="200"/>
        <w:rPr>
          <w:rFonts w:ascii="仿宋" w:hAnsi="仿宋" w:cs="仿宋"/>
        </w:rPr>
      </w:pPr>
      <w:r>
        <w:rPr>
          <w:rFonts w:hint="eastAsia" w:ascii="仿宋" w:hAnsi="仿宋" w:cs="仿宋"/>
          <w:b/>
          <w:bCs/>
        </w:rPr>
        <w:t>二是加强多层次轨道交通联结网络建设，助力打造京津冀“1小时”交通圈，建立连接京津城区的重要桥梁和纽带。</w:t>
      </w:r>
      <w:r>
        <w:rPr>
          <w:rFonts w:hint="eastAsia" w:ascii="仿宋" w:hAnsi="仿宋" w:cs="仿宋"/>
        </w:rPr>
        <w:t>积极推进京滨第二城际高铁北辰站与地铁5号线北辰科技园站点连接线建设，努力构建京津公交化的城际轨道客运网，借势京津城际的良好交通条件，以及京津冀高度关联的产业链、创新链优势，承接北京非首都功能要素转移和天津功能要素外溢。</w:t>
      </w:r>
    </w:p>
    <w:p>
      <w:pPr>
        <w:widowControl w:val="0"/>
        <w:spacing w:line="600" w:lineRule="exact"/>
        <w:ind w:firstLine="643" w:firstLineChars="200"/>
        <w:rPr>
          <w:rFonts w:ascii="仿宋" w:hAnsi="仿宋" w:cs="仿宋"/>
          <w:kern w:val="2"/>
          <w:szCs w:val="24"/>
        </w:rPr>
      </w:pPr>
      <w:r>
        <w:rPr>
          <w:rFonts w:hint="eastAsia" w:ascii="仿宋" w:hAnsi="仿宋" w:cs="仿宋"/>
          <w:b/>
          <w:bCs/>
          <w:kern w:val="2"/>
          <w:szCs w:val="24"/>
        </w:rPr>
        <w:t>三是积极共建“轨道上的京津冀”。</w:t>
      </w:r>
      <w:r>
        <w:rPr>
          <w:rFonts w:hint="eastAsia" w:ascii="仿宋" w:hAnsi="仿宋" w:cs="仿宋"/>
          <w:kern w:val="2"/>
          <w:szCs w:val="24"/>
        </w:rPr>
        <w:t>以融入京津冀“半小时”通勤圈、高效对接北京为导向，打造连接京津冀城市群的交通节点区域，加快推进京滨第二城际高铁北辰站、津承高铁等重点工程建设，加快推动天津中心城区经武清、廊坊至</w:t>
      </w:r>
      <w:r>
        <w:rPr>
          <w:rFonts w:hint="eastAsia" w:ascii="仿宋" w:hAnsi="仿宋" w:cs="仿宋"/>
          <w:kern w:val="2"/>
          <w:szCs w:val="24"/>
          <w:highlight w:val="none"/>
        </w:rPr>
        <w:t>通州市</w:t>
      </w:r>
      <w:r>
        <w:rPr>
          <w:rFonts w:hint="eastAsia" w:ascii="仿宋" w:hAnsi="仿宋" w:cs="仿宋"/>
          <w:kern w:val="2"/>
          <w:szCs w:val="24"/>
        </w:rPr>
        <w:t>域（郊）铁路建设，发挥北辰区连接京津、对接雄安、辐射华北、通达全国的区位优势，增强一体化发展的支撑保障能力。</w:t>
      </w:r>
    </w:p>
    <w:p>
      <w:pPr>
        <w:spacing w:line="600" w:lineRule="exact"/>
        <w:ind w:firstLine="640" w:firstLineChars="200"/>
        <w:rPr>
          <w:rFonts w:ascii="仿宋" w:hAnsi="仿宋" w:cs="仿宋"/>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600" w:lineRule="exact"/>
              <w:jc w:val="center"/>
              <w:rPr>
                <w:rFonts w:ascii="仿宋" w:hAnsi="仿宋" w:cs="仿宋"/>
                <w:kern w:val="2"/>
                <w:sz w:val="28"/>
                <w:szCs w:val="28"/>
              </w:rPr>
            </w:pPr>
            <w:r>
              <w:rPr>
                <w:rFonts w:hint="eastAsia" w:ascii="仿宋" w:hAnsi="仿宋" w:cs="仿宋"/>
                <w:b/>
                <w:kern w:val="2"/>
                <w:sz w:val="28"/>
                <w:szCs w:val="28"/>
              </w:rPr>
              <w:t xml:space="preserve">专栏三 </w:t>
            </w:r>
            <w:bookmarkStart w:id="36" w:name="OLE_LINK10"/>
            <w:bookmarkStart w:id="37" w:name="OLE_LINK9"/>
            <w:r>
              <w:rPr>
                <w:rFonts w:hint="eastAsia" w:ascii="仿宋" w:hAnsi="仿宋" w:cs="仿宋"/>
                <w:b/>
                <w:kern w:val="2"/>
                <w:sz w:val="28"/>
                <w:szCs w:val="28"/>
              </w:rPr>
              <w:t xml:space="preserve"> 京滨城际北辰站“</w:t>
            </w:r>
            <w:r>
              <w:rPr>
                <w:b/>
                <w:kern w:val="2"/>
                <w:sz w:val="28"/>
                <w:szCs w:val="28"/>
              </w:rPr>
              <w:t>TOD</w:t>
            </w:r>
            <w:r>
              <w:rPr>
                <w:rFonts w:hint="eastAsia" w:ascii="仿宋" w:hAnsi="仿宋" w:cs="仿宋"/>
                <w:b/>
                <w:kern w:val="2"/>
                <w:sz w:val="28"/>
                <w:szCs w:val="28"/>
              </w:rPr>
              <w:t>”</w:t>
            </w:r>
            <w:bookmarkEnd w:id="36"/>
            <w:bookmarkEnd w:id="37"/>
            <w:r>
              <w:rPr>
                <w:rFonts w:hint="eastAsia" w:ascii="仿宋" w:hAnsi="仿宋" w:cs="仿宋"/>
                <w:b/>
                <w:kern w:val="2"/>
                <w:sz w:val="28"/>
                <w:szCs w:val="28"/>
              </w:rPr>
              <w:t>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600" w:lineRule="exact"/>
              <w:ind w:firstLine="560" w:firstLineChars="200"/>
              <w:rPr>
                <w:rFonts w:ascii="仿宋" w:hAnsi="仿宋" w:cs="仿宋"/>
                <w:kern w:val="2"/>
                <w:sz w:val="28"/>
                <w:szCs w:val="28"/>
              </w:rPr>
            </w:pPr>
            <w:r>
              <w:rPr>
                <w:kern w:val="2"/>
                <w:sz w:val="28"/>
                <w:szCs w:val="28"/>
              </w:rPr>
              <w:t>TOD（Transit Oriented Development）</w:t>
            </w:r>
            <w:r>
              <w:rPr>
                <w:rFonts w:hint="eastAsia" w:ascii="仿宋" w:hAnsi="仿宋" w:cs="仿宋"/>
                <w:kern w:val="2"/>
                <w:sz w:val="28"/>
                <w:szCs w:val="28"/>
              </w:rPr>
              <w:t>模式指以公共交通为导向的综合发展模式，以为中心，以公共交通为导向，谋划北辰高铁站与周边地区交通快速通道连接方案，以5~10分钟步行距离为半径进行高密度开发，形成同时满足居住、工作、购物、娱乐、出行、休憩等需求的多功能社区，实现生产、生活、生态高度和谐统一。该模式增强京滨城际高铁</w:t>
            </w:r>
            <w:r>
              <w:rPr>
                <w:rFonts w:hint="eastAsia" w:ascii="仿宋" w:hAnsi="仿宋" w:cs="仿宋"/>
                <w:kern w:val="2"/>
                <w:sz w:val="28"/>
                <w:szCs w:val="28"/>
                <w:highlight w:val="none"/>
              </w:rPr>
              <w:t>的集聚</w:t>
            </w:r>
            <w:r>
              <w:rPr>
                <w:rFonts w:hint="eastAsia" w:ascii="仿宋" w:hAnsi="仿宋" w:cs="仿宋"/>
                <w:kern w:val="2"/>
                <w:sz w:val="28"/>
                <w:szCs w:val="28"/>
              </w:rPr>
              <w:t>辐射效应，探索北辰区城市公交BRT建设，提高公共交通转移效率，缓解道路交通压力。</w:t>
            </w:r>
          </w:p>
        </w:tc>
      </w:tr>
    </w:tbl>
    <w:p>
      <w:pPr>
        <w:widowControl w:val="0"/>
        <w:spacing w:line="600" w:lineRule="exact"/>
        <w:ind w:firstLine="640" w:firstLineChars="200"/>
        <w:rPr>
          <w:rFonts w:ascii="仿宋" w:hAnsi="仿宋" w:cs="仿宋"/>
          <w:kern w:val="2"/>
          <w:szCs w:val="24"/>
        </w:rPr>
      </w:pPr>
    </w:p>
    <w:p>
      <w:pPr>
        <w:pStyle w:val="5"/>
        <w:spacing w:line="600" w:lineRule="exact"/>
        <w:rPr>
          <w:rFonts w:ascii="仿宋" w:hAnsi="仿宋" w:eastAsia="仿宋" w:cs="仿宋"/>
        </w:rPr>
      </w:pPr>
      <w:bookmarkStart w:id="38" w:name="_Toc526"/>
      <w:r>
        <w:rPr>
          <w:rFonts w:hint="eastAsia" w:ascii="仿宋" w:hAnsi="仿宋" w:eastAsia="仿宋" w:cs="仿宋"/>
        </w:rPr>
        <w:t>四、聚合“高能级”，促进城乡统筹联动发展</w:t>
      </w:r>
      <w:bookmarkEnd w:id="38"/>
    </w:p>
    <w:p>
      <w:pPr>
        <w:widowControl w:val="0"/>
        <w:spacing w:line="600" w:lineRule="exact"/>
        <w:ind w:firstLine="640" w:firstLineChars="200"/>
        <w:rPr>
          <w:rFonts w:cs="仿宋"/>
          <w:kern w:val="2"/>
          <w:szCs w:val="24"/>
        </w:rPr>
      </w:pPr>
      <w:r>
        <w:rPr>
          <w:rFonts w:cs="仿宋"/>
          <w:kern w:val="2"/>
          <w:szCs w:val="24"/>
        </w:rPr>
        <w:t>借势地处京</w:t>
      </w:r>
      <w:r>
        <w:rPr>
          <w:rFonts w:hint="eastAsia" w:ascii="仿宋" w:hAnsi="仿宋" w:cs="仿宋"/>
          <w:kern w:val="2"/>
          <w:szCs w:val="24"/>
        </w:rPr>
        <w:t>津“双城记”的</w:t>
      </w:r>
      <w:r>
        <w:rPr>
          <w:rFonts w:cs="仿宋"/>
          <w:kern w:val="2"/>
          <w:szCs w:val="24"/>
        </w:rPr>
        <w:t>核心区域独特优势，</w:t>
      </w:r>
      <w:r>
        <w:rPr>
          <w:rFonts w:hint="eastAsia" w:cs="仿宋"/>
          <w:kern w:val="2"/>
          <w:szCs w:val="24"/>
        </w:rPr>
        <w:t>实施“多层联动、协调发展、文明和谐”的发展战略，</w:t>
      </w:r>
      <w:r>
        <w:rPr>
          <w:rFonts w:cs="仿宋"/>
          <w:kern w:val="2"/>
          <w:szCs w:val="24"/>
        </w:rPr>
        <w:t>全力推进城郊向都市转型，协助推进京津冀城乡统筹与新型城镇化</w:t>
      </w:r>
      <w:r>
        <w:rPr>
          <w:rFonts w:hint="eastAsia" w:cs="仿宋"/>
          <w:kern w:val="2"/>
          <w:szCs w:val="24"/>
        </w:rPr>
        <w:t>。</w:t>
      </w:r>
    </w:p>
    <w:p>
      <w:pPr>
        <w:pStyle w:val="2"/>
        <w:spacing w:line="600" w:lineRule="exact"/>
        <w:ind w:firstLine="602"/>
        <w:rPr>
          <w:rFonts w:cs="仿宋"/>
          <w:kern w:val="2"/>
          <w:szCs w:val="24"/>
        </w:rPr>
      </w:pPr>
      <w:r>
        <w:rPr>
          <w:rFonts w:hint="eastAsia" w:cs="仿宋"/>
          <w:b/>
          <w:bCs/>
          <w:kern w:val="2"/>
          <w:szCs w:val="24"/>
        </w:rPr>
        <w:t>1、多层联动：深化“部门—上下—城乡”三位一体联动机制，纵深推进城乡综合治理，提升北辰融入京津冀协调发展效能。</w:t>
      </w:r>
      <w:r>
        <w:rPr>
          <w:rFonts w:hint="eastAsia" w:cs="仿宋"/>
          <w:kern w:val="2"/>
          <w:szCs w:val="24"/>
        </w:rPr>
        <w:t>坚持</w:t>
      </w:r>
      <w:r>
        <w:rPr>
          <w:rFonts w:cs="仿宋"/>
          <w:kern w:val="2"/>
          <w:szCs w:val="24"/>
        </w:rPr>
        <w:t>部门联动</w:t>
      </w:r>
      <w:r>
        <w:rPr>
          <w:rFonts w:hint="eastAsia" w:cs="仿宋"/>
          <w:kern w:val="2"/>
          <w:szCs w:val="24"/>
        </w:rPr>
        <w:t>，与北京、天津市区</w:t>
      </w:r>
      <w:r>
        <w:rPr>
          <w:rFonts w:cs="仿宋"/>
          <w:kern w:val="2"/>
          <w:szCs w:val="24"/>
        </w:rPr>
        <w:t>环保、教育、住建、民政</w:t>
      </w:r>
      <w:r>
        <w:rPr>
          <w:rFonts w:hint="eastAsia" w:cs="仿宋"/>
          <w:kern w:val="2"/>
          <w:szCs w:val="24"/>
        </w:rPr>
        <w:t>等多</w:t>
      </w:r>
      <w:r>
        <w:rPr>
          <w:rFonts w:cs="仿宋"/>
          <w:kern w:val="2"/>
          <w:szCs w:val="24"/>
        </w:rPr>
        <w:t>部门</w:t>
      </w:r>
      <w:r>
        <w:rPr>
          <w:rFonts w:hint="eastAsia" w:cs="仿宋"/>
          <w:kern w:val="2"/>
          <w:szCs w:val="24"/>
        </w:rPr>
        <w:t>，</w:t>
      </w:r>
      <w:r>
        <w:rPr>
          <w:rFonts w:cs="仿宋"/>
          <w:kern w:val="2"/>
          <w:szCs w:val="24"/>
        </w:rPr>
        <w:t>联合开展城乡环境</w:t>
      </w:r>
      <w:r>
        <w:rPr>
          <w:rFonts w:hint="eastAsia" w:cs="仿宋"/>
          <w:kern w:val="2"/>
          <w:szCs w:val="24"/>
        </w:rPr>
        <w:t>治理改善</w:t>
      </w:r>
      <w:r>
        <w:rPr>
          <w:rFonts w:cs="仿宋"/>
          <w:kern w:val="2"/>
          <w:szCs w:val="24"/>
        </w:rPr>
        <w:t>活动，切实改善人居环境、容貌秩序和发展环境</w:t>
      </w:r>
      <w:r>
        <w:rPr>
          <w:rFonts w:hint="eastAsia" w:cs="仿宋"/>
          <w:kern w:val="2"/>
          <w:szCs w:val="24"/>
        </w:rPr>
        <w:t>。坚持</w:t>
      </w:r>
      <w:r>
        <w:rPr>
          <w:rFonts w:cs="仿宋"/>
          <w:kern w:val="2"/>
          <w:szCs w:val="24"/>
        </w:rPr>
        <w:t>上下联动</w:t>
      </w:r>
      <w:r>
        <w:rPr>
          <w:rFonts w:hint="eastAsia" w:cs="仿宋"/>
          <w:kern w:val="2"/>
          <w:szCs w:val="24"/>
        </w:rPr>
        <w:t>，</w:t>
      </w:r>
      <w:r>
        <w:rPr>
          <w:rFonts w:cs="仿宋"/>
          <w:kern w:val="2"/>
          <w:szCs w:val="24"/>
        </w:rPr>
        <w:t>按照</w:t>
      </w:r>
      <w:r>
        <w:rPr>
          <w:rFonts w:hint="eastAsia" w:cs="仿宋"/>
          <w:kern w:val="2"/>
          <w:szCs w:val="24"/>
        </w:rPr>
        <w:t>“</w:t>
      </w:r>
      <w:r>
        <w:rPr>
          <w:rFonts w:cs="仿宋"/>
          <w:kern w:val="2"/>
          <w:szCs w:val="24"/>
        </w:rPr>
        <w:t>上下一盘棋</w:t>
      </w:r>
      <w:r>
        <w:rPr>
          <w:rFonts w:hint="eastAsia" w:cs="仿宋"/>
          <w:kern w:val="2"/>
          <w:szCs w:val="24"/>
        </w:rPr>
        <w:t>”</w:t>
      </w:r>
      <w:r>
        <w:rPr>
          <w:rFonts w:cs="仿宋"/>
          <w:kern w:val="2"/>
          <w:szCs w:val="24"/>
        </w:rPr>
        <w:t>的原则，组织</w:t>
      </w:r>
      <w:r>
        <w:rPr>
          <w:rFonts w:hint="eastAsia" w:cs="仿宋"/>
          <w:kern w:val="2"/>
          <w:szCs w:val="24"/>
        </w:rPr>
        <w:t>区各部门</w:t>
      </w:r>
      <w:r>
        <w:rPr>
          <w:rFonts w:cs="仿宋"/>
          <w:kern w:val="2"/>
          <w:szCs w:val="24"/>
        </w:rPr>
        <w:t>、乡镇（街道）、村（社区）统筹推进城乡</w:t>
      </w:r>
      <w:r>
        <w:rPr>
          <w:rFonts w:hint="eastAsia" w:cs="仿宋"/>
          <w:kern w:val="2"/>
          <w:szCs w:val="24"/>
        </w:rPr>
        <w:t>综合</w:t>
      </w:r>
      <w:r>
        <w:rPr>
          <w:rFonts w:cs="仿宋"/>
          <w:kern w:val="2"/>
          <w:szCs w:val="24"/>
        </w:rPr>
        <w:t>治理，</w:t>
      </w:r>
      <w:r>
        <w:rPr>
          <w:rFonts w:hint="eastAsia" w:cs="仿宋"/>
          <w:kern w:val="2"/>
          <w:szCs w:val="24"/>
        </w:rPr>
        <w:t>从城乡形态、环境卫生多方面</w:t>
      </w:r>
      <w:r>
        <w:rPr>
          <w:rFonts w:cs="仿宋"/>
          <w:kern w:val="2"/>
          <w:szCs w:val="24"/>
        </w:rPr>
        <w:t>开展城乡大整治</w:t>
      </w:r>
      <w:r>
        <w:rPr>
          <w:rFonts w:hint="eastAsia" w:cs="仿宋"/>
          <w:kern w:val="2"/>
          <w:szCs w:val="24"/>
        </w:rPr>
        <w:t>。坚持</w:t>
      </w:r>
      <w:r>
        <w:rPr>
          <w:rFonts w:cs="仿宋"/>
          <w:kern w:val="2"/>
          <w:szCs w:val="24"/>
        </w:rPr>
        <w:t>城乡联动</w:t>
      </w:r>
      <w:r>
        <w:rPr>
          <w:rFonts w:hint="eastAsia" w:cs="仿宋"/>
          <w:kern w:val="2"/>
          <w:szCs w:val="24"/>
        </w:rPr>
        <w:t>，</w:t>
      </w:r>
      <w:r>
        <w:rPr>
          <w:rFonts w:cs="仿宋"/>
          <w:kern w:val="2"/>
          <w:szCs w:val="24"/>
        </w:rPr>
        <w:t>以</w:t>
      </w:r>
      <w:r>
        <w:rPr>
          <w:rFonts w:hint="eastAsia" w:cs="仿宋"/>
          <w:kern w:val="2"/>
          <w:szCs w:val="24"/>
        </w:rPr>
        <w:t>乡镇（街道）</w:t>
      </w:r>
      <w:r>
        <w:rPr>
          <w:rFonts w:cs="仿宋"/>
          <w:kern w:val="2"/>
          <w:szCs w:val="24"/>
        </w:rPr>
        <w:t>为单位，按照统一规划、统一标准、统一要求原则，推行政府购买服务、特许经营等模式，推进城乡环卫作业市场化、一体化。</w:t>
      </w:r>
    </w:p>
    <w:p>
      <w:pPr>
        <w:pStyle w:val="6"/>
        <w:spacing w:line="600" w:lineRule="exact"/>
        <w:ind w:left="0" w:leftChars="0" w:firstLine="643" w:firstLineChars="200"/>
        <w:rPr>
          <w:rFonts w:cs="仿宋"/>
          <w:b w:val="0"/>
          <w:bCs w:val="0"/>
          <w:kern w:val="2"/>
          <w:szCs w:val="24"/>
        </w:rPr>
      </w:pPr>
      <w:r>
        <w:rPr>
          <w:rFonts w:hint="eastAsia" w:cs="仿宋"/>
          <w:kern w:val="2"/>
          <w:szCs w:val="24"/>
        </w:rPr>
        <w:t>2、协调发展：</w:t>
      </w:r>
      <w:r>
        <w:rPr>
          <w:rFonts w:cs="仿宋"/>
        </w:rPr>
        <w:t>共建京津冀现代农业科技创新体系</w:t>
      </w:r>
      <w:r>
        <w:rPr>
          <w:rFonts w:hint="eastAsia" w:cs="仿宋"/>
        </w:rPr>
        <w:t>引领城乡全面繁荣。</w:t>
      </w:r>
      <w:r>
        <w:rPr>
          <w:rFonts w:cs="仿宋"/>
          <w:b w:val="0"/>
          <w:bCs w:val="0"/>
          <w:kern w:val="2"/>
          <w:szCs w:val="24"/>
        </w:rPr>
        <w:t>运用新技术新模式改造传统产业，以产业融合带动为目标，聚焦京津冀生态农业协同，吸引集聚京津冀优质农业发展资源</w:t>
      </w:r>
      <w:r>
        <w:rPr>
          <w:rFonts w:hint="eastAsia" w:cs="仿宋"/>
          <w:b w:val="0"/>
          <w:bCs w:val="0"/>
          <w:kern w:val="2"/>
          <w:szCs w:val="24"/>
        </w:rPr>
        <w:t>，创新城乡协调发展新路径</w:t>
      </w:r>
      <w:r>
        <w:rPr>
          <w:rFonts w:cs="仿宋"/>
          <w:b w:val="0"/>
          <w:bCs w:val="0"/>
          <w:kern w:val="2"/>
          <w:szCs w:val="24"/>
        </w:rPr>
        <w:t>。</w:t>
      </w:r>
    </w:p>
    <w:p>
      <w:pPr>
        <w:widowControl w:val="0"/>
        <w:spacing w:line="600" w:lineRule="exact"/>
        <w:ind w:firstLine="643" w:firstLineChars="200"/>
        <w:rPr>
          <w:rFonts w:cs="仿宋"/>
          <w:kern w:val="2"/>
          <w:szCs w:val="24"/>
        </w:rPr>
      </w:pPr>
      <w:r>
        <w:rPr>
          <w:rFonts w:cs="仿宋"/>
          <w:b/>
          <w:bCs/>
          <w:kern w:val="2"/>
          <w:szCs w:val="24"/>
        </w:rPr>
        <w:t>一是共建京津冀现代农业协同创新体系。</w:t>
      </w:r>
      <w:r>
        <w:rPr>
          <w:rFonts w:cs="仿宋"/>
          <w:kern w:val="2"/>
          <w:szCs w:val="24"/>
        </w:rPr>
        <w:t>加强与中国农业科学院、河北省农林科学院等京津冀农业科研院所的研发合作，依托北辰双街农业科技园成立农业科技成果转化种植基地，坚持以绿色生态为导向支持科技创新成果转化和农技推广。</w:t>
      </w:r>
    </w:p>
    <w:p>
      <w:pPr>
        <w:widowControl w:val="0"/>
        <w:spacing w:line="600" w:lineRule="exact"/>
        <w:ind w:firstLine="643" w:firstLineChars="200"/>
        <w:rPr>
          <w:rFonts w:cs="仿宋"/>
          <w:kern w:val="2"/>
          <w:szCs w:val="24"/>
        </w:rPr>
      </w:pPr>
      <w:r>
        <w:rPr>
          <w:rFonts w:cs="仿宋"/>
          <w:b/>
          <w:bCs/>
          <w:kern w:val="2"/>
          <w:szCs w:val="24"/>
        </w:rPr>
        <w:t>二是强化农业企业技术创新主体地位。</w:t>
      </w:r>
      <w:r>
        <w:rPr>
          <w:rFonts w:cs="仿宋"/>
          <w:kern w:val="2"/>
          <w:szCs w:val="24"/>
        </w:rPr>
        <w:t>建设技术创新联盟、创新基地和科技园区，构建科技创新联合体。推进农业先导性产业发展，围绕现代种业、现代农业物质装备、生态环保、动植物防疫、农产品加工、烘干冷链物流等领域关键技术研发，推进先导性产业发展。增强乡村产业发展科技创新能力，打造产学研深度融合平台，强化农业科技创新链与服务链对接，将京津冀世界级城市群建设与农业农村现代化建设有机统一。</w:t>
      </w:r>
    </w:p>
    <w:p>
      <w:pPr>
        <w:pStyle w:val="6"/>
        <w:spacing w:line="600" w:lineRule="exact"/>
        <w:ind w:left="0" w:leftChars="0" w:firstLine="643" w:firstLineChars="200"/>
        <w:rPr>
          <w:rFonts w:cs="仿宋"/>
          <w:b w:val="0"/>
          <w:bCs w:val="0"/>
          <w:kern w:val="2"/>
          <w:szCs w:val="24"/>
        </w:rPr>
      </w:pPr>
      <w:r>
        <w:rPr>
          <w:rFonts w:hint="eastAsia" w:cs="仿宋"/>
        </w:rPr>
        <w:t>3、文明和谐：</w:t>
      </w:r>
      <w:r>
        <w:rPr>
          <w:rFonts w:cs="仿宋"/>
        </w:rPr>
        <w:t>深度融入京津冀休闲农业精品旅游项目</w:t>
      </w:r>
      <w:r>
        <w:rPr>
          <w:rFonts w:hint="eastAsia" w:cs="仿宋"/>
        </w:rPr>
        <w:t>，加快生态宜居美丽乡村建设。</w:t>
      </w:r>
      <w:r>
        <w:rPr>
          <w:rFonts w:cs="仿宋"/>
          <w:b w:val="0"/>
          <w:bCs w:val="0"/>
          <w:kern w:val="2"/>
          <w:szCs w:val="24"/>
        </w:rPr>
        <w:t>积极发展</w:t>
      </w:r>
      <w:bookmarkStart w:id="39" w:name="OLE_LINK6"/>
      <w:bookmarkStart w:id="40" w:name="OLE_LINK5"/>
      <w:r>
        <w:rPr>
          <w:rFonts w:cs="仿宋"/>
          <w:b w:val="0"/>
          <w:bCs w:val="0"/>
          <w:kern w:val="2"/>
          <w:szCs w:val="24"/>
        </w:rPr>
        <w:t>都市型农业</w:t>
      </w:r>
      <w:bookmarkEnd w:id="39"/>
      <w:bookmarkEnd w:id="40"/>
      <w:r>
        <w:rPr>
          <w:rFonts w:cs="仿宋"/>
          <w:b w:val="0"/>
          <w:bCs w:val="0"/>
          <w:kern w:val="2"/>
          <w:szCs w:val="24"/>
        </w:rPr>
        <w:t>，推进现代农业功能拓展和产业转型升级，聚焦服务都市、农业增效、农民增收和生态改善</w:t>
      </w:r>
      <w:r>
        <w:rPr>
          <w:rFonts w:hint="eastAsia" w:cs="仿宋"/>
          <w:b w:val="0"/>
          <w:bCs w:val="0"/>
          <w:kern w:val="2"/>
          <w:szCs w:val="24"/>
        </w:rPr>
        <w:t>，实现京津冀区域农业经济连片发展，城乡共建文明和谐新农村</w:t>
      </w:r>
      <w:r>
        <w:rPr>
          <w:rFonts w:cs="仿宋"/>
          <w:b w:val="0"/>
          <w:bCs w:val="0"/>
          <w:kern w:val="2"/>
          <w:szCs w:val="24"/>
        </w:rPr>
        <w:t>。</w:t>
      </w:r>
    </w:p>
    <w:p>
      <w:pPr>
        <w:widowControl w:val="0"/>
        <w:spacing w:line="600" w:lineRule="exact"/>
        <w:ind w:firstLine="643" w:firstLineChars="200"/>
        <w:rPr>
          <w:rFonts w:cs="仿宋"/>
          <w:kern w:val="2"/>
          <w:szCs w:val="24"/>
        </w:rPr>
      </w:pPr>
      <w:r>
        <w:rPr>
          <w:rFonts w:cs="仿宋"/>
          <w:b/>
          <w:bCs/>
          <w:kern w:val="2"/>
          <w:szCs w:val="24"/>
        </w:rPr>
        <w:t>一是助力推进京津冀休闲农业精品观光带建设。</w:t>
      </w:r>
      <w:r>
        <w:rPr>
          <w:rFonts w:cs="仿宋"/>
          <w:kern w:val="2"/>
          <w:szCs w:val="24"/>
        </w:rPr>
        <w:t>依托双街现代农业科技园和龙顺庄园，协同河北和北京南部近郊区，推进休闲农业观光和现代农产品加工业，振兴乡村经济，打造京津冀区域县域经济样板。</w:t>
      </w:r>
    </w:p>
    <w:p>
      <w:pPr>
        <w:widowControl w:val="0"/>
        <w:spacing w:line="600" w:lineRule="exact"/>
        <w:ind w:firstLine="643" w:firstLineChars="200"/>
        <w:rPr>
          <w:rFonts w:cs="仿宋"/>
          <w:kern w:val="2"/>
          <w:szCs w:val="24"/>
        </w:rPr>
      </w:pPr>
      <w:r>
        <w:rPr>
          <w:rFonts w:cs="仿宋"/>
          <w:b/>
          <w:bCs/>
          <w:kern w:val="2"/>
          <w:szCs w:val="24"/>
        </w:rPr>
        <w:t>二是</w:t>
      </w:r>
      <w:bookmarkStart w:id="41" w:name="OLE_LINK8"/>
      <w:bookmarkStart w:id="42" w:name="OLE_LINK7"/>
      <w:r>
        <w:rPr>
          <w:rFonts w:cs="仿宋"/>
          <w:b/>
          <w:bCs/>
          <w:kern w:val="2"/>
          <w:szCs w:val="24"/>
        </w:rPr>
        <w:t>协力推进京津冀运河湿地休闲农业带</w:t>
      </w:r>
      <w:bookmarkEnd w:id="41"/>
      <w:bookmarkEnd w:id="42"/>
      <w:r>
        <w:rPr>
          <w:rFonts w:cs="仿宋"/>
          <w:b/>
          <w:bCs/>
          <w:kern w:val="2"/>
          <w:szCs w:val="24"/>
        </w:rPr>
        <w:t>建设。</w:t>
      </w:r>
      <w:r>
        <w:rPr>
          <w:rFonts w:cs="仿宋"/>
          <w:kern w:val="2"/>
          <w:szCs w:val="24"/>
        </w:rPr>
        <w:t>加快西堤头曙光水镇、双街都市绿谷和双口梦得奶业小镇、小五堡林海</w:t>
      </w:r>
      <w:r>
        <w:rPr>
          <w:rFonts w:cs="仿宋"/>
          <w:kern w:val="2"/>
          <w:szCs w:val="24"/>
          <w:highlight w:val="none"/>
        </w:rPr>
        <w:t>果缘</w:t>
      </w:r>
      <w:r>
        <w:rPr>
          <w:rFonts w:cs="仿宋"/>
          <w:kern w:val="2"/>
          <w:szCs w:val="24"/>
        </w:rPr>
        <w:t>等重点项目建设，实现全方位、立体式、多产业的效益增收以及吸纳村剩余劳动力，通过统筹村镇三次产业融合与新型城镇化发展需求，重构北辰区农业新兴产业支柱，促进京津冀区域城乡经济、文化的相互交融和产业振兴。</w:t>
      </w:r>
    </w:p>
    <w:p>
      <w:pPr>
        <w:widowControl w:val="0"/>
        <w:spacing w:line="600" w:lineRule="exact"/>
        <w:ind w:firstLine="640" w:firstLineChars="200"/>
        <w:rPr>
          <w:rFonts w:ascii="仿宋" w:hAnsi="仿宋" w:cs="仿宋"/>
          <w:kern w:val="2"/>
          <w:szCs w:val="24"/>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600" w:lineRule="exact"/>
              <w:jc w:val="center"/>
              <w:rPr>
                <w:rFonts w:ascii="仿宋" w:hAnsi="仿宋" w:cs="仿宋"/>
                <w:kern w:val="2"/>
                <w:sz w:val="28"/>
                <w:szCs w:val="28"/>
              </w:rPr>
            </w:pPr>
            <w:r>
              <w:rPr>
                <w:rFonts w:hint="eastAsia" w:ascii="仿宋" w:hAnsi="仿宋" w:cs="仿宋"/>
                <w:b/>
                <w:bCs/>
                <w:kern w:val="2"/>
                <w:sz w:val="28"/>
                <w:szCs w:val="28"/>
              </w:rPr>
              <w:t>专栏四  北辰区现代都市型农业发展工程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600" w:lineRule="exact"/>
              <w:ind w:firstLine="562" w:firstLineChars="200"/>
              <w:rPr>
                <w:rFonts w:ascii="仿宋" w:hAnsi="仿宋" w:cs="仿宋"/>
                <w:kern w:val="2"/>
                <w:sz w:val="28"/>
                <w:szCs w:val="28"/>
              </w:rPr>
            </w:pPr>
            <w:r>
              <w:rPr>
                <w:rFonts w:hint="eastAsia" w:ascii="仿宋" w:hAnsi="仿宋" w:cs="仿宋"/>
                <w:b/>
                <w:bCs/>
                <w:kern w:val="2"/>
                <w:sz w:val="28"/>
                <w:szCs w:val="22"/>
              </w:rPr>
              <w:t>京津冀现代农业协同创新体系共建项目。</w:t>
            </w:r>
            <w:r>
              <w:rPr>
                <w:rFonts w:hint="eastAsia" w:ascii="仿宋" w:hAnsi="仿宋" w:cs="仿宋"/>
                <w:kern w:val="2"/>
                <w:sz w:val="28"/>
                <w:szCs w:val="28"/>
              </w:rPr>
              <w:t>加强与中国农业科学院、河北省农林科学院等京津冀农业科研院所的研发合作，依托西堤头曙光水镇、双街都市绿谷和双口梦得奶业小镇、小五堡林海</w:t>
            </w:r>
            <w:r>
              <w:rPr>
                <w:rFonts w:hint="eastAsia" w:ascii="仿宋" w:hAnsi="仿宋" w:cs="仿宋"/>
                <w:kern w:val="2"/>
                <w:sz w:val="28"/>
                <w:szCs w:val="28"/>
                <w:highlight w:val="none"/>
              </w:rPr>
              <w:t>果缘</w:t>
            </w:r>
            <w:r>
              <w:rPr>
                <w:rFonts w:hint="eastAsia" w:ascii="仿宋" w:hAnsi="仿宋" w:cs="仿宋"/>
                <w:kern w:val="2"/>
                <w:sz w:val="28"/>
                <w:szCs w:val="28"/>
              </w:rPr>
              <w:t>等重点项目建设，大力发展现代都市型农业，培育建设一批农业龙头企业，进一步提高农业集约化、产业化水平，打造“智慧三农”监管服务平台，推进农产品网络销售，实现农村电商服务全覆盖。</w:t>
            </w:r>
          </w:p>
          <w:p>
            <w:pPr>
              <w:widowControl w:val="0"/>
              <w:spacing w:line="600" w:lineRule="exact"/>
              <w:ind w:firstLine="562" w:firstLineChars="200"/>
              <w:rPr>
                <w:rFonts w:ascii="仿宋" w:hAnsi="仿宋" w:cs="仿宋"/>
                <w:kern w:val="2"/>
                <w:sz w:val="28"/>
                <w:szCs w:val="28"/>
              </w:rPr>
            </w:pPr>
            <w:r>
              <w:rPr>
                <w:rFonts w:hint="eastAsia" w:ascii="仿宋" w:hAnsi="仿宋" w:cs="仿宋"/>
                <w:b/>
                <w:bCs/>
                <w:kern w:val="2"/>
                <w:sz w:val="28"/>
                <w:szCs w:val="22"/>
              </w:rPr>
              <w:t>京津冀休闲农业精品旅游共建项目。</w:t>
            </w:r>
            <w:r>
              <w:rPr>
                <w:rFonts w:hint="eastAsia" w:ascii="仿宋" w:hAnsi="仿宋" w:cs="仿宋"/>
                <w:kern w:val="2"/>
                <w:sz w:val="28"/>
                <w:szCs w:val="28"/>
              </w:rPr>
              <w:t>主要共建京津冀休闲农业精品观光带、京津冀运河湿地休闲农业带。</w:t>
            </w:r>
          </w:p>
        </w:tc>
      </w:tr>
    </w:tbl>
    <w:p>
      <w:pPr>
        <w:widowControl w:val="0"/>
        <w:spacing w:line="600" w:lineRule="exact"/>
        <w:ind w:firstLine="640" w:firstLineChars="200"/>
        <w:rPr>
          <w:rFonts w:ascii="仿宋" w:hAnsi="仿宋" w:cs="仿宋"/>
          <w:kern w:val="2"/>
          <w:szCs w:val="24"/>
        </w:rPr>
      </w:pPr>
    </w:p>
    <w:p>
      <w:pPr>
        <w:pStyle w:val="5"/>
        <w:spacing w:line="600" w:lineRule="exact"/>
        <w:rPr>
          <w:rFonts w:ascii="仿宋" w:hAnsi="仿宋" w:eastAsia="仿宋" w:cs="仿宋"/>
        </w:rPr>
      </w:pPr>
      <w:bookmarkStart w:id="43" w:name="_Toc937"/>
      <w:r>
        <w:rPr>
          <w:rFonts w:hint="eastAsia" w:ascii="仿宋" w:hAnsi="仿宋" w:eastAsia="仿宋" w:cs="仿宋"/>
        </w:rPr>
        <w:t>五、聚心“高品质”，加强生态环境联保共治</w:t>
      </w:r>
      <w:bookmarkEnd w:id="43"/>
    </w:p>
    <w:p>
      <w:pPr>
        <w:widowControl w:val="0"/>
        <w:spacing w:line="600" w:lineRule="exact"/>
        <w:ind w:firstLine="640" w:firstLineChars="200"/>
        <w:rPr>
          <w:rFonts w:cs="仿宋"/>
          <w:kern w:val="2"/>
          <w:szCs w:val="24"/>
        </w:rPr>
      </w:pPr>
      <w:r>
        <w:rPr>
          <w:rFonts w:cs="仿宋"/>
          <w:kern w:val="2"/>
          <w:szCs w:val="24"/>
        </w:rPr>
        <w:t>坚持京津冀</w:t>
      </w:r>
      <w:r>
        <w:rPr>
          <w:rFonts w:hint="eastAsia" w:cs="仿宋"/>
          <w:kern w:val="2"/>
          <w:szCs w:val="24"/>
        </w:rPr>
        <w:t>生态环境协同治理</w:t>
      </w:r>
      <w:r>
        <w:rPr>
          <w:rFonts w:cs="仿宋"/>
          <w:kern w:val="2"/>
          <w:szCs w:val="24"/>
        </w:rPr>
        <w:t>，</w:t>
      </w:r>
      <w:r>
        <w:rPr>
          <w:rFonts w:hint="eastAsia" w:cs="仿宋"/>
          <w:kern w:val="2"/>
          <w:szCs w:val="24"/>
        </w:rPr>
        <w:t>实施“联防联控、共建共享、生态宜居”的发展战略，</w:t>
      </w:r>
      <w:r>
        <w:rPr>
          <w:rFonts w:cs="仿宋"/>
          <w:kern w:val="2"/>
          <w:szCs w:val="24"/>
        </w:rPr>
        <w:t>以改善生态环境质量为核心，坚决打好污染防治攻坚战，</w:t>
      </w:r>
      <w:r>
        <w:rPr>
          <w:rFonts w:hint="eastAsia" w:cs="仿宋"/>
          <w:kern w:val="2"/>
          <w:szCs w:val="24"/>
        </w:rPr>
        <w:t>实现</w:t>
      </w:r>
      <w:r>
        <w:rPr>
          <w:rFonts w:cs="仿宋"/>
          <w:kern w:val="2"/>
          <w:szCs w:val="24"/>
        </w:rPr>
        <w:t>我区蓝天、碧水、净土的生态环境高品质发展，建设成为京津冀生态文明建设的</w:t>
      </w:r>
      <w:r>
        <w:rPr>
          <w:rFonts w:hint="eastAsia" w:cs="仿宋"/>
          <w:kern w:val="2"/>
          <w:szCs w:val="24"/>
        </w:rPr>
        <w:t>“标杆”</w:t>
      </w:r>
      <w:r>
        <w:rPr>
          <w:rFonts w:cs="仿宋"/>
          <w:kern w:val="2"/>
          <w:szCs w:val="24"/>
        </w:rPr>
        <w:t>。</w:t>
      </w:r>
    </w:p>
    <w:p>
      <w:pPr>
        <w:widowControl w:val="0"/>
        <w:spacing w:line="600" w:lineRule="exact"/>
        <w:ind w:firstLine="643" w:firstLineChars="200"/>
        <w:rPr>
          <w:rFonts w:cs="仿宋"/>
          <w:kern w:val="2"/>
          <w:szCs w:val="24"/>
        </w:rPr>
      </w:pPr>
      <w:r>
        <w:rPr>
          <w:rFonts w:hint="eastAsia" w:cs="仿宋"/>
          <w:b/>
          <w:bCs/>
          <w:szCs w:val="32"/>
        </w:rPr>
        <w:t>1</w:t>
      </w:r>
      <w:r>
        <w:rPr>
          <w:rFonts w:cs="仿宋"/>
          <w:b/>
          <w:bCs/>
          <w:szCs w:val="32"/>
        </w:rPr>
        <w:t>、</w:t>
      </w:r>
      <w:r>
        <w:rPr>
          <w:rFonts w:hint="eastAsia" w:cs="仿宋"/>
          <w:b/>
          <w:bCs/>
          <w:szCs w:val="32"/>
        </w:rPr>
        <w:t>联防联控：</w:t>
      </w:r>
      <w:r>
        <w:rPr>
          <w:rFonts w:cs="仿宋"/>
          <w:b/>
          <w:bCs/>
          <w:szCs w:val="32"/>
        </w:rPr>
        <w:t>全面推进生态治理和生态空间保护</w:t>
      </w:r>
      <w:r>
        <w:rPr>
          <w:rFonts w:hint="eastAsia" w:cs="仿宋"/>
          <w:b/>
          <w:bCs/>
          <w:szCs w:val="32"/>
        </w:rPr>
        <w:t>。</w:t>
      </w:r>
      <w:r>
        <w:rPr>
          <w:rFonts w:cs="仿宋"/>
          <w:kern w:val="2"/>
          <w:szCs w:val="24"/>
        </w:rPr>
        <w:t>坚持把绿色发展作为推进全面创新的优先方向，以对接北京和服务雄安新区为主线，共同推动京津冀区域建成全国生态保护与修复样板。</w:t>
      </w:r>
    </w:p>
    <w:p>
      <w:pPr>
        <w:widowControl w:val="0"/>
        <w:spacing w:line="600" w:lineRule="exact"/>
        <w:ind w:firstLine="643" w:firstLineChars="200"/>
        <w:rPr>
          <w:rFonts w:cs="仿宋"/>
          <w:kern w:val="2"/>
          <w:szCs w:val="24"/>
        </w:rPr>
      </w:pPr>
      <w:r>
        <w:rPr>
          <w:rFonts w:cs="仿宋"/>
          <w:b/>
          <w:bCs/>
          <w:kern w:val="2"/>
          <w:szCs w:val="24"/>
        </w:rPr>
        <w:t>一是积极参与京津冀区域大气污染联防联控，加强生态环境协同保护</w:t>
      </w:r>
      <w:r>
        <w:rPr>
          <w:rFonts w:hint="eastAsia" w:cs="仿宋"/>
          <w:b/>
          <w:bCs/>
          <w:kern w:val="2"/>
          <w:szCs w:val="24"/>
        </w:rPr>
        <w:t>与</w:t>
      </w:r>
      <w:r>
        <w:rPr>
          <w:rFonts w:cs="仿宋"/>
          <w:b/>
          <w:bCs/>
          <w:kern w:val="2"/>
          <w:szCs w:val="24"/>
        </w:rPr>
        <w:t>发展。</w:t>
      </w:r>
      <w:r>
        <w:rPr>
          <w:rFonts w:cs="仿宋"/>
          <w:kern w:val="2"/>
          <w:szCs w:val="24"/>
        </w:rPr>
        <w:t>在京津冀统一的生态环境目标下，依据京津冀及周边地区大气污染综合治理攻坚行动方案，积极与京冀生态环境系统交流互动、形成合力，实施区域环境综合监管，优化空气监测微站点位布局，重点标段施工单位落</w:t>
      </w:r>
      <w:r>
        <w:rPr>
          <w:rFonts w:hint="eastAsia" w:ascii="仿宋" w:hAnsi="仿宋" w:cs="仿宋"/>
          <w:kern w:val="2"/>
          <w:szCs w:val="24"/>
        </w:rPr>
        <w:t>实“六个百分百”措</w:t>
      </w:r>
      <w:r>
        <w:rPr>
          <w:rFonts w:cs="仿宋"/>
          <w:kern w:val="2"/>
          <w:szCs w:val="24"/>
        </w:rPr>
        <w:t>施，有效降低扬尘污染，PM2.5降幅和达标天数达到天津市及京津冀环境规定标准，提升跨界污染应对能力。</w:t>
      </w:r>
    </w:p>
    <w:p>
      <w:pPr>
        <w:widowControl w:val="0"/>
        <w:spacing w:line="600" w:lineRule="exact"/>
        <w:ind w:firstLine="643" w:firstLineChars="200"/>
        <w:rPr>
          <w:rFonts w:cs="仿宋"/>
          <w:kern w:val="2"/>
          <w:szCs w:val="32"/>
        </w:rPr>
      </w:pPr>
      <w:r>
        <w:rPr>
          <w:rFonts w:cs="仿宋"/>
          <w:b/>
          <w:bCs/>
          <w:kern w:val="2"/>
          <w:szCs w:val="24"/>
        </w:rPr>
        <w:t>二是加强水环境治理</w:t>
      </w:r>
      <w:r>
        <w:rPr>
          <w:rFonts w:hint="eastAsia" w:cs="仿宋"/>
          <w:b/>
          <w:bCs/>
          <w:kern w:val="2"/>
          <w:szCs w:val="24"/>
        </w:rPr>
        <w:t>，探索治理新格局</w:t>
      </w:r>
      <w:r>
        <w:rPr>
          <w:rFonts w:cs="仿宋"/>
          <w:b/>
          <w:bCs/>
          <w:kern w:val="2"/>
          <w:szCs w:val="24"/>
        </w:rPr>
        <w:t>。</w:t>
      </w:r>
      <w:r>
        <w:rPr>
          <w:rFonts w:cs="仿宋"/>
          <w:kern w:val="2"/>
          <w:szCs w:val="24"/>
        </w:rPr>
        <w:t>在京津冀水源涵养区、永定河流域</w:t>
      </w:r>
      <w:r>
        <w:rPr>
          <w:rFonts w:hint="eastAsia" w:cs="仿宋"/>
          <w:kern w:val="2"/>
          <w:szCs w:val="24"/>
        </w:rPr>
        <w:t>，协同</w:t>
      </w:r>
      <w:r>
        <w:rPr>
          <w:rFonts w:cs="仿宋"/>
          <w:kern w:val="2"/>
          <w:szCs w:val="24"/>
        </w:rPr>
        <w:t>探索建立湿地生态效益补偿制度，压实河（湖）长责任制，持续开展水体治理，基本消除黑臭水体；积极</w:t>
      </w:r>
      <w:r>
        <w:rPr>
          <w:rFonts w:cs="仿宋"/>
          <w:kern w:val="2"/>
          <w:szCs w:val="32"/>
        </w:rPr>
        <w:t>参与京津冀三地生态环境部门的水污染防治联防联控应急演练，在北运河等跨界水流域进行突发环境事件应急演练，协同建立联防联控机制，提升京津冀三地应对突发水环境事件协同指挥与处置的能力。</w:t>
      </w:r>
    </w:p>
    <w:p>
      <w:pPr>
        <w:spacing w:line="600" w:lineRule="exact"/>
        <w:ind w:firstLine="643" w:firstLineChars="200"/>
        <w:rPr>
          <w:rFonts w:cs="仿宋"/>
          <w:b/>
          <w:bCs/>
          <w:kern w:val="2"/>
          <w:szCs w:val="32"/>
        </w:rPr>
      </w:pPr>
      <w:r>
        <w:rPr>
          <w:rFonts w:hint="eastAsia" w:cs="仿宋"/>
          <w:b/>
          <w:bCs/>
          <w:kern w:val="2"/>
          <w:szCs w:val="32"/>
        </w:rPr>
        <w:t>2、共建共享：积极参与京津冀生态共建共享机制</w:t>
      </w:r>
    </w:p>
    <w:p>
      <w:pPr>
        <w:spacing w:line="600" w:lineRule="exact"/>
        <w:ind w:firstLine="643" w:firstLineChars="200"/>
        <w:rPr>
          <w:rFonts w:cs="仿宋"/>
          <w:kern w:val="2"/>
          <w:szCs w:val="32"/>
        </w:rPr>
      </w:pPr>
      <w:r>
        <w:rPr>
          <w:rFonts w:hint="eastAsia" w:cs="仿宋"/>
          <w:b/>
          <w:bCs/>
          <w:kern w:val="2"/>
          <w:szCs w:val="32"/>
        </w:rPr>
        <w:t>一是参与构建跨区域共建共享有效机制。</w:t>
      </w:r>
      <w:r>
        <w:rPr>
          <w:rFonts w:hint="eastAsia" w:cs="仿宋"/>
          <w:kern w:val="2"/>
          <w:szCs w:val="32"/>
        </w:rPr>
        <w:t>在京津冀协同发展领导小组的领导下，积极参与建立京津冀生态共建共享协商制度，协调处理涉及区域生态建设等相关问题，充分发挥区政府在生态建设中的主导作用，对企业、社会的生态环境行为进行有效规范、引导和监督，推进京津冀生态环境协同保护。</w:t>
      </w:r>
    </w:p>
    <w:p>
      <w:pPr>
        <w:spacing w:line="600" w:lineRule="exact"/>
        <w:ind w:firstLine="643" w:firstLineChars="200"/>
        <w:rPr>
          <w:rFonts w:cs="仿宋"/>
          <w:szCs w:val="32"/>
        </w:rPr>
      </w:pPr>
      <w:r>
        <w:rPr>
          <w:rFonts w:hint="eastAsia" w:cs="仿宋"/>
          <w:b/>
          <w:bCs/>
          <w:szCs w:val="32"/>
        </w:rPr>
        <w:t>二是参与共建京津冀生态共建共享大数据中心，形成生态资源信息共享机制。</w:t>
      </w:r>
      <w:r>
        <w:rPr>
          <w:rFonts w:hint="eastAsia" w:cs="仿宋"/>
          <w:szCs w:val="32"/>
        </w:rPr>
        <w:t>积极整合北辰生态环保、社会经济等信息数据，对接首都优势科技资源，参与建立全覆盖、全过程、全系统的京津冀生态管理平台，为生态系统的常态化监测、评估、动态维护奠定基础，为跨区域生态补偿提供技术支持。</w:t>
      </w:r>
    </w:p>
    <w:p>
      <w:pPr>
        <w:spacing w:line="600" w:lineRule="exact"/>
        <w:ind w:firstLine="643" w:firstLineChars="200"/>
        <w:rPr>
          <w:szCs w:val="32"/>
        </w:rPr>
      </w:pPr>
      <w:r>
        <w:rPr>
          <w:b/>
          <w:bCs/>
          <w:szCs w:val="32"/>
        </w:rPr>
        <w:t>3、</w:t>
      </w:r>
      <w:r>
        <w:rPr>
          <w:rFonts w:hint="eastAsia"/>
          <w:b/>
          <w:bCs/>
          <w:szCs w:val="32"/>
        </w:rPr>
        <w:t>生态宜居：</w:t>
      </w:r>
      <w:r>
        <w:rPr>
          <w:b/>
          <w:bCs/>
          <w:szCs w:val="32"/>
        </w:rPr>
        <w:t>全力打造京津冀环首都生态屏障北辰样板</w:t>
      </w:r>
      <w:r>
        <w:rPr>
          <w:rFonts w:hint="eastAsia"/>
          <w:b/>
          <w:bCs/>
          <w:szCs w:val="32"/>
        </w:rPr>
        <w:t>。</w:t>
      </w:r>
      <w:r>
        <w:rPr>
          <w:szCs w:val="32"/>
        </w:rPr>
        <w:t>以生态空间、生态保护红线作为城市建设的基础，构建蓝绿交织、和谐自然的国土空间格局。</w:t>
      </w:r>
    </w:p>
    <w:p>
      <w:pPr>
        <w:widowControl w:val="0"/>
        <w:spacing w:line="600" w:lineRule="exact"/>
        <w:ind w:firstLine="643" w:firstLineChars="200"/>
        <w:rPr>
          <w:rFonts w:cs="仿宋"/>
          <w:kern w:val="2"/>
          <w:szCs w:val="32"/>
        </w:rPr>
      </w:pPr>
      <w:r>
        <w:rPr>
          <w:rFonts w:cs="仿宋"/>
          <w:b/>
          <w:bCs/>
          <w:kern w:val="2"/>
          <w:szCs w:val="32"/>
        </w:rPr>
        <w:t>一是构建京津冀区域北辰样板绿色生态屏障。</w:t>
      </w:r>
      <w:r>
        <w:rPr>
          <w:rFonts w:cs="仿宋"/>
          <w:kern w:val="2"/>
          <w:szCs w:val="32"/>
        </w:rPr>
        <w:t>继续深化推进永定河、北运河综合治理和生态修复，积极参与京津冀整体湿地可持续利用示范工程，持续筑牢生态安全屏障，完善湿地生态功能。按照</w:t>
      </w:r>
      <w:r>
        <w:rPr>
          <w:rFonts w:hint="eastAsia" w:ascii="仿宋" w:hAnsi="仿宋" w:cs="仿宋"/>
          <w:kern w:val="2"/>
          <w:szCs w:val="32"/>
        </w:rPr>
        <w:t>“自然优先、生态修复”的</w:t>
      </w:r>
      <w:r>
        <w:rPr>
          <w:rFonts w:cs="仿宋"/>
          <w:kern w:val="2"/>
          <w:szCs w:val="32"/>
        </w:rPr>
        <w:t>原则，规划统筹、引领发展北辰绿洲湿地公园等湿地保护区，构筑起串联中心城区与滨海新城的生态大轴线，打造风景秀丽、人文荟萃、商务繁荣的滨水景观带</w:t>
      </w:r>
      <w:r>
        <w:rPr>
          <w:szCs w:val="32"/>
        </w:rPr>
        <w:t>，推动建设绿色低碳、信息智能、宜居宜业的高水平现代化城区</w:t>
      </w:r>
      <w:r>
        <w:rPr>
          <w:rFonts w:cs="仿宋"/>
          <w:kern w:val="2"/>
          <w:szCs w:val="32"/>
        </w:rPr>
        <w:t>。</w:t>
      </w:r>
    </w:p>
    <w:p>
      <w:pPr>
        <w:widowControl w:val="0"/>
        <w:spacing w:line="600" w:lineRule="exact"/>
        <w:ind w:firstLine="643" w:firstLineChars="200"/>
        <w:rPr>
          <w:rFonts w:cs="仿宋"/>
          <w:kern w:val="2"/>
          <w:szCs w:val="32"/>
        </w:rPr>
      </w:pPr>
      <w:r>
        <w:rPr>
          <w:rFonts w:cs="仿宋"/>
          <w:b/>
          <w:bCs/>
          <w:kern w:val="2"/>
          <w:szCs w:val="32"/>
        </w:rPr>
        <w:t>二是高品质建设产城融合示范区。</w:t>
      </w:r>
      <w:r>
        <w:rPr>
          <w:rFonts w:cs="仿宋"/>
          <w:kern w:val="2"/>
          <w:szCs w:val="32"/>
        </w:rPr>
        <w:t>吸引</w:t>
      </w:r>
      <w:r>
        <w:rPr>
          <w:rFonts w:hint="eastAsia" w:cs="仿宋"/>
          <w:kern w:val="2"/>
          <w:szCs w:val="32"/>
        </w:rPr>
        <w:t>北京及国内外</w:t>
      </w:r>
      <w:r>
        <w:rPr>
          <w:rFonts w:cs="仿宋"/>
          <w:kern w:val="2"/>
          <w:szCs w:val="32"/>
        </w:rPr>
        <w:t>高端人才筑巢。依托北运河生态区、永定新河生态郊野走廊、栖凤小镇等布置绿色休闲公园，集聚配置商务服务、教育、健康、文化、娱乐、社会交往等设施，打造集技术研发、商务服务、智慧生活、休闲旅游等多种功能于一体的产城融合示范区，吸引京津冀区域人才和</w:t>
      </w:r>
      <w:r>
        <w:rPr>
          <w:rFonts w:hint="eastAsia" w:cs="仿宋"/>
          <w:kern w:val="2"/>
          <w:szCs w:val="32"/>
        </w:rPr>
        <w:t>承接</w:t>
      </w:r>
      <w:r>
        <w:rPr>
          <w:rFonts w:cs="仿宋"/>
          <w:kern w:val="2"/>
          <w:szCs w:val="32"/>
        </w:rPr>
        <w:t>产业转移。</w:t>
      </w:r>
    </w:p>
    <w:p>
      <w:pPr>
        <w:widowControl w:val="0"/>
        <w:spacing w:line="600" w:lineRule="exact"/>
        <w:ind w:firstLine="643" w:firstLineChars="200"/>
        <w:rPr>
          <w:rFonts w:cs="仿宋"/>
          <w:kern w:val="2"/>
          <w:szCs w:val="32"/>
        </w:rPr>
      </w:pPr>
      <w:r>
        <w:rPr>
          <w:rFonts w:cs="仿宋"/>
          <w:b/>
          <w:bCs/>
          <w:kern w:val="2"/>
          <w:szCs w:val="32"/>
        </w:rPr>
        <w:t>三是探索建立京津冀区域生态旅游产品市场，提升北辰生态文化价值。</w:t>
      </w:r>
      <w:r>
        <w:rPr>
          <w:rFonts w:cs="仿宋"/>
          <w:kern w:val="2"/>
          <w:szCs w:val="32"/>
        </w:rPr>
        <w:t>协同安国、昌黎等京津冀周边市区县，构建健康资源—健康生态产品—生态资产价值转化机制，重点支持以天士力大健康为核心开展生态文化产品价值实现机制试点，建立生态文化产品价值科学核算体系，培育京津冀区域生态文化产品交易市场。</w:t>
      </w:r>
    </w:p>
    <w:p>
      <w:pPr>
        <w:widowControl w:val="0"/>
        <w:spacing w:line="600" w:lineRule="exact"/>
        <w:ind w:firstLine="640" w:firstLineChars="200"/>
        <w:rPr>
          <w:rFonts w:ascii="仿宋" w:hAnsi="仿宋" w:cs="仿宋"/>
          <w:kern w:val="2"/>
          <w:szCs w:val="24"/>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600" w:lineRule="exact"/>
              <w:jc w:val="center"/>
              <w:rPr>
                <w:rFonts w:ascii="仿宋" w:hAnsi="仿宋" w:cs="仿宋"/>
                <w:bCs/>
                <w:kern w:val="2"/>
                <w:sz w:val="28"/>
                <w:szCs w:val="28"/>
              </w:rPr>
            </w:pPr>
            <w:r>
              <w:rPr>
                <w:rFonts w:hint="eastAsia" w:ascii="仿宋" w:hAnsi="仿宋" w:cs="仿宋"/>
                <w:b/>
                <w:kern w:val="2"/>
                <w:sz w:val="28"/>
                <w:szCs w:val="28"/>
              </w:rPr>
              <w:t>专栏五 北辰区生态价值提升工程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600" w:lineRule="exact"/>
              <w:ind w:firstLine="562" w:firstLineChars="200"/>
              <w:rPr>
                <w:rFonts w:ascii="仿宋" w:hAnsi="仿宋" w:cs="仿宋"/>
                <w:kern w:val="2"/>
                <w:sz w:val="28"/>
                <w:szCs w:val="28"/>
              </w:rPr>
            </w:pPr>
            <w:r>
              <w:rPr>
                <w:rFonts w:hint="eastAsia" w:ascii="仿宋" w:hAnsi="仿宋" w:cs="仿宋"/>
                <w:b/>
                <w:kern w:val="2"/>
                <w:sz w:val="28"/>
                <w:szCs w:val="28"/>
              </w:rPr>
              <w:t>探索建立京津冀区域生态旅游产品市场。</w:t>
            </w:r>
            <w:r>
              <w:rPr>
                <w:rFonts w:hint="eastAsia" w:ascii="仿宋" w:hAnsi="仿宋" w:cs="仿宋"/>
                <w:kern w:val="2"/>
                <w:sz w:val="28"/>
                <w:szCs w:val="28"/>
              </w:rPr>
              <w:t>以天士力大健康为核心，协同安国、昌黎等京津冀周边市区县，构建健康资源—健康生态产品—生态资产价值转化机制，开展生态文化产品价值实现机制试点，发挥“互联网+生态产品”新型产销模式。</w:t>
            </w:r>
          </w:p>
          <w:p>
            <w:pPr>
              <w:widowControl w:val="0"/>
              <w:spacing w:line="600" w:lineRule="exact"/>
              <w:ind w:firstLine="562" w:firstLineChars="200"/>
              <w:rPr>
                <w:rFonts w:ascii="仿宋" w:hAnsi="仿宋" w:cs="仿宋"/>
                <w:kern w:val="2"/>
                <w:sz w:val="28"/>
                <w:szCs w:val="28"/>
              </w:rPr>
            </w:pPr>
            <w:r>
              <w:rPr>
                <w:rFonts w:hint="eastAsia" w:ascii="仿宋" w:hAnsi="仿宋" w:cs="仿宋"/>
                <w:b/>
                <w:kern w:val="2"/>
                <w:sz w:val="28"/>
                <w:szCs w:val="28"/>
              </w:rPr>
              <w:t>构建京津冀区域北辰样板绿色生态屏障。</w:t>
            </w:r>
            <w:r>
              <w:rPr>
                <w:rFonts w:hint="eastAsia" w:ascii="仿宋" w:hAnsi="仿宋" w:cs="仿宋"/>
                <w:kern w:val="2"/>
                <w:sz w:val="28"/>
                <w:szCs w:val="28"/>
              </w:rPr>
              <w:t>完成北辰道隔离带、京津公路（环外段）等绿化提升改造项目，进一步提升绿化覆盖水平和开放程度，实现公园绿地500米半径居住用地覆盖率100%，打造“绿廊绕城、绿带漫城、绿点缀城”的城市绿地系统，拓展居民的休闲空间。</w:t>
            </w:r>
          </w:p>
          <w:p>
            <w:pPr>
              <w:widowControl w:val="0"/>
              <w:spacing w:line="600" w:lineRule="exact"/>
              <w:ind w:firstLine="562" w:firstLineChars="200"/>
              <w:rPr>
                <w:rFonts w:ascii="仿宋" w:hAnsi="仿宋" w:cs="仿宋"/>
                <w:kern w:val="2"/>
                <w:sz w:val="28"/>
                <w:szCs w:val="28"/>
              </w:rPr>
            </w:pPr>
            <w:r>
              <w:rPr>
                <w:rFonts w:hint="eastAsia" w:ascii="仿宋" w:hAnsi="仿宋" w:cs="仿宋"/>
                <w:b/>
                <w:bCs/>
                <w:kern w:val="2"/>
                <w:sz w:val="28"/>
                <w:szCs w:val="28"/>
              </w:rPr>
              <w:t>土壤修复技术储备工程。</w:t>
            </w:r>
            <w:r>
              <w:rPr>
                <w:rFonts w:hint="eastAsia" w:ascii="仿宋" w:hAnsi="仿宋" w:cs="仿宋"/>
                <w:kern w:val="2"/>
                <w:sz w:val="28"/>
                <w:szCs w:val="28"/>
              </w:rPr>
              <w:t>加强农田和有机污染治理。保持和强化与北京科技界与企业界在土壤地下水修复方面对接，持续关注并资助土壤修复关键技术的研发与产业化，促进土壤修复技术的研发，加速北辰土壤治理研发与成果转化应用的创新服务模式建设，建立多个修复示范工程和示范基地。</w:t>
            </w:r>
          </w:p>
        </w:tc>
      </w:tr>
    </w:tbl>
    <w:p>
      <w:pPr>
        <w:widowControl w:val="0"/>
        <w:spacing w:line="600" w:lineRule="exact"/>
        <w:ind w:firstLine="640" w:firstLineChars="200"/>
        <w:rPr>
          <w:rFonts w:ascii="仿宋" w:hAnsi="仿宋" w:cs="仿宋"/>
          <w:kern w:val="2"/>
          <w:szCs w:val="24"/>
        </w:rPr>
      </w:pPr>
    </w:p>
    <w:p>
      <w:pPr>
        <w:pStyle w:val="5"/>
        <w:spacing w:line="600" w:lineRule="exact"/>
        <w:rPr>
          <w:rFonts w:ascii="仿宋" w:hAnsi="仿宋" w:eastAsia="仿宋" w:cs="仿宋"/>
        </w:rPr>
      </w:pPr>
      <w:bookmarkStart w:id="44" w:name="_Toc9265"/>
      <w:r>
        <w:rPr>
          <w:rFonts w:hint="eastAsia" w:ascii="仿宋" w:hAnsi="仿宋" w:eastAsia="仿宋" w:cs="仿宋"/>
        </w:rPr>
        <w:t>六、聚智“高效能”，提升公共服务互惠共享</w:t>
      </w:r>
      <w:bookmarkEnd w:id="44"/>
    </w:p>
    <w:p>
      <w:pPr>
        <w:widowControl w:val="0"/>
        <w:spacing w:line="600" w:lineRule="exact"/>
        <w:ind w:firstLine="640" w:firstLineChars="200"/>
        <w:rPr>
          <w:rFonts w:ascii="仿宋" w:hAnsi="仿宋" w:cs="仿宋"/>
          <w:kern w:val="2"/>
          <w:szCs w:val="32"/>
        </w:rPr>
      </w:pPr>
      <w:r>
        <w:rPr>
          <w:rFonts w:hint="eastAsia" w:ascii="仿宋" w:hAnsi="仿宋" w:cs="仿宋"/>
          <w:kern w:val="2"/>
          <w:szCs w:val="32"/>
        </w:rPr>
        <w:t>推动京津市区的优质公共服务资源向我区延伸，实施“便捷高效—同城普惠—优质共享”的发展战略，把我区建设成为京津冀公共服务建设高地。</w:t>
      </w:r>
    </w:p>
    <w:p>
      <w:pPr>
        <w:widowControl w:val="0"/>
        <w:spacing w:line="600" w:lineRule="exact"/>
        <w:ind w:firstLine="643" w:firstLineChars="200"/>
        <w:rPr>
          <w:rFonts w:ascii="仿宋" w:hAnsi="仿宋" w:cs="仿宋"/>
          <w:kern w:val="2"/>
          <w:szCs w:val="32"/>
        </w:rPr>
      </w:pPr>
      <w:r>
        <w:rPr>
          <w:rFonts w:hint="eastAsia" w:ascii="仿宋" w:hAnsi="仿宋" w:cs="仿宋"/>
          <w:b/>
          <w:bCs/>
          <w:szCs w:val="32"/>
        </w:rPr>
        <w:t>1、便捷高效：落实公共服务合作机制和政策衔接。</w:t>
      </w:r>
      <w:r>
        <w:rPr>
          <w:rFonts w:hint="eastAsia" w:ascii="仿宋" w:hAnsi="仿宋" w:cs="仿宋"/>
          <w:kern w:val="2"/>
          <w:szCs w:val="32"/>
        </w:rPr>
        <w:t>深化落实教育、医疗、卫生、文化等公共服务合作机制。推动优质教育、医疗资源向我区延伸，强化就业、养老、社保跨区域政策衔接，提升区域公共服务整体水平。</w:t>
      </w:r>
    </w:p>
    <w:p>
      <w:pPr>
        <w:pStyle w:val="2"/>
        <w:spacing w:line="600" w:lineRule="exact"/>
        <w:ind w:firstLine="643"/>
        <w:rPr>
          <w:rFonts w:ascii="仿宋" w:hAnsi="仿宋" w:cs="仿宋"/>
          <w:kern w:val="2"/>
          <w:sz w:val="32"/>
          <w:szCs w:val="32"/>
        </w:rPr>
      </w:pPr>
      <w:r>
        <w:rPr>
          <w:rFonts w:hint="eastAsia" w:ascii="仿宋" w:hAnsi="仿宋" w:cs="仿宋"/>
          <w:b/>
          <w:bCs/>
          <w:sz w:val="32"/>
          <w:szCs w:val="32"/>
        </w:rPr>
        <w:t>一是社会保障领域，积极参与构建京津冀方便快捷的流转衔接机制。</w:t>
      </w:r>
      <w:r>
        <w:rPr>
          <w:rFonts w:hint="eastAsia" w:ascii="仿宋" w:hAnsi="仿宋" w:cs="仿宋"/>
          <w:kern w:val="2"/>
          <w:sz w:val="32"/>
          <w:szCs w:val="32"/>
        </w:rPr>
        <w:t>完善协作机制，探索并实施工伤、养老、失业、医疗等各种保险的异地管理和直接结算办法；设立京津冀公共服务联合办事窗口，完善我区人力资源与社会保障服务平台建设；积极参与推动京津冀区域养老标准一体化工作，加快异地养老服务平台建设；制定跨省就业人才的医疗、住房、养老、科研等综合性保障政策。</w:t>
      </w:r>
    </w:p>
    <w:p>
      <w:pPr>
        <w:pStyle w:val="2"/>
        <w:spacing w:line="600" w:lineRule="exact"/>
        <w:ind w:firstLine="643"/>
        <w:rPr>
          <w:rFonts w:ascii="仿宋" w:hAnsi="仿宋" w:cs="仿宋"/>
          <w:kern w:val="2"/>
          <w:sz w:val="32"/>
          <w:szCs w:val="32"/>
        </w:rPr>
      </w:pPr>
      <w:r>
        <w:rPr>
          <w:rFonts w:hint="eastAsia" w:ascii="仿宋" w:hAnsi="仿宋" w:cs="仿宋"/>
          <w:b/>
          <w:bCs/>
          <w:sz w:val="32"/>
          <w:szCs w:val="32"/>
        </w:rPr>
        <w:t>二是文化体育领域，公共文化和体育产品共建共享。</w:t>
      </w:r>
      <w:r>
        <w:rPr>
          <w:rFonts w:hint="eastAsia" w:ascii="仿宋" w:hAnsi="仿宋" w:cs="仿宋"/>
          <w:kern w:val="2"/>
          <w:sz w:val="32"/>
          <w:szCs w:val="32"/>
        </w:rPr>
        <w:t>补齐我区文化体育事业发展短板，加强与北京相关事业的对接衔接，促进资源共建共享。在大运河和海河等文化资源保护、传承和利用上，加强与</w:t>
      </w:r>
      <w:r>
        <w:rPr>
          <w:rFonts w:hint="eastAsia" w:ascii="仿宋" w:hAnsi="仿宋" w:cs="仿宋"/>
          <w:kern w:val="2"/>
          <w:sz w:val="32"/>
          <w:szCs w:val="32"/>
          <w:highlight w:val="none"/>
        </w:rPr>
        <w:t>京冀合作</w:t>
      </w:r>
      <w:r>
        <w:rPr>
          <w:rFonts w:hint="eastAsia" w:ascii="仿宋" w:hAnsi="仿宋" w:cs="仿宋"/>
          <w:kern w:val="2"/>
          <w:sz w:val="32"/>
          <w:szCs w:val="32"/>
        </w:rPr>
        <w:t>，推动形成具有京津冀区域特色的文化体系。</w:t>
      </w:r>
    </w:p>
    <w:p>
      <w:pPr>
        <w:pStyle w:val="2"/>
        <w:spacing w:line="600" w:lineRule="exact"/>
        <w:ind w:firstLine="643"/>
        <w:rPr>
          <w:rFonts w:ascii="仿宋" w:hAnsi="仿宋" w:cs="仿宋"/>
          <w:sz w:val="32"/>
          <w:szCs w:val="32"/>
          <w:highlight w:val="yellow"/>
        </w:rPr>
      </w:pPr>
      <w:r>
        <w:rPr>
          <w:rFonts w:hint="eastAsia" w:ascii="仿宋" w:hAnsi="仿宋" w:cs="仿宋"/>
          <w:b/>
          <w:bCs/>
          <w:sz w:val="32"/>
          <w:szCs w:val="32"/>
        </w:rPr>
        <w:t>三是医疗卫生领域，破除壁垒、积极参与一体化进程。</w:t>
      </w:r>
      <w:r>
        <w:rPr>
          <w:rFonts w:hint="eastAsia" w:ascii="仿宋" w:hAnsi="仿宋" w:cs="仿宋"/>
          <w:kern w:val="2"/>
          <w:sz w:val="32"/>
          <w:szCs w:val="32"/>
        </w:rPr>
        <w:t>积极落实京津冀执业医师多点执业政策，放宽执业医师、护士区域注册工作，鼓励和引导优质医师资源在京津冀区域内执业。探索建立三地统一的医保异地就医制度，扩大异地就医结算范围和直接结算方式。</w:t>
      </w:r>
    </w:p>
    <w:p>
      <w:pPr>
        <w:pStyle w:val="6"/>
        <w:spacing w:line="600" w:lineRule="exact"/>
        <w:ind w:left="0" w:leftChars="0" w:firstLine="643" w:firstLineChars="200"/>
        <w:rPr>
          <w:rFonts w:cs="仿宋"/>
        </w:rPr>
      </w:pPr>
      <w:r>
        <w:rPr>
          <w:rFonts w:hint="eastAsia" w:cs="仿宋"/>
        </w:rPr>
        <w:t>2、同城普惠：推动教育与医疗资源合理布局，共享协同发展成果</w:t>
      </w:r>
    </w:p>
    <w:p>
      <w:pPr>
        <w:widowControl w:val="0"/>
        <w:spacing w:line="600" w:lineRule="exact"/>
        <w:ind w:firstLine="643" w:firstLineChars="200"/>
      </w:pPr>
      <w:r>
        <w:rPr>
          <w:rFonts w:hint="eastAsia"/>
          <w:b/>
          <w:bCs/>
        </w:rPr>
        <w:t>一是积极参与京津冀教育联盟及京津冀职业教育对接产业服务平台建设，建设开放共享的高校学生实践基地。</w:t>
      </w:r>
      <w:r>
        <w:rPr>
          <w:rFonts w:hint="eastAsia"/>
        </w:rPr>
        <w:t>依托河北工业大学，深化落实“京津冀三区市教育联盟”协同发展，积极促进优质教育资源共享，加强疏解地教育合作。重点发挥北辰高端装备产业基地作用，推动京津冀三地职业院校、职教园区与北辰产业园区融合发展，助推天津职业大学与河北省职业院校“结对子”，推动技术技能人才联合培养，促进三省市职业教育协同发展。</w:t>
      </w:r>
    </w:p>
    <w:p>
      <w:pPr>
        <w:widowControl w:val="0"/>
        <w:spacing w:line="600" w:lineRule="exact"/>
        <w:ind w:firstLine="643" w:firstLineChars="200"/>
        <w:rPr>
          <w:rFonts w:cs="仿宋"/>
          <w:kern w:val="2"/>
          <w:szCs w:val="24"/>
        </w:rPr>
      </w:pPr>
      <w:r>
        <w:rPr>
          <w:rFonts w:hint="eastAsia" w:cs="仿宋"/>
          <w:b/>
          <w:bCs/>
          <w:kern w:val="2"/>
          <w:szCs w:val="24"/>
        </w:rPr>
        <w:t>二</w:t>
      </w:r>
      <w:r>
        <w:rPr>
          <w:rFonts w:cs="仿宋"/>
          <w:b/>
          <w:bCs/>
          <w:kern w:val="2"/>
          <w:szCs w:val="24"/>
        </w:rPr>
        <w:t>是强化京津冀区域公共卫生合作。</w:t>
      </w:r>
      <w:r>
        <w:rPr>
          <w:rFonts w:cs="仿宋"/>
          <w:kern w:val="2"/>
          <w:szCs w:val="24"/>
        </w:rPr>
        <w:t>依托电子健康卡，加强以居民健康档案为重点的全民健康信息平台建设，健全北辰区重大疫情、突发公共卫生事件联防联控和应急救援机制，推动建立京津冀区域性统一的急救医疗网络体系，实现急救信息共享和急救网络连通。</w:t>
      </w:r>
    </w:p>
    <w:p>
      <w:pPr>
        <w:widowControl w:val="0"/>
        <w:spacing w:line="600" w:lineRule="exact"/>
        <w:ind w:firstLine="643" w:firstLineChars="200"/>
        <w:rPr>
          <w:rFonts w:ascii="仿宋" w:hAnsi="仿宋" w:cs="仿宋"/>
          <w:kern w:val="2"/>
          <w:szCs w:val="24"/>
        </w:rPr>
      </w:pPr>
      <w:r>
        <w:rPr>
          <w:rFonts w:hint="eastAsia" w:cs="仿宋"/>
          <w:b/>
          <w:bCs/>
          <w:kern w:val="2"/>
          <w:szCs w:val="24"/>
        </w:rPr>
        <w:t>3</w:t>
      </w:r>
      <w:r>
        <w:rPr>
          <w:rFonts w:cs="仿宋"/>
          <w:b/>
          <w:bCs/>
          <w:kern w:val="2"/>
          <w:szCs w:val="24"/>
        </w:rPr>
        <w:t>、</w:t>
      </w:r>
      <w:r>
        <w:rPr>
          <w:rFonts w:hint="eastAsia" w:cs="仿宋"/>
          <w:b/>
          <w:bCs/>
          <w:kern w:val="2"/>
          <w:szCs w:val="24"/>
        </w:rPr>
        <w:t>优质共享：共享京津冀高品质公共服务。</w:t>
      </w:r>
      <w:r>
        <w:rPr>
          <w:rFonts w:ascii="仿宋" w:hAnsi="仿宋" w:cs="仿宋"/>
          <w:kern w:val="2"/>
          <w:szCs w:val="24"/>
        </w:rPr>
        <w:t>推动北辰医疗卫生</w:t>
      </w:r>
      <w:r>
        <w:rPr>
          <w:rFonts w:hint="eastAsia" w:ascii="仿宋" w:hAnsi="仿宋" w:cs="仿宋"/>
          <w:kern w:val="2"/>
          <w:szCs w:val="24"/>
        </w:rPr>
        <w:t>、文娱体育等方面与北京</w:t>
      </w:r>
      <w:r>
        <w:rPr>
          <w:rFonts w:ascii="仿宋" w:hAnsi="仿宋" w:cs="仿宋"/>
          <w:kern w:val="2"/>
          <w:szCs w:val="24"/>
        </w:rPr>
        <w:t>的交流合作、协同发展，共享高品质</w:t>
      </w:r>
      <w:r>
        <w:rPr>
          <w:rFonts w:hint="eastAsia" w:ascii="仿宋" w:hAnsi="仿宋" w:cs="仿宋"/>
          <w:kern w:val="2"/>
          <w:szCs w:val="24"/>
        </w:rPr>
        <w:t>公共服务</w:t>
      </w:r>
      <w:r>
        <w:rPr>
          <w:rFonts w:ascii="仿宋" w:hAnsi="仿宋" w:cs="仿宋"/>
          <w:kern w:val="2"/>
          <w:szCs w:val="24"/>
        </w:rPr>
        <w:t>资源，持续提升人民</w:t>
      </w:r>
      <w:r>
        <w:rPr>
          <w:rFonts w:hint="eastAsia" w:ascii="仿宋" w:hAnsi="仿宋" w:cs="仿宋"/>
          <w:kern w:val="2"/>
          <w:szCs w:val="24"/>
        </w:rPr>
        <w:t>幸福感</w:t>
      </w:r>
      <w:r>
        <w:rPr>
          <w:rFonts w:ascii="仿宋" w:hAnsi="仿宋" w:cs="仿宋"/>
          <w:kern w:val="2"/>
          <w:szCs w:val="24"/>
        </w:rPr>
        <w:t>，增强京津冀协同发展的支撑保障。</w:t>
      </w:r>
    </w:p>
    <w:p>
      <w:pPr>
        <w:widowControl w:val="0"/>
        <w:spacing w:line="600" w:lineRule="exact"/>
        <w:ind w:firstLine="643" w:firstLineChars="200"/>
        <w:rPr>
          <w:rFonts w:cs="仿宋"/>
          <w:kern w:val="2"/>
          <w:szCs w:val="24"/>
        </w:rPr>
      </w:pPr>
      <w:r>
        <w:rPr>
          <w:rFonts w:hint="eastAsia" w:cs="仿宋"/>
          <w:b/>
          <w:bCs/>
          <w:kern w:val="2"/>
          <w:szCs w:val="24"/>
        </w:rPr>
        <w:t>一</w:t>
      </w:r>
      <w:r>
        <w:rPr>
          <w:rFonts w:cs="仿宋"/>
          <w:b/>
          <w:bCs/>
          <w:kern w:val="2"/>
          <w:szCs w:val="24"/>
        </w:rPr>
        <w:t>是助</w:t>
      </w:r>
      <w:r>
        <w:rPr>
          <w:rFonts w:hint="eastAsia" w:ascii="仿宋" w:hAnsi="仿宋" w:cs="仿宋"/>
          <w:b/>
          <w:bCs/>
          <w:kern w:val="2"/>
          <w:szCs w:val="24"/>
        </w:rPr>
        <w:t>力搭建京津冀区域医疗卫生平台和“互联网+”养老服务平台。</w:t>
      </w:r>
      <w:r>
        <w:rPr>
          <w:rFonts w:hint="eastAsia" w:ascii="仿宋" w:hAnsi="仿宋" w:cs="仿宋"/>
          <w:kern w:val="2"/>
          <w:szCs w:val="24"/>
        </w:rPr>
        <w:t>鼓励与北京开展医联体、校际联盟、委托管理等方式，积极引进一批高端国际医院，利用互联网及大数据分析对区内养老需求进行精准服务，建立“北辰区智慧医疗基金”平台、“智慧社区医疗”平台、“智慧家庭医疗”和“北辰云医院”智慧医疗居民健康管理平台，探索智慧养老服务平台</w:t>
      </w:r>
      <w:r>
        <w:rPr>
          <w:rFonts w:cs="仿宋"/>
          <w:kern w:val="2"/>
          <w:szCs w:val="24"/>
        </w:rPr>
        <w:t>，逐步提升基本公共服务保障水平，增加保障项目，提高保障标准。</w:t>
      </w:r>
    </w:p>
    <w:p>
      <w:pPr>
        <w:pStyle w:val="2"/>
        <w:spacing w:line="600" w:lineRule="exact"/>
        <w:ind w:firstLine="602"/>
      </w:pPr>
      <w:r>
        <w:rPr>
          <w:rFonts w:hint="eastAsia" w:cs="仿宋"/>
          <w:b/>
          <w:bCs/>
          <w:kern w:val="2"/>
          <w:szCs w:val="24"/>
        </w:rPr>
        <w:t>二是积极对接北京文化体育等公共事业优质资源。</w:t>
      </w:r>
      <w:r>
        <w:rPr>
          <w:rFonts w:hint="eastAsia" w:cs="仿宋"/>
          <w:kern w:val="2"/>
          <w:szCs w:val="24"/>
        </w:rPr>
        <w:t>推动我区公共文化机构与北京相关机构联通合作，探索建立京津冀美术馆、博物馆、图书馆和群众文化场馆等机构联盟，实现跨区域阅读一卡通、公共文化服务与联展一卡通、公共文化培训一体化，探索建立京津冀优质公共服务跨区域供给体系，促进北辰均衡发展。</w:t>
      </w:r>
    </w:p>
    <w:p>
      <w:pPr>
        <w:widowControl w:val="0"/>
        <w:spacing w:line="600" w:lineRule="exact"/>
        <w:ind w:firstLine="640" w:firstLineChars="200"/>
        <w:rPr>
          <w:rFonts w:ascii="仿宋" w:hAnsi="仿宋" w:cs="仿宋"/>
          <w:kern w:val="2"/>
          <w:szCs w:val="24"/>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600" w:lineRule="exact"/>
              <w:jc w:val="center"/>
              <w:rPr>
                <w:rFonts w:ascii="仿宋" w:hAnsi="仿宋" w:cs="仿宋"/>
                <w:bCs/>
                <w:kern w:val="2"/>
                <w:sz w:val="28"/>
                <w:szCs w:val="28"/>
              </w:rPr>
            </w:pPr>
            <w:r>
              <w:rPr>
                <w:rFonts w:hint="eastAsia" w:ascii="仿宋" w:hAnsi="仿宋" w:cs="仿宋"/>
                <w:b/>
                <w:kern w:val="2"/>
                <w:sz w:val="28"/>
                <w:szCs w:val="28"/>
              </w:rPr>
              <w:t>专栏六 “健康京津冀”打造工程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600" w:lineRule="exact"/>
              <w:ind w:firstLine="562" w:firstLineChars="200"/>
              <w:rPr>
                <w:rFonts w:ascii="仿宋" w:hAnsi="仿宋" w:cs="仿宋"/>
                <w:kern w:val="2"/>
                <w:sz w:val="28"/>
                <w:szCs w:val="28"/>
              </w:rPr>
            </w:pPr>
            <w:r>
              <w:rPr>
                <w:rFonts w:hint="eastAsia" w:ascii="仿宋" w:hAnsi="仿宋" w:cs="仿宋"/>
                <w:b/>
                <w:kern w:val="2"/>
                <w:sz w:val="28"/>
                <w:szCs w:val="28"/>
              </w:rPr>
              <w:t>京津冀区域医疗卫生平台项目。</w:t>
            </w:r>
            <w:r>
              <w:rPr>
                <w:rFonts w:hint="eastAsia" w:ascii="仿宋" w:hAnsi="仿宋" w:cs="仿宋"/>
                <w:bCs/>
                <w:kern w:val="2"/>
                <w:sz w:val="28"/>
                <w:szCs w:val="28"/>
              </w:rPr>
              <w:t>推动京津冀区域医疗卫生行业优势互补、合作共赢、资源共享、协同发展，加快推进京津冀区域医疗卫生平台</w:t>
            </w:r>
            <w:r>
              <w:rPr>
                <w:rFonts w:hint="eastAsia" w:ascii="仿宋" w:hAnsi="仿宋" w:cs="仿宋"/>
                <w:kern w:val="2"/>
                <w:sz w:val="28"/>
                <w:szCs w:val="28"/>
              </w:rPr>
              <w:t>建设，以北辰医院、北辰中医院与北京301等医院的远程医疗合作为基础，推动与京津冀区域一流医疗中心，通过合作共建、委托管理、专科联盟等方式开展合作。</w:t>
            </w:r>
          </w:p>
          <w:p>
            <w:pPr>
              <w:widowControl w:val="0"/>
              <w:spacing w:line="600" w:lineRule="exact"/>
              <w:ind w:firstLine="562" w:firstLineChars="200"/>
              <w:rPr>
                <w:rFonts w:ascii="仿宋" w:hAnsi="仿宋" w:cs="仿宋"/>
                <w:kern w:val="2"/>
                <w:sz w:val="28"/>
                <w:szCs w:val="28"/>
              </w:rPr>
            </w:pPr>
            <w:r>
              <w:rPr>
                <w:rFonts w:hint="eastAsia" w:ascii="仿宋" w:hAnsi="仿宋" w:cs="仿宋"/>
                <w:b/>
                <w:kern w:val="2"/>
                <w:sz w:val="28"/>
                <w:szCs w:val="28"/>
              </w:rPr>
              <w:t>京津冀异地养老服务项目。</w:t>
            </w:r>
            <w:r>
              <w:rPr>
                <w:rFonts w:hint="eastAsia" w:ascii="仿宋" w:hAnsi="仿宋" w:cs="仿宋"/>
                <w:kern w:val="2"/>
                <w:sz w:val="28"/>
                <w:szCs w:val="28"/>
              </w:rPr>
              <w:t>推进京津冀区域养老合作，依托现代医药产业、养老产业，发挥湿地和郊野公园等优势，重点面向北京吸引区域产业资本和品牌机构进入北辰养老市场，引导建设一批国际知名的健康医疗服务、养生养老基地。</w:t>
            </w:r>
          </w:p>
        </w:tc>
      </w:tr>
    </w:tbl>
    <w:p>
      <w:pPr>
        <w:widowControl w:val="0"/>
        <w:spacing w:line="600" w:lineRule="exact"/>
        <w:rPr>
          <w:rFonts w:ascii="仿宋" w:hAnsi="仿宋" w:cs="仿宋"/>
          <w:kern w:val="2"/>
          <w:szCs w:val="24"/>
        </w:rPr>
      </w:pPr>
    </w:p>
    <w:p>
      <w:pPr>
        <w:pStyle w:val="4"/>
        <w:spacing w:line="600" w:lineRule="exact"/>
        <w:ind w:left="1" w:leftChars="-100" w:right="-333" w:rightChars="-104" w:hanging="321" w:hangingChars="80"/>
        <w:rPr>
          <w:rFonts w:ascii="仿宋" w:hAnsi="仿宋" w:eastAsia="仿宋" w:cs="仿宋"/>
          <w:sz w:val="40"/>
          <w:szCs w:val="40"/>
        </w:rPr>
      </w:pPr>
      <w:bookmarkStart w:id="45" w:name="_Toc1599"/>
      <w:bookmarkStart w:id="46" w:name="_Toc30168"/>
      <w:r>
        <w:rPr>
          <w:rFonts w:hint="eastAsia" w:ascii="仿宋" w:hAnsi="仿宋" w:eastAsia="仿宋" w:cs="仿宋"/>
          <w:sz w:val="40"/>
          <w:szCs w:val="40"/>
        </w:rPr>
        <w:t>第五章 保障措施</w:t>
      </w:r>
      <w:bookmarkEnd w:id="45"/>
      <w:bookmarkEnd w:id="46"/>
    </w:p>
    <w:p>
      <w:pPr>
        <w:pStyle w:val="5"/>
        <w:spacing w:line="600" w:lineRule="exact"/>
        <w:ind w:firstLine="643" w:firstLineChars="200"/>
        <w:jc w:val="both"/>
        <w:rPr>
          <w:rFonts w:ascii="仿宋" w:hAnsi="仿宋" w:eastAsia="仿宋" w:cs="仿宋"/>
          <w:color w:val="FF0000"/>
        </w:rPr>
      </w:pPr>
      <w:bookmarkStart w:id="47" w:name="_Toc26971"/>
      <w:bookmarkStart w:id="48" w:name="_Toc14870"/>
      <w:r>
        <w:rPr>
          <w:rFonts w:hint="eastAsia" w:ascii="仿宋" w:hAnsi="仿宋" w:eastAsia="仿宋" w:cs="仿宋"/>
        </w:rPr>
        <w:t>一、强化产业</w:t>
      </w:r>
      <w:bookmarkEnd w:id="47"/>
      <w:r>
        <w:rPr>
          <w:rFonts w:hint="eastAsia" w:ascii="仿宋" w:hAnsi="仿宋" w:eastAsia="仿宋" w:cs="仿宋"/>
        </w:rPr>
        <w:t>承接对接</w:t>
      </w:r>
      <w:bookmarkEnd w:id="48"/>
      <w:r>
        <w:rPr>
          <w:rFonts w:hint="eastAsia" w:ascii="仿宋" w:hAnsi="仿宋" w:eastAsia="仿宋" w:cs="仿宋"/>
        </w:rPr>
        <w:t xml:space="preserve"> </w:t>
      </w:r>
    </w:p>
    <w:p>
      <w:pPr>
        <w:adjustRightInd w:val="0"/>
        <w:snapToGrid w:val="0"/>
        <w:spacing w:line="600" w:lineRule="exact"/>
        <w:ind w:firstLine="640" w:firstLineChars="200"/>
        <w:rPr>
          <w:rFonts w:ascii="仿宋" w:hAnsi="仿宋" w:cs="仿宋"/>
        </w:rPr>
      </w:pPr>
      <w:r>
        <w:rPr>
          <w:rFonts w:hint="eastAsia" w:ascii="仿宋" w:hAnsi="仿宋" w:cs="仿宋"/>
        </w:rPr>
        <w:t>以承接对接北京科技成果孵化转化为主线，以服务雄安新区建设为重点，高水平谋划项目，高质量招引项目，高效率推进项目落地。争取《关于天津市促进承接北京非首都功能项目及发展的政策措施（试行）》在我区推行。</w:t>
      </w:r>
      <w:r>
        <w:rPr>
          <w:rFonts w:hint="eastAsia" w:ascii="仿宋" w:hAnsi="仿宋" w:cs="仿宋"/>
          <w:b/>
          <w:bCs/>
          <w:color w:val="000000" w:themeColor="text1"/>
          <w14:textFill>
            <w14:solidFill>
              <w14:schemeClr w14:val="tx1"/>
            </w14:solidFill>
          </w14:textFill>
        </w:rPr>
        <w:t>一是</w:t>
      </w:r>
      <w:r>
        <w:rPr>
          <w:rFonts w:hint="eastAsia" w:ascii="仿宋" w:hAnsi="仿宋" w:cs="仿宋"/>
          <w:color w:val="000000" w:themeColor="text1"/>
          <w14:textFill>
            <w14:solidFill>
              <w14:schemeClr w14:val="tx1"/>
            </w14:solidFill>
          </w14:textFill>
        </w:rPr>
        <w:t>细化主要产业链承接对接对象。针对“3+2+</w:t>
      </w:r>
      <w:r>
        <w:rPr>
          <w:color w:val="000000" w:themeColor="text1"/>
          <w14:textFill>
            <w14:solidFill>
              <w14:schemeClr w14:val="tx1"/>
            </w14:solidFill>
          </w14:textFill>
        </w:rPr>
        <w:t>X</w:t>
      </w:r>
      <w:r>
        <w:rPr>
          <w:rFonts w:hint="eastAsia" w:ascii="仿宋" w:hAnsi="仿宋" w:cs="仿宋"/>
          <w:color w:val="000000" w:themeColor="text1"/>
          <w14:textFill>
            <w14:solidFill>
              <w14:schemeClr w14:val="tx1"/>
            </w14:solidFill>
          </w14:textFill>
        </w:rPr>
        <w:t>”重点发展产业及1</w:t>
      </w:r>
      <w:r>
        <w:rPr>
          <w:rFonts w:hint="eastAsia" w:ascii="仿宋" w:hAnsi="仿宋" w:cs="仿宋"/>
          <w:color w:val="000000" w:themeColor="text1"/>
          <w:lang w:val="en-US" w:eastAsia="zh-CN"/>
          <w14:textFill>
            <w14:solidFill>
              <w14:schemeClr w14:val="tx1"/>
            </w14:solidFill>
          </w14:textFill>
        </w:rPr>
        <w:t>0余</w:t>
      </w:r>
      <w:r>
        <w:rPr>
          <w:rFonts w:hint="eastAsia" w:ascii="仿宋" w:hAnsi="仿宋" w:cs="仿宋"/>
          <w:color w:val="000000" w:themeColor="text1"/>
          <w14:textFill>
            <w14:solidFill>
              <w14:schemeClr w14:val="tx1"/>
            </w14:solidFill>
          </w14:textFill>
        </w:rPr>
        <w:t>条产业链，</w:t>
      </w:r>
      <w:r>
        <w:rPr>
          <w:rFonts w:hint="eastAsia" w:ascii="仿宋" w:hAnsi="仿宋" w:cs="仿宋"/>
          <w:color w:val="000000" w:themeColor="text1"/>
          <w:szCs w:val="32"/>
          <w14:textFill>
            <w14:solidFill>
              <w14:schemeClr w14:val="tx1"/>
            </w14:solidFill>
          </w14:textFill>
        </w:rPr>
        <w:t>按照“</w:t>
      </w:r>
      <w:r>
        <w:rPr>
          <w:rFonts w:hint="eastAsia" w:ascii="仿宋" w:hAnsi="仿宋" w:cs="仿宋"/>
          <w:szCs w:val="32"/>
        </w:rPr>
        <w:t>强链、补链、延链”的思路，探索完善“链长制”的产业链治理模式。从“世界企业500强”、《世界品牌500强》、“全球独角兽企业”、“中国企业500强”、“中国独角兽企业”等国内外权威企业榜单排名以及A股、港股、美股等上市公司中挑选出高端装备制造、生物医药及健康、智能科技、新能源新材料四大产业的企业；从权威产业报告、研究报告中确定并筛选出企业所处的产业链环节，确保所挑选企业的领先性和专业性；结合北辰区各产业链环节实际布局情况，邀请相关产业领域专家对所挑选企业做最终核对及调整，形成重点发展产业主要对接名录，为推动四大主导产业链“巩固、增强、创新、提升”做好前期基础。</w:t>
      </w:r>
      <w:r>
        <w:rPr>
          <w:rFonts w:hint="eastAsia" w:ascii="仿宋" w:hAnsi="仿宋" w:cs="仿宋"/>
          <w:b/>
          <w:bCs/>
        </w:rPr>
        <w:t>二是</w:t>
      </w:r>
      <w:r>
        <w:rPr>
          <w:rFonts w:hint="eastAsia" w:ascii="仿宋" w:hAnsi="仿宋" w:cs="仿宋"/>
        </w:rPr>
        <w:t>促进传统产业升级，深度融入京津冀产业协同发展。将北辰传统产业升级作为重点，解决传统产业升级的技术缺位问题，以工艺、产品、组织、服务等实用创新为内容，构建京津冀传统产业技术创新链条，加快传统产业升级，使其成为京津冀现代产业体系的重要组成部分。要充分调动优势产业合作，注重产业链上游产品及技术开发，并积极发挥产业辐射带动作用。</w:t>
      </w:r>
      <w:r>
        <w:rPr>
          <w:rFonts w:hint="eastAsia" w:ascii="仿宋" w:hAnsi="仿宋" w:cs="仿宋"/>
          <w:b/>
          <w:bCs/>
        </w:rPr>
        <w:t>三是</w:t>
      </w:r>
      <w:r>
        <w:rPr>
          <w:rFonts w:hint="eastAsia" w:ascii="仿宋" w:hAnsi="仿宋" w:cs="仿宋"/>
        </w:rPr>
        <w:t>探索共建共享的产业发展载体。创新产业协同发展模式，以总部经济、企业兼并重组、项目合作共建、园区合作共建、企业迁建、招商引资等多种形式创新三地合作模式，引入企业化开发主体，充分调动京津社会资本力量，协同园区开发建设，实现产业协同中的利益共享。积极推进三地共建产业合作项目，加大承接北京创新成果外溢的力度，采取“总部+生产基地型”、“部门合作型”、“企业转移型”、“园区合作型”等多种模式，加快朝亚大数据和迪信通等高新科技企业入驻等重点项目建设，形成产业发展载体建设、产业转移、科技成果转移转化、高新技术产业发展的区域合力。</w:t>
      </w:r>
    </w:p>
    <w:p>
      <w:pPr>
        <w:pStyle w:val="5"/>
        <w:spacing w:line="600" w:lineRule="exact"/>
        <w:ind w:firstLine="643" w:firstLineChars="200"/>
        <w:jc w:val="both"/>
        <w:rPr>
          <w:rFonts w:ascii="仿宋" w:hAnsi="仿宋" w:eastAsia="仿宋" w:cs="仿宋"/>
        </w:rPr>
      </w:pPr>
      <w:bookmarkStart w:id="49" w:name="_Toc22642"/>
      <w:bookmarkStart w:id="50" w:name="_Toc25018"/>
      <w:r>
        <w:rPr>
          <w:rFonts w:hint="eastAsia" w:ascii="仿宋" w:hAnsi="仿宋" w:eastAsia="仿宋" w:cs="仿宋"/>
        </w:rPr>
        <w:t>二、创新招商引智方式</w:t>
      </w:r>
      <w:bookmarkEnd w:id="49"/>
      <w:bookmarkEnd w:id="50"/>
    </w:p>
    <w:p>
      <w:pPr>
        <w:spacing w:line="600" w:lineRule="exact"/>
        <w:ind w:firstLine="640"/>
        <w:rPr>
          <w:rFonts w:ascii="仿宋" w:hAnsi="仿宋" w:cs="仿宋"/>
          <w:szCs w:val="32"/>
        </w:rPr>
      </w:pPr>
      <w:r>
        <w:rPr>
          <w:rFonts w:hint="eastAsia" w:ascii="仿宋" w:hAnsi="仿宋" w:cs="仿宋"/>
        </w:rPr>
        <w:t>摆脱单纯依靠政策和土地红利的招商思路，创新招商引智的新思路、新方法、新举措，助力吸引优质项目和智力资本落地。</w:t>
      </w:r>
      <w:r>
        <w:rPr>
          <w:rFonts w:hint="eastAsia" w:ascii="仿宋" w:hAnsi="仿宋" w:cs="仿宋"/>
          <w:b/>
          <w:bCs/>
        </w:rPr>
        <w:t>一是</w:t>
      </w:r>
      <w:r>
        <w:rPr>
          <w:rFonts w:hint="eastAsia" w:ascii="仿宋" w:hAnsi="仿宋" w:cs="仿宋"/>
        </w:rPr>
        <w:t>整合部门招商引资优惠政策，增强招商引资谈判筹码。深入研究法律法规关于扶持产业发展的政策，主动整合部门政策优势。创新求变，为企业提供灵活多变的用地模式；整合资源，为企业发展提供资金扶持和各类金融服务；量身定制，为企业生产用工等提供贴身服务。</w:t>
      </w:r>
      <w:r>
        <w:rPr>
          <w:rFonts w:hint="eastAsia" w:ascii="仿宋" w:hAnsi="仿宋" w:cs="仿宋"/>
          <w:b/>
          <w:bCs/>
        </w:rPr>
        <w:t>二是</w:t>
      </w:r>
      <w:r>
        <w:rPr>
          <w:rFonts w:hint="eastAsia" w:ascii="仿宋" w:hAnsi="仿宋" w:cs="仿宋"/>
        </w:rPr>
        <w:t>明确招商引资方向，提高招商引资针对性和成功率。选点布控，主动出击，突出重点区域开展招商；拓宽招商工作思路，针对重点产业开展招商；结合我区特色资源，挖掘“卖点”，发挥特色资源开展招商。</w:t>
      </w:r>
      <w:r>
        <w:rPr>
          <w:rFonts w:hint="eastAsia" w:ascii="仿宋" w:hAnsi="仿宋" w:cs="仿宋"/>
          <w:b/>
          <w:bCs/>
        </w:rPr>
        <w:t>三</w:t>
      </w:r>
      <w:r>
        <w:rPr>
          <w:rFonts w:hint="eastAsia" w:ascii="仿宋" w:hAnsi="仿宋" w:cs="仿宋"/>
          <w:b/>
        </w:rPr>
        <w:t>是</w:t>
      </w:r>
      <w:r>
        <w:rPr>
          <w:rFonts w:hint="eastAsia" w:ascii="仿宋" w:hAnsi="仿宋" w:cs="仿宋"/>
          <w:bCs/>
        </w:rPr>
        <w:t>坚持围绕</w:t>
      </w:r>
      <w:r>
        <w:rPr>
          <w:rFonts w:hint="eastAsia" w:ascii="仿宋" w:hAnsi="仿宋" w:cs="仿宋"/>
          <w:szCs w:val="32"/>
        </w:rPr>
        <w:t>产业链以商招商。围绕北辰区智能制造、生物医药等优势产业绘制产业技术图谱，通过主导产品及与之配套的原材料、辅料、零部件和包装件等产品及相关服务配套吸引投资，以京津冀区域产业配套为重点，面向全国打通上中下游的市场资源，谋求协同发展，形成培增效应，以增强产品、企业、产业乃至整个区域综合竞争力的一种招商方式，并建立起同一产业间各种投入品及成品的技术经济联系，促进形成产业链集群</w:t>
      </w:r>
      <w:r>
        <w:rPr>
          <w:rFonts w:hint="eastAsia" w:ascii="仿宋" w:hAnsi="仿宋" w:cs="仿宋"/>
        </w:rPr>
        <w:t>。</w:t>
      </w:r>
      <w:r>
        <w:rPr>
          <w:rFonts w:hint="eastAsia" w:ascii="仿宋" w:hAnsi="仿宋" w:cs="仿宋"/>
          <w:b/>
        </w:rPr>
        <w:t>四是</w:t>
      </w:r>
      <w:r>
        <w:rPr>
          <w:rFonts w:hint="eastAsia" w:ascii="仿宋" w:hAnsi="仿宋" w:cs="仿宋"/>
        </w:rPr>
        <w:t>坚持引企业与引资本相结合，多渠道拓宽招商路径。大力开展以商招商、商会招商、PPP招商、基金招商、云上招商、代理招商等，拓展专业化招商和产业化招商新途径</w:t>
      </w:r>
      <w:r>
        <w:rPr>
          <w:rFonts w:hint="eastAsia" w:ascii="仿宋" w:hAnsi="仿宋" w:cs="仿宋"/>
          <w:color w:val="2F2F2F"/>
          <w:sz w:val="22"/>
          <w:szCs w:val="22"/>
          <w:shd w:val="clear" w:color="auto" w:fill="FFFFFF"/>
        </w:rPr>
        <w:t>，</w:t>
      </w:r>
      <w:r>
        <w:rPr>
          <w:rFonts w:hint="eastAsia" w:ascii="仿宋" w:hAnsi="仿宋" w:cs="仿宋"/>
        </w:rPr>
        <w:t>进一步发挥海河产业基金、新一代人工智能和生物医药产业等专项基金的作用；建立产业集聚大数据云平台，打造“北辰产业大脑”，加强与北京高等院校、科研机构的专家、学者、高技术人员等沟通联系，建立招商引资“信息库”“智囊库”和制度化沟通。</w:t>
      </w:r>
      <w:r>
        <w:rPr>
          <w:rFonts w:hint="eastAsia" w:ascii="仿宋" w:hAnsi="仿宋" w:cs="仿宋"/>
          <w:b/>
        </w:rPr>
        <w:t>五是</w:t>
      </w:r>
      <w:r>
        <w:rPr>
          <w:rFonts w:hint="eastAsia" w:ascii="仿宋" w:hAnsi="仿宋" w:cs="仿宋"/>
          <w:bCs/>
        </w:rPr>
        <w:t>坚持招大引强与招新引高相结合。注重引导内外资更多投向新一代信息技术、数字创意、总部经济等高新技术产业和现代服务业，培育新的经济增长点。</w:t>
      </w:r>
      <w:r>
        <w:rPr>
          <w:rFonts w:hint="eastAsia" w:ascii="仿宋" w:hAnsi="仿宋" w:cs="仿宋"/>
        </w:rPr>
        <w:t>加大与在京商会协会、中介机构合作力度，深化与首都央企国企、民营强企和中关村、亦庄等优质资源合作，广泛吸纳北京科技、教育、医疗、文化等优质资源，努力招新引优、招强引链、招才引智</w:t>
      </w:r>
      <w:r>
        <w:rPr>
          <w:rFonts w:hint="eastAsia" w:ascii="仿宋" w:hAnsi="仿宋" w:cs="仿宋"/>
          <w:szCs w:val="32"/>
        </w:rPr>
        <w:t>。</w:t>
      </w:r>
    </w:p>
    <w:p>
      <w:pPr>
        <w:pStyle w:val="5"/>
        <w:spacing w:line="600" w:lineRule="exact"/>
        <w:ind w:firstLine="643" w:firstLineChars="200"/>
        <w:jc w:val="both"/>
        <w:rPr>
          <w:rFonts w:ascii="仿宋" w:hAnsi="仿宋" w:eastAsia="仿宋" w:cs="仿宋"/>
        </w:rPr>
      </w:pPr>
      <w:bookmarkStart w:id="51" w:name="_Toc28100"/>
      <w:bookmarkStart w:id="52" w:name="_Toc20441"/>
      <w:bookmarkStart w:id="53" w:name="_Toc458"/>
      <w:r>
        <w:rPr>
          <w:rFonts w:hint="eastAsia" w:ascii="仿宋" w:hAnsi="仿宋" w:eastAsia="仿宋" w:cs="仿宋"/>
        </w:rPr>
        <w:t>三、加强统筹协调机制</w:t>
      </w:r>
      <w:bookmarkEnd w:id="51"/>
      <w:bookmarkEnd w:id="52"/>
    </w:p>
    <w:p>
      <w:pPr>
        <w:adjustRightInd w:val="0"/>
        <w:snapToGrid w:val="0"/>
        <w:spacing w:line="600" w:lineRule="exact"/>
        <w:ind w:firstLine="640" w:firstLineChars="200"/>
        <w:rPr>
          <w:rFonts w:ascii="仿宋" w:hAnsi="仿宋" w:cs="仿宋"/>
        </w:rPr>
      </w:pPr>
      <w:r>
        <w:rPr>
          <w:rFonts w:hint="eastAsia" w:ascii="仿宋" w:hAnsi="仿宋" w:cs="仿宋"/>
        </w:rPr>
        <w:t>积极协调北辰区内各相关单位，建立区内联动，事前事中事后动态管理机制，固化为制度安排，细化完善配套政策。</w:t>
      </w:r>
      <w:r>
        <w:rPr>
          <w:rFonts w:hint="eastAsia" w:ascii="仿宋" w:hAnsi="仿宋" w:cs="仿宋"/>
          <w:b/>
        </w:rPr>
        <w:t>一是</w:t>
      </w:r>
      <w:r>
        <w:rPr>
          <w:rFonts w:hint="eastAsia" w:ascii="仿宋" w:hAnsi="仿宋" w:cs="仿宋"/>
        </w:rPr>
        <w:t>积极发挥区重点项目协调推进工作领导小组的协同统筹作用，全面落实“三个一批”重大项目进展。建立北辰区推进京津冀协同发展评价机制和评估体系，加大监督检查力度。</w:t>
      </w:r>
      <w:r>
        <w:rPr>
          <w:rFonts w:hint="eastAsia" w:ascii="仿宋" w:hAnsi="仿宋" w:cs="仿宋"/>
          <w:b/>
        </w:rPr>
        <w:t>二是</w:t>
      </w:r>
      <w:r>
        <w:rPr>
          <w:rFonts w:hint="eastAsia" w:ascii="仿宋" w:hAnsi="仿宋" w:cs="仿宋"/>
          <w:bCs/>
        </w:rPr>
        <w:t>强化区域间统筹</w:t>
      </w:r>
      <w:r>
        <w:rPr>
          <w:rFonts w:hint="eastAsia" w:ascii="仿宋" w:hAnsi="仿宋" w:cs="仿宋"/>
        </w:rPr>
        <w:t>协调有序推进。强化京津冀地区间、部门间在重大政策、重大工程等方面衔接协调，统筹规划、设计、建设、运营、管理、维护各环节，充分考虑地区差异和运输需求，因地制宜、有序实施。</w:t>
      </w:r>
      <w:r>
        <w:rPr>
          <w:rFonts w:hint="eastAsia" w:ascii="仿宋" w:hAnsi="仿宋" w:cs="仿宋"/>
          <w:b/>
        </w:rPr>
        <w:t>三是</w:t>
      </w:r>
      <w:r>
        <w:rPr>
          <w:rFonts w:hint="eastAsia" w:ascii="仿宋" w:hAnsi="仿宋" w:cs="仿宋"/>
        </w:rPr>
        <w:t>加快建立“上下联动、多方协同”的工作推进机制。建立由京津冀三地科学家、社会学家、企业家、民众等构成的咨询委员会，充分发挥专家资源和行业权威性优势，为推进京津冀协同发展“把脉问诊”，提供决策咨询。</w:t>
      </w:r>
    </w:p>
    <w:p>
      <w:pPr>
        <w:pStyle w:val="5"/>
        <w:spacing w:line="600" w:lineRule="exact"/>
        <w:ind w:firstLine="643" w:firstLineChars="200"/>
        <w:jc w:val="both"/>
        <w:rPr>
          <w:rFonts w:ascii="仿宋" w:hAnsi="仿宋" w:eastAsia="仿宋" w:cs="仿宋"/>
        </w:rPr>
      </w:pPr>
      <w:bookmarkStart w:id="54" w:name="_Toc7027"/>
      <w:r>
        <w:rPr>
          <w:rFonts w:hint="eastAsia" w:ascii="仿宋" w:hAnsi="仿宋" w:eastAsia="仿宋" w:cs="仿宋"/>
        </w:rPr>
        <w:t>四、做好资源优化配置</w:t>
      </w:r>
      <w:bookmarkEnd w:id="53"/>
      <w:bookmarkEnd w:id="54"/>
    </w:p>
    <w:p>
      <w:pPr>
        <w:adjustRightInd w:val="0"/>
        <w:snapToGrid w:val="0"/>
        <w:spacing w:line="600" w:lineRule="exact"/>
        <w:ind w:firstLine="640" w:firstLineChars="200"/>
        <w:rPr>
          <w:rFonts w:ascii="仿宋" w:hAnsi="仿宋" w:cs="仿宋"/>
        </w:rPr>
      </w:pPr>
      <w:r>
        <w:rPr>
          <w:rFonts w:hint="eastAsia" w:ascii="仿宋" w:hAnsi="仿宋" w:cs="仿宋"/>
        </w:rPr>
        <w:t>进一步提高资源配置的效率和公平性，激发各类市场主体活力。</w:t>
      </w:r>
      <w:r>
        <w:rPr>
          <w:rFonts w:hint="eastAsia" w:ascii="仿宋" w:hAnsi="仿宋" w:cs="仿宋"/>
          <w:b/>
        </w:rPr>
        <w:t>一是</w:t>
      </w:r>
      <w:r>
        <w:rPr>
          <w:rFonts w:hint="eastAsia" w:ascii="仿宋" w:hAnsi="仿宋" w:cs="仿宋"/>
        </w:rPr>
        <w:t>最大限度减少政府对市场资源的直接配置，最大限度减少政府对市场活动的直接干预。不断优化营商环境，创新体制机制，维护公平竞争市场秩序，落实减税降费等相关政策。加强政务服务智能化水平，积极打造北辰“营商环境3.0”版本，为企业提供办事方便、法治良好、成本竞争力强、生态宜居的创业环境，吸引企业扎根北辰这片土壤。</w:t>
      </w:r>
      <w:r>
        <w:rPr>
          <w:rFonts w:hint="eastAsia" w:ascii="仿宋" w:hAnsi="仿宋" w:cs="仿宋"/>
          <w:b/>
        </w:rPr>
        <w:t>二是</w:t>
      </w:r>
      <w:r>
        <w:rPr>
          <w:rFonts w:hint="eastAsia" w:ascii="仿宋" w:hAnsi="仿宋" w:cs="仿宋"/>
        </w:rPr>
        <w:t>以园区为载体，规划合理产业布局，提高入园项目条件，规范项目管理。进一步整合资源，推动园区全产业链集群集聚发展，不断提升科技创新引领能力，推动科技成果高质量高效能转化。</w:t>
      </w:r>
      <w:r>
        <w:rPr>
          <w:rFonts w:hint="eastAsia" w:ascii="仿宋" w:hAnsi="仿宋" w:cs="仿宋"/>
          <w:b/>
        </w:rPr>
        <w:t>三是</w:t>
      </w:r>
      <w:r>
        <w:rPr>
          <w:rFonts w:hint="eastAsia" w:ascii="仿宋" w:hAnsi="仿宋" w:cs="仿宋"/>
        </w:rPr>
        <w:t>用足外部资源，改善内部环境，提高资源配置质效。围绕京津冀区域协同，推动外部资源协同共享，创造条件引导资源合理有序流动，结合北辰区各功能定位，加强“依靠京津，服务自身”的意识，调动区内资源与外部资源有效对接，反哺区域内资源优化。</w:t>
      </w:r>
    </w:p>
    <w:p>
      <w:pPr>
        <w:pStyle w:val="5"/>
        <w:spacing w:line="600" w:lineRule="exact"/>
        <w:ind w:firstLine="643" w:firstLineChars="200"/>
        <w:jc w:val="both"/>
        <w:rPr>
          <w:rFonts w:ascii="仿宋" w:hAnsi="仿宋" w:eastAsia="仿宋" w:cs="仿宋"/>
        </w:rPr>
      </w:pPr>
      <w:bookmarkStart w:id="55" w:name="_Toc26009"/>
      <w:bookmarkStart w:id="56" w:name="_Toc19698"/>
      <w:r>
        <w:rPr>
          <w:rFonts w:hint="eastAsia" w:ascii="仿宋" w:hAnsi="仿宋" w:eastAsia="仿宋" w:cs="仿宋"/>
        </w:rPr>
        <w:t>五、优化金融服务体系</w:t>
      </w:r>
      <w:bookmarkEnd w:id="55"/>
      <w:bookmarkEnd w:id="56"/>
    </w:p>
    <w:p>
      <w:pPr>
        <w:adjustRightInd w:val="0"/>
        <w:snapToGrid w:val="0"/>
        <w:spacing w:line="600" w:lineRule="exact"/>
        <w:ind w:firstLine="640" w:firstLineChars="200"/>
        <w:rPr>
          <w:rFonts w:ascii="仿宋" w:hAnsi="仿宋" w:cs="仿宋"/>
          <w:bCs/>
          <w:color w:val="000000"/>
          <w:szCs w:val="32"/>
        </w:rPr>
      </w:pPr>
      <w:r>
        <w:rPr>
          <w:rFonts w:hint="eastAsia" w:ascii="仿宋" w:hAnsi="仿宋" w:cs="仿宋"/>
        </w:rPr>
        <w:t>优化金融支持力度，多渠道、多举措降低企业融资成本。</w:t>
      </w:r>
      <w:r>
        <w:rPr>
          <w:rFonts w:hint="eastAsia" w:ascii="仿宋" w:hAnsi="仿宋" w:cs="仿宋"/>
          <w:b/>
        </w:rPr>
        <w:t>一是</w:t>
      </w:r>
      <w:r>
        <w:rPr>
          <w:rFonts w:hint="eastAsia" w:ascii="仿宋" w:hAnsi="仿宋" w:cs="仿宋"/>
        </w:rPr>
        <w:t>积极加入京津冀区域一体化“科技金融服务平台及数据库系统”，进一步打通与各金融服务单位之间的联系渠道，打造企业统一申报平台与统一科技金融服务受理平台，实现网上科技信贷供需业务对接处理。</w:t>
      </w:r>
      <w:r>
        <w:rPr>
          <w:rFonts w:hint="eastAsia" w:ascii="仿宋" w:hAnsi="仿宋" w:cs="仿宋"/>
          <w:b/>
        </w:rPr>
        <w:t>二是</w:t>
      </w:r>
      <w:r>
        <w:rPr>
          <w:rFonts w:hint="eastAsia" w:ascii="仿宋" w:hAnsi="仿宋" w:cs="仿宋"/>
          <w:color w:val="000000"/>
          <w:szCs w:val="32"/>
        </w:rPr>
        <w:t>与</w:t>
      </w:r>
      <w:r>
        <w:rPr>
          <w:rFonts w:hint="eastAsia" w:ascii="仿宋" w:hAnsi="仿宋" w:cs="仿宋"/>
          <w:color w:val="000000"/>
          <w:szCs w:val="32"/>
          <w:highlight w:val="none"/>
        </w:rPr>
        <w:t>京津冀共同发展</w:t>
      </w:r>
      <w:r>
        <w:rPr>
          <w:rFonts w:hint="eastAsia" w:ascii="仿宋" w:hAnsi="仿宋" w:cs="仿宋"/>
          <w:color w:val="000000"/>
          <w:szCs w:val="32"/>
        </w:rPr>
        <w:t>“飞地经济”，建立“企业融资需求库”，与金融机构积极对接，实行“一企一策、一项目一策”，畅通融资信息渠道，搭建金融服务信息平台。</w:t>
      </w:r>
      <w:r>
        <w:rPr>
          <w:rFonts w:hint="eastAsia" w:ascii="仿宋" w:hAnsi="仿宋" w:cs="仿宋"/>
          <w:bCs/>
          <w:color w:val="000000"/>
          <w:szCs w:val="32"/>
        </w:rPr>
        <w:t>努力完善金融产业链，提升金融行业对重点产业的支撑作用。通过降低融资成本，不断吸引优质企业落户北辰。</w:t>
      </w:r>
      <w:r>
        <w:rPr>
          <w:rFonts w:hint="eastAsia" w:ascii="仿宋" w:hAnsi="仿宋" w:cs="仿宋"/>
          <w:b/>
          <w:bCs/>
          <w:color w:val="000000"/>
          <w:szCs w:val="32"/>
        </w:rPr>
        <w:t>三是</w:t>
      </w:r>
      <w:r>
        <w:rPr>
          <w:rFonts w:hint="eastAsia" w:ascii="仿宋" w:hAnsi="仿宋" w:cs="仿宋"/>
          <w:bCs/>
          <w:color w:val="000000"/>
          <w:szCs w:val="32"/>
        </w:rPr>
        <w:t>拓展融资服务体系，引导京津冀区域内商业银行等金融机构与园区企业开展金融对接，共同参与开展银政合作模式。健全创新引导基金和天使投资、创业投资、众筹基金、创业风险援助资金等一系列引导支持资金，为科技型企业成果转化提供融资服务。</w:t>
      </w:r>
    </w:p>
    <w:p>
      <w:pPr>
        <w:pStyle w:val="5"/>
        <w:spacing w:line="600" w:lineRule="exact"/>
        <w:ind w:firstLine="643" w:firstLineChars="200"/>
        <w:jc w:val="both"/>
        <w:rPr>
          <w:rFonts w:ascii="仿宋" w:hAnsi="仿宋" w:eastAsia="仿宋" w:cs="仿宋"/>
        </w:rPr>
      </w:pPr>
      <w:bookmarkStart w:id="57" w:name="_Toc3989"/>
      <w:bookmarkStart w:id="58" w:name="_Toc14587"/>
      <w:r>
        <w:rPr>
          <w:rFonts w:hint="eastAsia" w:ascii="仿宋" w:hAnsi="仿宋" w:eastAsia="仿宋" w:cs="仿宋"/>
        </w:rPr>
        <w:t>六、创新人才服务环境</w:t>
      </w:r>
      <w:bookmarkEnd w:id="57"/>
      <w:bookmarkEnd w:id="58"/>
    </w:p>
    <w:p>
      <w:pPr>
        <w:adjustRightInd w:val="0"/>
        <w:snapToGrid w:val="0"/>
        <w:spacing w:line="600" w:lineRule="exact"/>
        <w:ind w:firstLine="640" w:firstLineChars="200"/>
        <w:rPr>
          <w:rFonts w:ascii="仿宋" w:hAnsi="仿宋" w:cs="仿宋"/>
          <w:szCs w:val="32"/>
        </w:rPr>
      </w:pPr>
      <w:r>
        <w:rPr>
          <w:rFonts w:hint="eastAsia" w:ascii="仿宋" w:hAnsi="仿宋" w:cs="仿宋"/>
        </w:rPr>
        <w:t>实施北辰区版的“海河英才”行动计划，不断完善人才引进和培养模式，健全科技人才吸引体系。</w:t>
      </w:r>
      <w:r>
        <w:rPr>
          <w:rFonts w:hint="eastAsia" w:ascii="仿宋" w:hAnsi="仿宋" w:cs="仿宋"/>
          <w:b/>
          <w:bCs/>
          <w:szCs w:val="32"/>
        </w:rPr>
        <w:t>一是</w:t>
      </w:r>
      <w:r>
        <w:rPr>
          <w:rFonts w:hint="eastAsia" w:ascii="仿宋" w:hAnsi="仿宋" w:cs="仿宋"/>
          <w:szCs w:val="32"/>
        </w:rPr>
        <w:t>启动北辰人才库建设工程，由京津冀及全国专家团队、管理团队、推广团队构成。专家团队由相关领域专家组成，负责提供政策咨询建议、技术研发支撑等。管理团队由重点行业、企业的领军人才组成，负责引领区域产业集聚发展。推广团队由技术经纪人等科技中介服务人才组成，为成果与市场对接提供服务。</w:t>
      </w:r>
      <w:r>
        <w:rPr>
          <w:rFonts w:hint="eastAsia" w:ascii="仿宋" w:hAnsi="仿宋" w:cs="仿宋"/>
          <w:b/>
          <w:szCs w:val="32"/>
        </w:rPr>
        <w:t>二是</w:t>
      </w:r>
      <w:r>
        <w:rPr>
          <w:rFonts w:hint="eastAsia" w:ascii="仿宋" w:hAnsi="仿宋" w:cs="仿宋"/>
          <w:szCs w:val="32"/>
        </w:rPr>
        <w:t>实施创新创业人才圈建设</w:t>
      </w:r>
      <w:r>
        <w:rPr>
          <w:rFonts w:hint="eastAsia" w:ascii="仿宋" w:hAnsi="仿宋" w:cs="仿宋"/>
          <w:b/>
          <w:szCs w:val="32"/>
        </w:rPr>
        <w:t>。</w:t>
      </w:r>
      <w:r>
        <w:rPr>
          <w:rFonts w:hint="eastAsia" w:ascii="仿宋" w:hAnsi="仿宋" w:cs="仿宋"/>
          <w:szCs w:val="32"/>
        </w:rPr>
        <w:t>推进高端人才集聚和跨区域创新创业。以吸引京津冀及全国科研人才到北辰创新创业为目标，重点在北辰道—龙门道和京津公路围区率先建成一批适宜北京人才智力来津创新创业的“双创”示范基地。聚焦重点合作园区和优势产业，建立企业博士后科研工作站、技术创新基地和生物发酵中试基地、留学生创业园，带动、培养出一批研制、开发方面的优秀人才。</w:t>
      </w:r>
      <w:r>
        <w:rPr>
          <w:rFonts w:hint="eastAsia" w:ascii="仿宋" w:hAnsi="仿宋" w:cs="仿宋"/>
          <w:b/>
          <w:bCs/>
          <w:szCs w:val="32"/>
        </w:rPr>
        <w:t>三是</w:t>
      </w:r>
      <w:r>
        <w:rPr>
          <w:rFonts w:hint="eastAsia" w:ascii="仿宋" w:hAnsi="仿宋" w:cs="仿宋"/>
          <w:szCs w:val="32"/>
        </w:rPr>
        <w:t>加大人才公寓建设力度。围绕促进产城融合，以盘活现有闲置楼宇为主，适度新建为辅，多渠道筹集房源，满足人才住房需求。适度放宽人才公寓认定条件，加大政策支持力度，改善人才住房保障措施。</w:t>
      </w:r>
    </w:p>
    <w:p>
      <w:pPr>
        <w:pStyle w:val="5"/>
        <w:spacing w:line="600" w:lineRule="exact"/>
        <w:ind w:firstLine="643" w:firstLineChars="200"/>
        <w:jc w:val="both"/>
        <w:rPr>
          <w:rFonts w:ascii="仿宋" w:hAnsi="仿宋" w:eastAsia="仿宋" w:cs="仿宋"/>
        </w:rPr>
      </w:pPr>
      <w:bookmarkStart w:id="59" w:name="_Toc20505"/>
      <w:bookmarkStart w:id="60" w:name="_Toc8897"/>
      <w:r>
        <w:rPr>
          <w:rFonts w:hint="eastAsia" w:ascii="仿宋" w:hAnsi="仿宋" w:eastAsia="仿宋" w:cs="仿宋"/>
        </w:rPr>
        <w:t>七、</w:t>
      </w:r>
      <w:bookmarkEnd w:id="59"/>
      <w:r>
        <w:rPr>
          <w:rFonts w:hint="eastAsia" w:ascii="仿宋" w:hAnsi="仿宋" w:eastAsia="仿宋" w:cs="仿宋"/>
          <w:color w:val="000000" w:themeColor="text1"/>
          <w14:textFill>
            <w14:solidFill>
              <w14:schemeClr w14:val="tx1"/>
            </w14:solidFill>
          </w14:textFill>
        </w:rPr>
        <w:t>优化机制体制创新</w:t>
      </w:r>
      <w:bookmarkEnd w:id="60"/>
    </w:p>
    <w:p>
      <w:pPr>
        <w:adjustRightInd w:val="0"/>
        <w:snapToGrid w:val="0"/>
        <w:spacing w:line="600" w:lineRule="exact"/>
        <w:ind w:firstLine="640" w:firstLineChars="200"/>
        <w:rPr>
          <w:rFonts w:ascii="仿宋" w:hAnsi="仿宋" w:cs="仿宋"/>
        </w:rPr>
      </w:pPr>
      <w:r>
        <w:rPr>
          <w:rFonts w:hint="eastAsia" w:ascii="仿宋" w:hAnsi="仿宋" w:cs="仿宋"/>
        </w:rPr>
        <w:t>以机制体制创新推动北辰区融入京津冀协同发展大循环，打通体制的“断头路”、畅通政策“大动脉”，消除地方之间的行政限制和壁垒。</w:t>
      </w:r>
      <w:r>
        <w:rPr>
          <w:rFonts w:hint="eastAsia" w:ascii="仿宋" w:hAnsi="仿宋" w:cs="仿宋"/>
          <w:b/>
        </w:rPr>
        <w:t>一是</w:t>
      </w:r>
      <w:r>
        <w:rPr>
          <w:rFonts w:hint="eastAsia" w:ascii="仿宋" w:hAnsi="仿宋" w:cs="仿宋"/>
        </w:rPr>
        <w:t>探索项目跨区域协同管理服务机制。北辰区应主动融入京津冀协同发展的统一项目准入标准，转变自身观念，积极申请纳入统一项目管理平台，为承接对接项目拓宽通道。</w:t>
      </w:r>
      <w:r>
        <w:rPr>
          <w:rFonts w:hint="eastAsia" w:ascii="仿宋" w:hAnsi="仿宋" w:cs="仿宋"/>
          <w:b/>
        </w:rPr>
        <w:t>二是</w:t>
      </w:r>
      <w:r>
        <w:rPr>
          <w:rFonts w:hint="eastAsia" w:ascii="仿宋" w:hAnsi="仿宋" w:cs="仿宋"/>
        </w:rPr>
        <w:t>主动创新北辰区税收电子化建设，为承接及招商引智等项目提供税收便利化渠道。实现北辰区办税服务平台与京津冀跨区域数据平台之间的交互，探索异地办税、区域通办；探索创新财税分享机制，财政共同投入机制，积极研究对新设企业形成的税收增量跨地区分享新办法。</w:t>
      </w:r>
      <w:r>
        <w:rPr>
          <w:rFonts w:hint="eastAsia" w:ascii="仿宋" w:hAnsi="仿宋" w:cs="仿宋"/>
          <w:b/>
        </w:rPr>
        <w:t>三是</w:t>
      </w:r>
      <w:r>
        <w:rPr>
          <w:rFonts w:hint="eastAsia" w:ascii="仿宋" w:hAnsi="仿宋" w:cs="仿宋"/>
        </w:rPr>
        <w:t>加强区域基本公共服务标准和制度衔接。以京津冀基本公共服务项目清单为基础，探索部分基本公共服务跨区域结转机制，探索北辰区公共服务便捷共享制度安排。充分发挥北辰区比较优势，做好简政放权的“减法”，做强监管的“加法”和优化服务的“乘法”。为促进创新创业降门槛，为各类市场主体减负担，为激发有效投资拓空间，为公平营商创条件，为群众办事增便利。</w:t>
      </w:r>
    </w:p>
    <w:p>
      <w:pPr>
        <w:pStyle w:val="5"/>
        <w:spacing w:line="600" w:lineRule="exact"/>
        <w:jc w:val="both"/>
        <w:rPr>
          <w:rFonts w:ascii="仿宋" w:hAnsi="仿宋" w:eastAsia="仿宋" w:cs="仿宋"/>
        </w:rPr>
      </w:pPr>
      <w:r>
        <w:rPr>
          <w:rFonts w:hint="eastAsia" w:ascii="仿宋" w:hAnsi="仿宋" w:eastAsia="仿宋" w:cs="仿宋"/>
        </w:rPr>
        <w:t xml:space="preserve"> </w:t>
      </w:r>
      <w:bookmarkStart w:id="61" w:name="_Toc3452"/>
      <w:r>
        <w:rPr>
          <w:rFonts w:ascii="仿宋" w:hAnsi="仿宋" w:eastAsia="仿宋" w:cs="仿宋"/>
        </w:rPr>
        <w:t xml:space="preserve">   </w:t>
      </w:r>
      <w:r>
        <w:rPr>
          <w:rFonts w:hint="eastAsia" w:ascii="仿宋" w:hAnsi="仿宋" w:eastAsia="仿宋" w:cs="仿宋"/>
        </w:rPr>
        <w:t>八、健全城乡融合机制</w:t>
      </w:r>
      <w:bookmarkEnd w:id="61"/>
    </w:p>
    <w:p>
      <w:pPr>
        <w:adjustRightInd w:val="0"/>
        <w:snapToGrid w:val="0"/>
        <w:spacing w:line="600" w:lineRule="exact"/>
        <w:ind w:firstLine="640" w:firstLineChars="200"/>
        <w:rPr>
          <w:rFonts w:ascii="仿宋" w:hAnsi="仿宋" w:cs="仿宋"/>
          <w:highlight w:val="yellow"/>
        </w:rPr>
      </w:pPr>
      <w:r>
        <w:rPr>
          <w:rFonts w:hint="eastAsia" w:ascii="仿宋" w:hAnsi="仿宋" w:cs="仿宋"/>
        </w:rPr>
        <w:t>依托国家产城融合示范区，坚持以产兴城、以城促产、产城融合原则，健全城乡融合发展体制机制，为建设繁荣富裕、文明和谐、美丽宜居的新北辰做出积极贡献。</w:t>
      </w:r>
      <w:r>
        <w:rPr>
          <w:rFonts w:hint="eastAsia" w:ascii="仿宋" w:hAnsi="仿宋" w:cs="仿宋"/>
          <w:b/>
          <w:bCs/>
        </w:rPr>
        <w:t>一是</w:t>
      </w:r>
      <w:r>
        <w:rPr>
          <w:rFonts w:hint="eastAsia" w:ascii="仿宋" w:hAnsi="仿宋" w:cs="仿宋"/>
        </w:rPr>
        <w:t>以产兴城，补齐短板</w:t>
      </w:r>
      <w:r>
        <w:rPr>
          <w:rFonts w:ascii="仿宋" w:hAnsi="仿宋" w:cs="仿宋"/>
        </w:rPr>
        <w:t>，</w:t>
      </w:r>
      <w:r>
        <w:rPr>
          <w:rFonts w:hint="eastAsia" w:ascii="仿宋" w:hAnsi="仿宋" w:cs="仿宋"/>
        </w:rPr>
        <w:t>推进</w:t>
      </w:r>
      <w:r>
        <w:rPr>
          <w:rFonts w:ascii="仿宋" w:hAnsi="仿宋" w:cs="仿宋"/>
        </w:rPr>
        <w:t>城乡融合发展</w:t>
      </w:r>
      <w:r>
        <w:rPr>
          <w:rFonts w:hint="eastAsia" w:ascii="仿宋" w:hAnsi="仿宋" w:cs="仿宋"/>
        </w:rPr>
        <w:t>。</w:t>
      </w:r>
      <w:r>
        <w:rPr>
          <w:rFonts w:ascii="仿宋" w:hAnsi="仿宋" w:cs="仿宋"/>
        </w:rPr>
        <w:t>充分发挥区位、环境、产业优势，</w:t>
      </w:r>
      <w:r>
        <w:rPr>
          <w:rFonts w:hint="eastAsia" w:ascii="仿宋" w:hAnsi="仿宋" w:cs="仿宋"/>
        </w:rPr>
        <w:t>与绿地、融创、北科建等大型企业深度合作，围绕5</w:t>
      </w:r>
      <w:r>
        <w:rPr>
          <w:rFonts w:ascii="仿宋" w:hAnsi="仿宋" w:cs="仿宋"/>
        </w:rPr>
        <w:t>G</w:t>
      </w:r>
      <w:r>
        <w:rPr>
          <w:rFonts w:hint="eastAsia" w:ascii="仿宋" w:hAnsi="仿宋" w:cs="仿宋"/>
        </w:rPr>
        <w:t>、人工智能、新型基础设施建设领域，全力以赴招大引强选优，加速聚集京津冀更多高端项目，将产城融合示范区打造成承接首都资源的“</w:t>
      </w:r>
      <w:r>
        <w:rPr>
          <w:rFonts w:hint="eastAsia" w:ascii="仿宋" w:hAnsi="仿宋" w:cs="仿宋"/>
          <w:highlight w:val="none"/>
        </w:rPr>
        <w:t>微中心</w:t>
      </w:r>
      <w:r>
        <w:rPr>
          <w:rFonts w:hint="eastAsia" w:ascii="仿宋" w:hAnsi="仿宋" w:cs="仿宋"/>
        </w:rPr>
        <w:t>”，为北辰发展积蓄后劲。</w:t>
      </w:r>
      <w:r>
        <w:rPr>
          <w:rFonts w:hint="eastAsia" w:ascii="仿宋" w:hAnsi="仿宋" w:cs="仿宋"/>
          <w:b/>
          <w:bCs/>
        </w:rPr>
        <w:t>二是</w:t>
      </w:r>
      <w:r>
        <w:rPr>
          <w:rFonts w:hint="eastAsia" w:ascii="仿宋" w:hAnsi="仿宋" w:cs="仿宋"/>
        </w:rPr>
        <w:t>以城促产，以城带乡，</w:t>
      </w:r>
      <w:r>
        <w:rPr>
          <w:rFonts w:ascii="仿宋" w:hAnsi="仿宋" w:cs="仿宋"/>
        </w:rPr>
        <w:t>持续开展农村人居环境整治</w:t>
      </w:r>
      <w:r>
        <w:rPr>
          <w:rFonts w:hint="eastAsia" w:ascii="仿宋" w:hAnsi="仿宋" w:cs="仿宋"/>
        </w:rPr>
        <w:t>。</w:t>
      </w:r>
      <w:r>
        <w:rPr>
          <w:rFonts w:ascii="仿宋" w:hAnsi="仿宋" w:cs="仿宋"/>
        </w:rPr>
        <w:t>以国土空间规划编制为契机，</w:t>
      </w:r>
      <w:r>
        <w:rPr>
          <w:rFonts w:hint="eastAsia" w:ascii="仿宋" w:hAnsi="仿宋" w:cs="仿宋"/>
        </w:rPr>
        <w:t>切实用好生产、生活、生态“三生融合”的资源禀赋，</w:t>
      </w:r>
      <w:r>
        <w:rPr>
          <w:rFonts w:ascii="仿宋" w:hAnsi="仿宋" w:cs="仿宋"/>
        </w:rPr>
        <w:t>科学确定大张庄镇</w:t>
      </w:r>
      <w:r>
        <w:rPr>
          <w:rFonts w:hint="eastAsia" w:ascii="仿宋" w:hAnsi="仿宋" w:cs="仿宋"/>
        </w:rPr>
        <w:t>等外环外的</w:t>
      </w:r>
      <w:r>
        <w:rPr>
          <w:rFonts w:ascii="仿宋" w:hAnsi="仿宋" w:cs="仿宋"/>
        </w:rPr>
        <w:t>村庄形态和布局</w:t>
      </w:r>
      <w:r>
        <w:rPr>
          <w:rFonts w:hint="eastAsia" w:ascii="仿宋" w:hAnsi="仿宋" w:cs="仿宋"/>
        </w:rPr>
        <w:t>，与美丽乡村建设结合起来，与推进新型城镇化结合起来，着重发展生态旅游农业，着力推进京津冀农业休闲旅游目的地和特色农业主题公园建设，推动产业向都市型转型、农民向市民转变、人口向城区与中心镇集合。</w:t>
      </w:r>
    </w:p>
    <w:p>
      <w:pPr>
        <w:spacing w:line="600" w:lineRule="exact"/>
        <w:rPr>
          <w:rFonts w:ascii="仿宋" w:hAnsi="仿宋" w:cs="仿宋"/>
          <w:sz w:val="40"/>
          <w:szCs w:val="40"/>
        </w:rPr>
      </w:pPr>
      <w:bookmarkStart w:id="62" w:name="_Toc17"/>
      <w:r>
        <w:rPr>
          <w:rFonts w:hint="eastAsia" w:ascii="仿宋" w:hAnsi="仿宋" w:cs="仿宋"/>
          <w:sz w:val="40"/>
          <w:szCs w:val="40"/>
        </w:rPr>
        <w:br w:type="page"/>
      </w:r>
    </w:p>
    <w:p>
      <w:pPr>
        <w:pStyle w:val="4"/>
        <w:spacing w:line="600" w:lineRule="exact"/>
        <w:jc w:val="left"/>
        <w:rPr>
          <w:rFonts w:ascii="仿宋" w:hAnsi="仿宋" w:eastAsia="仿宋" w:cs="仿宋"/>
          <w:sz w:val="40"/>
          <w:szCs w:val="40"/>
        </w:rPr>
      </w:pPr>
      <w:r>
        <w:rPr>
          <w:rFonts w:hint="eastAsia" w:ascii="仿宋" w:hAnsi="仿宋" w:eastAsia="仿宋" w:cs="仿宋"/>
          <w:sz w:val="40"/>
          <w:szCs w:val="40"/>
          <w:highlight w:val="none"/>
        </w:rPr>
        <w:t>附件1：</w:t>
      </w:r>
      <w:r>
        <w:rPr>
          <w:rFonts w:hint="eastAsia" w:ascii="仿宋" w:hAnsi="仿宋" w:eastAsia="仿宋" w:cs="仿宋"/>
          <w:sz w:val="40"/>
          <w:szCs w:val="40"/>
        </w:rPr>
        <w:t>规划范围与依据</w:t>
      </w:r>
      <w:bookmarkEnd w:id="62"/>
      <w:bookmarkStart w:id="63" w:name="_Toc525055810"/>
      <w:bookmarkEnd w:id="63"/>
    </w:p>
    <w:p>
      <w:pPr>
        <w:pStyle w:val="5"/>
        <w:spacing w:line="600" w:lineRule="exact"/>
        <w:jc w:val="both"/>
        <w:rPr>
          <w:rFonts w:ascii="仿宋" w:hAnsi="仿宋" w:eastAsia="仿宋" w:cs="仿宋"/>
        </w:rPr>
      </w:pPr>
      <w:bookmarkStart w:id="64" w:name="_Toc20272"/>
      <w:bookmarkStart w:id="65" w:name="_Toc525055811"/>
      <w:r>
        <w:rPr>
          <w:rFonts w:hint="eastAsia" w:ascii="仿宋" w:hAnsi="仿宋" w:eastAsia="仿宋" w:cs="仿宋"/>
        </w:rPr>
        <w:t>1、规划范围</w:t>
      </w:r>
      <w:bookmarkEnd w:id="64"/>
      <w:bookmarkEnd w:id="65"/>
    </w:p>
    <w:p>
      <w:pPr>
        <w:widowControl w:val="0"/>
        <w:spacing w:line="600" w:lineRule="exact"/>
        <w:ind w:firstLine="640" w:firstLineChars="200"/>
        <w:rPr>
          <w:rFonts w:ascii="仿宋" w:hAnsi="仿宋" w:cs="仿宋"/>
          <w:kern w:val="2"/>
          <w:szCs w:val="32"/>
        </w:rPr>
      </w:pPr>
      <w:r>
        <w:rPr>
          <w:rFonts w:hint="eastAsia" w:ascii="仿宋" w:hAnsi="仿宋" w:cs="仿宋"/>
          <w:kern w:val="2"/>
          <w:szCs w:val="32"/>
        </w:rPr>
        <w:t>北辰区全域范围478.5平方公里。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cs="仿宋"/>
          <w:kern w:val="2"/>
          <w:szCs w:val="32"/>
        </w:rPr>
      </w:pPr>
      <w:r>
        <w:rPr>
          <w:rFonts w:hint="eastAsia" w:ascii="仿宋" w:hAnsi="仿宋" w:cs="仿宋"/>
          <w:kern w:val="2"/>
          <w:szCs w:val="32"/>
        </w:rPr>
        <w:drawing>
          <wp:inline distT="0" distB="0" distL="114300" distR="114300">
            <wp:extent cx="4826000" cy="26136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t="11823" r="4015" b="20515"/>
                    <a:stretch>
                      <a:fillRect/>
                    </a:stretch>
                  </pic:blipFill>
                  <pic:spPr>
                    <a:xfrm>
                      <a:off x="0" y="0"/>
                      <a:ext cx="4826000" cy="2613660"/>
                    </a:xfrm>
                    <a:prstGeom prst="rect">
                      <a:avLst/>
                    </a:prstGeom>
                    <a:noFill/>
                    <a:ln>
                      <a:noFill/>
                    </a:ln>
                  </pic:spPr>
                </pic:pic>
              </a:graphicData>
            </a:graphic>
          </wp:inline>
        </w:drawing>
      </w:r>
    </w:p>
    <w:p>
      <w:pPr>
        <w:widowControl w:val="0"/>
        <w:spacing w:line="600" w:lineRule="exact"/>
        <w:jc w:val="center"/>
        <w:rPr>
          <w:rFonts w:ascii="仿宋" w:hAnsi="仿宋" w:cs="仿宋"/>
          <w:b/>
          <w:kern w:val="2"/>
          <w:sz w:val="28"/>
          <w:szCs w:val="32"/>
        </w:rPr>
      </w:pPr>
      <w:r>
        <w:rPr>
          <w:rFonts w:hint="eastAsia" w:ascii="仿宋" w:hAnsi="仿宋" w:cs="仿宋"/>
          <w:b/>
          <w:kern w:val="2"/>
          <w:sz w:val="28"/>
          <w:szCs w:val="32"/>
        </w:rPr>
        <w:t>图1-1  北辰区全域范围</w:t>
      </w:r>
    </w:p>
    <w:p>
      <w:pPr>
        <w:pStyle w:val="5"/>
        <w:spacing w:line="600" w:lineRule="exact"/>
        <w:jc w:val="both"/>
        <w:rPr>
          <w:rFonts w:ascii="仿宋" w:hAnsi="仿宋" w:eastAsia="仿宋" w:cs="仿宋"/>
        </w:rPr>
      </w:pPr>
      <w:bookmarkStart w:id="66" w:name="_Toc28586"/>
      <w:bookmarkStart w:id="67" w:name="_Toc525055812"/>
      <w:r>
        <w:rPr>
          <w:rFonts w:hint="eastAsia" w:ascii="仿宋" w:hAnsi="仿宋" w:eastAsia="仿宋" w:cs="仿宋"/>
        </w:rPr>
        <w:t>2、规划期限</w:t>
      </w:r>
      <w:bookmarkEnd w:id="66"/>
      <w:bookmarkEnd w:id="67"/>
    </w:p>
    <w:p>
      <w:pPr>
        <w:widowControl w:val="0"/>
        <w:spacing w:line="600" w:lineRule="exact"/>
        <w:ind w:firstLine="640" w:firstLineChars="200"/>
        <w:rPr>
          <w:rFonts w:ascii="仿宋" w:hAnsi="仿宋" w:cs="仿宋"/>
          <w:kern w:val="2"/>
          <w:szCs w:val="32"/>
        </w:rPr>
      </w:pPr>
      <w:r>
        <w:rPr>
          <w:rFonts w:hint="eastAsia" w:ascii="仿宋" w:hAnsi="仿宋" w:cs="仿宋"/>
          <w:kern w:val="2"/>
          <w:szCs w:val="32"/>
        </w:rPr>
        <w:t>2021-2025年，远景2035年。</w:t>
      </w:r>
    </w:p>
    <w:p>
      <w:pPr>
        <w:pStyle w:val="5"/>
        <w:spacing w:line="600" w:lineRule="exact"/>
        <w:jc w:val="both"/>
        <w:rPr>
          <w:rFonts w:ascii="仿宋" w:hAnsi="仿宋" w:eastAsia="仿宋" w:cs="仿宋"/>
        </w:rPr>
      </w:pPr>
      <w:bookmarkStart w:id="68" w:name="_Toc7529"/>
      <w:bookmarkStart w:id="69" w:name="_Toc525055813"/>
      <w:r>
        <w:rPr>
          <w:rFonts w:hint="eastAsia" w:ascii="仿宋" w:hAnsi="仿宋" w:eastAsia="仿宋" w:cs="仿宋"/>
        </w:rPr>
        <w:t>3、规划依据</w:t>
      </w:r>
      <w:bookmarkEnd w:id="68"/>
      <w:bookmarkEnd w:id="69"/>
    </w:p>
    <w:p>
      <w:pPr>
        <w:spacing w:line="600" w:lineRule="exact"/>
        <w:ind w:firstLine="640" w:firstLineChars="200"/>
        <w:rPr>
          <w:rFonts w:ascii="仿宋" w:hAnsi="仿宋" w:cs="仿宋"/>
          <w:kern w:val="2"/>
          <w:szCs w:val="32"/>
        </w:rPr>
      </w:pPr>
      <w:r>
        <w:rPr>
          <w:rFonts w:hint="eastAsia" w:ascii="仿宋" w:hAnsi="仿宋" w:cs="仿宋"/>
          <w:kern w:val="2"/>
          <w:szCs w:val="32"/>
        </w:rPr>
        <w:t>本规划依据国家、天津市及北辰区相关法律法规编制：</w:t>
      </w:r>
    </w:p>
    <w:p>
      <w:pPr>
        <w:spacing w:line="600" w:lineRule="exact"/>
        <w:ind w:firstLine="640" w:firstLineChars="200"/>
        <w:rPr>
          <w:rFonts w:ascii="仿宋" w:hAnsi="仿宋" w:cs="仿宋"/>
          <w:kern w:val="2"/>
          <w:szCs w:val="32"/>
        </w:rPr>
      </w:pPr>
      <w:r>
        <w:rPr>
          <w:rFonts w:hint="eastAsia" w:ascii="仿宋" w:hAnsi="仿宋" w:cs="仿宋"/>
          <w:kern w:val="2"/>
          <w:szCs w:val="32"/>
        </w:rPr>
        <w:t>（1）《中华人民共和国城乡规划法》（2015年）</w:t>
      </w:r>
    </w:p>
    <w:p>
      <w:pPr>
        <w:spacing w:line="600" w:lineRule="exact"/>
        <w:ind w:firstLine="640" w:firstLineChars="200"/>
        <w:rPr>
          <w:rFonts w:ascii="仿宋" w:hAnsi="仿宋" w:cs="仿宋"/>
          <w:kern w:val="2"/>
          <w:szCs w:val="32"/>
        </w:rPr>
      </w:pPr>
      <w:r>
        <w:rPr>
          <w:rFonts w:hint="eastAsia" w:ascii="仿宋" w:hAnsi="仿宋" w:cs="仿宋"/>
          <w:kern w:val="2"/>
          <w:szCs w:val="32"/>
        </w:rPr>
        <w:t>（2）《中华人民共和国土地管理法》（2004年）</w:t>
      </w:r>
    </w:p>
    <w:p>
      <w:pPr>
        <w:spacing w:line="600" w:lineRule="exact"/>
        <w:ind w:firstLine="640" w:firstLineChars="200"/>
        <w:rPr>
          <w:rFonts w:ascii="仿宋" w:hAnsi="仿宋" w:cs="仿宋"/>
          <w:kern w:val="2"/>
          <w:szCs w:val="32"/>
        </w:rPr>
      </w:pPr>
      <w:r>
        <w:rPr>
          <w:rFonts w:hint="eastAsia" w:ascii="仿宋" w:hAnsi="仿宋" w:cs="仿宋"/>
          <w:kern w:val="2"/>
          <w:szCs w:val="32"/>
        </w:rPr>
        <w:t>（3）《中华人民共和国环境保护法》（2014年）</w:t>
      </w:r>
    </w:p>
    <w:p>
      <w:pPr>
        <w:spacing w:line="600" w:lineRule="exact"/>
        <w:ind w:firstLine="640" w:firstLineChars="200"/>
        <w:rPr>
          <w:rFonts w:ascii="仿宋" w:hAnsi="仿宋" w:cs="仿宋"/>
          <w:kern w:val="2"/>
          <w:szCs w:val="32"/>
        </w:rPr>
      </w:pPr>
      <w:r>
        <w:rPr>
          <w:rFonts w:hint="eastAsia" w:ascii="仿宋" w:hAnsi="仿宋" w:cs="仿宋"/>
          <w:kern w:val="2"/>
          <w:szCs w:val="32"/>
        </w:rPr>
        <w:t>（4）《国务院关于加强城乡规划监督管理的通知》（国发〔2002〕13号）</w:t>
      </w:r>
    </w:p>
    <w:p>
      <w:pPr>
        <w:spacing w:line="600" w:lineRule="exact"/>
        <w:ind w:firstLine="640" w:firstLineChars="200"/>
        <w:rPr>
          <w:rFonts w:ascii="仿宋" w:hAnsi="仿宋" w:cs="仿宋"/>
          <w:kern w:val="2"/>
          <w:szCs w:val="32"/>
        </w:rPr>
      </w:pPr>
      <w:r>
        <w:rPr>
          <w:rFonts w:hint="eastAsia" w:ascii="仿宋" w:hAnsi="仿宋" w:cs="仿宋"/>
          <w:kern w:val="2"/>
          <w:szCs w:val="32"/>
        </w:rPr>
        <w:t>（5）《城市用地分类与规划建设用地标准（GBJ50137-2011）》</w:t>
      </w:r>
    </w:p>
    <w:p>
      <w:pPr>
        <w:spacing w:line="600" w:lineRule="exact"/>
        <w:ind w:firstLine="640" w:firstLineChars="200"/>
        <w:rPr>
          <w:rFonts w:ascii="仿宋" w:hAnsi="仿宋" w:cs="仿宋"/>
          <w:kern w:val="2"/>
          <w:szCs w:val="32"/>
        </w:rPr>
      </w:pPr>
      <w:r>
        <w:rPr>
          <w:rFonts w:hint="eastAsia" w:ascii="仿宋" w:hAnsi="仿宋" w:cs="仿宋"/>
          <w:kern w:val="2"/>
          <w:szCs w:val="32"/>
        </w:rPr>
        <w:t>（6）《京津冀协同发展规划纲要》（2015年）</w:t>
      </w:r>
    </w:p>
    <w:p>
      <w:pPr>
        <w:spacing w:line="600" w:lineRule="exact"/>
        <w:ind w:firstLine="640" w:firstLineChars="200"/>
        <w:rPr>
          <w:rFonts w:ascii="仿宋" w:hAnsi="仿宋" w:cs="仿宋"/>
          <w:kern w:val="2"/>
          <w:szCs w:val="32"/>
        </w:rPr>
      </w:pPr>
      <w:r>
        <w:rPr>
          <w:rFonts w:hint="eastAsia" w:ascii="仿宋" w:hAnsi="仿宋" w:cs="仿宋"/>
          <w:kern w:val="2"/>
          <w:szCs w:val="32"/>
        </w:rPr>
        <w:t>（7）《天津乡村振兴战略规划》（2018</w:t>
      </w:r>
      <w:r>
        <w:rPr>
          <w:rFonts w:hint="eastAsia" w:ascii="仿宋" w:hAnsi="仿宋" w:cs="仿宋"/>
          <w:kern w:val="2"/>
          <w:szCs w:val="32"/>
          <w:highlight w:val="none"/>
        </w:rPr>
        <w:t>-2022年</w:t>
      </w:r>
      <w:r>
        <w:rPr>
          <w:rFonts w:hint="eastAsia" w:ascii="仿宋" w:hAnsi="仿宋" w:cs="仿宋"/>
          <w:kern w:val="2"/>
          <w:szCs w:val="32"/>
        </w:rPr>
        <w:t>）</w:t>
      </w:r>
    </w:p>
    <w:p>
      <w:pPr>
        <w:spacing w:line="600" w:lineRule="exact"/>
        <w:ind w:firstLine="640" w:firstLineChars="200"/>
        <w:rPr>
          <w:rFonts w:ascii="仿宋" w:hAnsi="仿宋" w:cs="仿宋"/>
          <w:kern w:val="2"/>
          <w:szCs w:val="32"/>
        </w:rPr>
      </w:pPr>
      <w:r>
        <w:rPr>
          <w:rFonts w:hint="eastAsia" w:ascii="仿宋" w:hAnsi="仿宋" w:cs="仿宋"/>
          <w:kern w:val="2"/>
          <w:szCs w:val="32"/>
        </w:rPr>
        <w:t>（8）《北辰区土地利用总体规划》（2015-2020）</w:t>
      </w:r>
    </w:p>
    <w:p>
      <w:pPr>
        <w:spacing w:line="600" w:lineRule="exact"/>
        <w:ind w:firstLine="640" w:firstLineChars="200"/>
        <w:rPr>
          <w:rFonts w:ascii="仿宋" w:hAnsi="仿宋" w:cs="仿宋"/>
          <w:kern w:val="2"/>
          <w:szCs w:val="32"/>
        </w:rPr>
      </w:pPr>
      <w:r>
        <w:rPr>
          <w:rFonts w:hint="eastAsia" w:ascii="仿宋" w:hAnsi="仿宋" w:cs="仿宋"/>
          <w:kern w:val="2"/>
          <w:szCs w:val="32"/>
        </w:rPr>
        <w:t>（9）《天津市双城中间绿色生态屏障区规划（2018—2035年）》（津政函〔2019〕114号）</w:t>
      </w:r>
    </w:p>
    <w:p>
      <w:pPr>
        <w:spacing w:line="600" w:lineRule="exact"/>
        <w:ind w:firstLine="640" w:firstLineChars="200"/>
        <w:rPr>
          <w:rFonts w:ascii="仿宋" w:hAnsi="仿宋" w:cs="仿宋"/>
          <w:kern w:val="2"/>
          <w:szCs w:val="32"/>
        </w:rPr>
      </w:pPr>
      <w:r>
        <w:rPr>
          <w:rFonts w:hint="eastAsia" w:ascii="仿宋" w:hAnsi="仿宋" w:cs="仿宋"/>
          <w:kern w:val="2"/>
          <w:szCs w:val="32"/>
        </w:rPr>
        <w:t>（10）《天津市人民政府关于加快推进5G发展的实施意见</w:t>
      </w:r>
      <w:r>
        <w:rPr>
          <w:rFonts w:hint="eastAsia" w:ascii="仿宋" w:hAnsi="仿宋" w:cs="仿宋"/>
          <w:kern w:val="2"/>
          <w:szCs w:val="32"/>
        </w:rPr>
        <w:tab/>
      </w:r>
      <w:r>
        <w:rPr>
          <w:rFonts w:hint="eastAsia" w:ascii="仿宋" w:hAnsi="仿宋" w:cs="仿宋"/>
          <w:kern w:val="2"/>
          <w:szCs w:val="32"/>
        </w:rPr>
        <w:t>津》（政发〔2020〕7号）</w:t>
      </w:r>
    </w:p>
    <w:p>
      <w:pPr>
        <w:spacing w:line="600" w:lineRule="exact"/>
        <w:ind w:firstLine="640" w:firstLineChars="200"/>
        <w:rPr>
          <w:rFonts w:ascii="仿宋" w:hAnsi="仿宋" w:cs="仿宋"/>
          <w:kern w:val="2"/>
          <w:szCs w:val="32"/>
        </w:rPr>
      </w:pPr>
      <w:r>
        <w:rPr>
          <w:rFonts w:hint="eastAsia" w:ascii="仿宋" w:hAnsi="仿宋" w:cs="仿宋"/>
          <w:kern w:val="2"/>
          <w:szCs w:val="32"/>
        </w:rPr>
        <w:t>（11）《天津市人民政府办公厅关于天津市扩大开放构建开放型经济新体制若干措施的通知》（津政办发〔2019〕25号）</w:t>
      </w:r>
    </w:p>
    <w:p>
      <w:pPr>
        <w:spacing w:line="600" w:lineRule="exact"/>
        <w:ind w:firstLine="640" w:firstLineChars="200"/>
        <w:rPr>
          <w:rFonts w:ascii="仿宋" w:hAnsi="仿宋" w:cs="仿宋"/>
          <w:kern w:val="2"/>
          <w:szCs w:val="32"/>
        </w:rPr>
      </w:pPr>
      <w:r>
        <w:rPr>
          <w:rFonts w:hint="eastAsia" w:ascii="仿宋" w:hAnsi="仿宋" w:cs="仿宋"/>
          <w:kern w:val="2"/>
          <w:szCs w:val="32"/>
        </w:rPr>
        <w:t>（12</w:t>
      </w:r>
      <w:r>
        <w:rPr>
          <w:rFonts w:hint="eastAsia" w:ascii="仿宋" w:hAnsi="仿宋" w:cs="仿宋"/>
          <w:kern w:val="2"/>
          <w:szCs w:val="32"/>
          <w:highlight w:val="none"/>
        </w:rPr>
        <w:t>）</w:t>
      </w:r>
      <w:r>
        <w:rPr>
          <w:rFonts w:hint="eastAsia" w:ascii="仿宋" w:hAnsi="仿宋" w:cs="仿宋"/>
          <w:kern w:val="2"/>
          <w:szCs w:val="32"/>
        </w:rPr>
        <w:t>《天津市人民政府关于推动创新创业高质量发展打造“双创”升级版若干措施的通知</w:t>
      </w:r>
      <w:r>
        <w:rPr>
          <w:rFonts w:hint="eastAsia" w:ascii="仿宋" w:hAnsi="仿宋" w:cs="仿宋"/>
          <w:kern w:val="2"/>
          <w:szCs w:val="32"/>
          <w:highlight w:val="none"/>
        </w:rPr>
        <w:t>》</w:t>
      </w:r>
      <w:r>
        <w:rPr>
          <w:rFonts w:hint="eastAsia" w:ascii="仿宋" w:hAnsi="仿宋" w:cs="仿宋"/>
          <w:kern w:val="2"/>
          <w:szCs w:val="32"/>
        </w:rPr>
        <w:t>（津政发〔2019〕16号）</w:t>
      </w:r>
    </w:p>
    <w:p>
      <w:pPr>
        <w:spacing w:line="600" w:lineRule="exact"/>
        <w:ind w:firstLine="640" w:firstLineChars="200"/>
        <w:rPr>
          <w:rFonts w:ascii="仿宋" w:hAnsi="仿宋" w:cs="仿宋"/>
          <w:kern w:val="2"/>
          <w:szCs w:val="32"/>
        </w:rPr>
      </w:pPr>
      <w:r>
        <w:rPr>
          <w:rFonts w:hint="eastAsia" w:ascii="仿宋" w:hAnsi="仿宋" w:cs="仿宋"/>
          <w:kern w:val="2"/>
          <w:szCs w:val="32"/>
        </w:rPr>
        <w:t>（13）其他国家和地方相关法律、法规、规范和技术规定</w:t>
      </w:r>
    </w:p>
    <w:p>
      <w:pPr>
        <w:spacing w:line="600" w:lineRule="exact"/>
      </w:pPr>
      <w:r>
        <w:rPr>
          <w:rFonts w:hint="eastAsia"/>
        </w:rPr>
        <w:br w:type="page"/>
      </w:r>
    </w:p>
    <w:p>
      <w:pPr>
        <w:pStyle w:val="4"/>
        <w:spacing w:line="600" w:lineRule="exact"/>
        <w:jc w:val="left"/>
        <w:rPr>
          <w:rFonts w:ascii="仿宋" w:hAnsi="仿宋" w:eastAsia="仿宋" w:cs="仿宋"/>
          <w:sz w:val="40"/>
          <w:szCs w:val="40"/>
        </w:rPr>
      </w:pPr>
      <w:r>
        <w:rPr>
          <w:rFonts w:hint="eastAsia" w:ascii="仿宋" w:hAnsi="仿宋" w:eastAsia="仿宋" w:cs="仿宋"/>
          <w:sz w:val="40"/>
          <w:szCs w:val="40"/>
          <w:highlight w:val="none"/>
        </w:rPr>
        <w:t>附件2：</w:t>
      </w:r>
      <w:r>
        <w:rPr>
          <w:rFonts w:hint="eastAsia" w:ascii="仿宋" w:hAnsi="仿宋" w:eastAsia="仿宋" w:cs="仿宋"/>
          <w:sz w:val="40"/>
          <w:szCs w:val="40"/>
        </w:rPr>
        <w:t>虚拟大学科技园</w:t>
      </w:r>
      <w:r>
        <w:rPr>
          <w:rFonts w:hint="eastAsia" w:ascii="仿宋" w:hAnsi="仿宋" w:eastAsia="仿宋" w:cs="仿宋"/>
          <w:sz w:val="40"/>
          <w:szCs w:val="40"/>
          <w:lang w:eastAsia="zh-CN"/>
        </w:rPr>
        <w:t>、</w:t>
      </w:r>
      <w:r>
        <w:rPr>
          <w:rFonts w:hint="default" w:ascii="Times New Roman" w:hAnsi="Times New Roman" w:eastAsia="仿宋" w:cs="Times New Roman"/>
          <w:sz w:val="40"/>
          <w:szCs w:val="40"/>
        </w:rPr>
        <w:t>SOD</w:t>
      </w:r>
      <w:r>
        <w:rPr>
          <w:rFonts w:hint="default" w:ascii="Times New Roman" w:hAnsi="Times New Roman" w:eastAsia="仿宋" w:cs="Times New Roman"/>
          <w:sz w:val="40"/>
          <w:szCs w:val="40"/>
          <w:lang w:val="en-US" w:eastAsia="zh-CN"/>
        </w:rPr>
        <w:t>和CID</w:t>
      </w:r>
    </w:p>
    <w:p>
      <w:pPr>
        <w:pStyle w:val="5"/>
        <w:spacing w:line="600" w:lineRule="exact"/>
        <w:jc w:val="both"/>
        <w:rPr>
          <w:rFonts w:ascii="仿宋" w:hAnsi="仿宋" w:eastAsia="仿宋" w:cs="仿宋"/>
        </w:rPr>
      </w:pPr>
      <w:r>
        <w:rPr>
          <w:rFonts w:hint="eastAsia" w:ascii="仿宋" w:hAnsi="仿宋" w:eastAsia="仿宋" w:cs="仿宋"/>
        </w:rPr>
        <w:t>1、深圳虚拟大学科技园案例</w:t>
      </w:r>
    </w:p>
    <w:p>
      <w:pPr>
        <w:spacing w:line="600" w:lineRule="exact"/>
        <w:ind w:firstLine="643" w:firstLineChars="200"/>
        <w:rPr>
          <w:rFonts w:ascii="仿宋" w:hAnsi="仿宋" w:cs="仿宋"/>
          <w:kern w:val="2"/>
          <w:szCs w:val="32"/>
        </w:rPr>
      </w:pPr>
      <w:r>
        <w:rPr>
          <w:rFonts w:hint="eastAsia" w:ascii="仿宋" w:hAnsi="仿宋" w:cs="仿宋"/>
          <w:b/>
          <w:bCs/>
          <w:kern w:val="2"/>
          <w:szCs w:val="32"/>
        </w:rPr>
        <w:t>创新主体及要素情况。</w:t>
      </w:r>
      <w:r>
        <w:rPr>
          <w:rFonts w:hint="eastAsia" w:ascii="仿宋" w:hAnsi="仿宋" w:cs="仿宋"/>
          <w:kern w:val="2"/>
          <w:szCs w:val="32"/>
        </w:rPr>
        <w:t>深圳虚拟大学园（后简称“虚大园”）聚集了清华、北大、港大、佐治亚理工等国内外58所知名院校，建立事业单位建制、独立法人资格的成员院校深圳研究院46家；搭建“深圳虚拟大学园国家重点实验室（工程中心）平台”，在深设立研发机构266家，其中获批市级以上重点实验室、工程实验室等创新载体69家；形成政府主导、院校为主体、多元化投资的孵化器群，开创孵化研究院、孵化研究机构、孵化企业三位一体</w:t>
      </w:r>
      <w:r>
        <w:rPr>
          <w:rFonts w:hint="eastAsia" w:ascii="仿宋" w:hAnsi="仿宋" w:cs="仿宋"/>
          <w:kern w:val="2"/>
          <w:szCs w:val="32"/>
          <w:highlight w:val="none"/>
        </w:rPr>
        <w:t>的孵化</w:t>
      </w:r>
      <w:r>
        <w:rPr>
          <w:rFonts w:hint="eastAsia" w:ascii="仿宋" w:hAnsi="仿宋" w:cs="仿宋"/>
          <w:kern w:val="2"/>
          <w:szCs w:val="32"/>
        </w:rPr>
        <w:t>模式，建成清华、北京、哈工大、武大等15家产业化基地，虚大园启用面积38</w:t>
      </w:r>
      <w:r>
        <w:rPr>
          <w:rFonts w:hint="eastAsia" w:ascii="仿宋" w:hAnsi="仿宋" w:cs="仿宋"/>
          <w:kern w:val="2"/>
          <w:szCs w:val="32"/>
          <w:highlight w:val="none"/>
        </w:rPr>
        <w:t>万m</w:t>
      </w:r>
      <w:r>
        <w:rPr>
          <w:rFonts w:hint="eastAsia" w:ascii="仿宋" w:hAnsi="仿宋" w:cs="仿宋"/>
          <w:kern w:val="2"/>
          <w:szCs w:val="32"/>
          <w:highlight w:val="none"/>
          <w:vertAlign w:val="superscript"/>
        </w:rPr>
        <w:t>2</w:t>
      </w:r>
      <w:r>
        <w:rPr>
          <w:rFonts w:hint="eastAsia" w:ascii="仿宋" w:hAnsi="仿宋" w:cs="仿宋"/>
          <w:kern w:val="2"/>
          <w:szCs w:val="32"/>
        </w:rPr>
        <w:t>，累积华府科技企业超过1000家，上市企业超过20家；形成了从学士到硕士、博士的在职学历学位培养和从短期专项到为企业</w:t>
      </w:r>
      <w:r>
        <w:rPr>
          <w:rFonts w:hint="eastAsia" w:ascii="仿宋" w:hAnsi="仿宋" w:cs="仿宋"/>
          <w:kern w:val="2"/>
          <w:szCs w:val="32"/>
          <w:highlight w:val="none"/>
        </w:rPr>
        <w:t>量身</w:t>
      </w:r>
      <w:r>
        <w:rPr>
          <w:rFonts w:hint="eastAsia" w:ascii="仿宋" w:hAnsi="仿宋" w:cs="仿宋"/>
          <w:kern w:val="2"/>
          <w:szCs w:val="32"/>
          <w:highlight w:val="none"/>
          <w:lang w:val="en-US" w:eastAsia="zh-CN"/>
        </w:rPr>
        <w:t>定</w:t>
      </w:r>
      <w:r>
        <w:rPr>
          <w:rFonts w:hint="eastAsia" w:ascii="仿宋" w:hAnsi="仿宋" w:cs="仿宋"/>
          <w:kern w:val="2"/>
          <w:szCs w:val="32"/>
          <w:highlight w:val="none"/>
        </w:rPr>
        <w:t>做</w:t>
      </w:r>
      <w:r>
        <w:rPr>
          <w:rFonts w:hint="eastAsia" w:ascii="仿宋" w:hAnsi="仿宋" w:cs="仿宋"/>
          <w:kern w:val="2"/>
          <w:szCs w:val="32"/>
        </w:rPr>
        <w:t>的订单式人才培养体系，累计培训各类人员26万余人。</w:t>
      </w:r>
    </w:p>
    <w:p>
      <w:pPr>
        <w:spacing w:line="600" w:lineRule="exact"/>
        <w:ind w:firstLine="643" w:firstLineChars="200"/>
        <w:rPr>
          <w:rFonts w:ascii="仿宋" w:hAnsi="仿宋" w:cs="仿宋"/>
          <w:kern w:val="2"/>
          <w:szCs w:val="32"/>
        </w:rPr>
      </w:pPr>
      <w:r>
        <w:rPr>
          <w:rFonts w:hint="eastAsia" w:ascii="仿宋" w:hAnsi="仿宋" w:cs="仿宋"/>
          <w:b/>
          <w:bCs/>
          <w:kern w:val="2"/>
          <w:szCs w:val="32"/>
        </w:rPr>
        <w:t>核心运行机制。</w:t>
      </w:r>
      <w:r>
        <w:rPr>
          <w:rFonts w:hint="eastAsia" w:ascii="仿宋" w:hAnsi="仿宋" w:cs="仿宋"/>
          <w:kern w:val="2"/>
          <w:szCs w:val="32"/>
        </w:rPr>
        <w:t>开创“一园多校，市校共建”的虚大园建设模式，逐步形成多元化的投资主体和市场化运作机制。早期，虚大园建设主要由政府出资或由政府和学校共同承建，当下投资主体转变成以院校为主体、企业多方参与投资的方式，同时引入的国内外院校具有多样化的法人实体。其中，院校出资形式包括学校全资公司、校产企业、科技园公司、教育基金公司等多种主体；企业出资包括学校参股公司、校友企业、投资机构等多种主体。此外，虚大园内各院校研究院建立了符合市场机制的理事会和董事会管理架构，后期投资建设的国内院校大都实行市场化运作模式，采取建设主体（项目公司）和运营主体（研究院）相结合的投资方式。</w:t>
      </w:r>
    </w:p>
    <w:p>
      <w:pPr>
        <w:spacing w:line="600" w:lineRule="exact"/>
        <w:ind w:firstLine="643" w:firstLineChars="200"/>
        <w:rPr>
          <w:rFonts w:ascii="仿宋" w:hAnsi="仿宋" w:cs="仿宋"/>
          <w:kern w:val="2"/>
          <w:szCs w:val="32"/>
        </w:rPr>
      </w:pPr>
      <w:r>
        <w:rPr>
          <w:rFonts w:hint="eastAsia" w:ascii="仿宋" w:hAnsi="仿宋" w:cs="仿宋"/>
          <w:b/>
          <w:bCs/>
          <w:kern w:val="2"/>
          <w:szCs w:val="32"/>
        </w:rPr>
        <w:t>启示借鉴。</w:t>
      </w:r>
      <w:r>
        <w:rPr>
          <w:rFonts w:hint="eastAsia" w:ascii="仿宋" w:hAnsi="仿宋" w:cs="仿宋"/>
          <w:kern w:val="2"/>
          <w:szCs w:val="32"/>
        </w:rPr>
        <w:t>通过政府主动投入大量土地、资金，搭建完善的基础设施及相关配套，对接北京高教和科研资源，吸引集聚一批高水平高校院所，以北辰智能制造产业集群为依托，以区域企业实际需求为导向，搭建集教育培训、研发创新、成果转化、创业孵化等服务功能于一体的平台体系，建立“协同创新、共享资源、开放多赢”的协同创新网络，促进高校院所与区域产业集群开展全方位协同创新，并鼓励科技型企业孵化，聚力建设京津冀地区实验室核心区、大科学装置集中区、教育科研集聚区、产学研用创新成果孵化加速转化区“四个先行区”。</w:t>
      </w:r>
    </w:p>
    <w:p>
      <w:pPr>
        <w:pStyle w:val="5"/>
        <w:spacing w:line="600" w:lineRule="exact"/>
        <w:jc w:val="both"/>
        <w:rPr>
          <w:rFonts w:ascii="仿宋" w:hAnsi="仿宋" w:eastAsia="仿宋" w:cs="仿宋"/>
        </w:rPr>
      </w:pPr>
      <w:r>
        <w:rPr>
          <w:rFonts w:hint="eastAsia" w:ascii="仿宋" w:hAnsi="仿宋" w:eastAsia="仿宋" w:cs="仿宋"/>
        </w:rPr>
        <w:t>2、“</w:t>
      </w:r>
      <w:r>
        <w:rPr>
          <w:rFonts w:ascii="Times New Roman" w:hAnsi="Times New Roman" w:eastAsia="仿宋" w:cs="Times New Roman"/>
        </w:rPr>
        <w:t>SOD</w:t>
      </w:r>
      <w:r>
        <w:rPr>
          <w:rFonts w:hint="eastAsia" w:ascii="仿宋" w:hAnsi="仿宋" w:eastAsia="仿宋" w:cs="仿宋"/>
        </w:rPr>
        <w:t>”城市服务建设工程</w:t>
      </w:r>
    </w:p>
    <w:p>
      <w:pPr>
        <w:spacing w:line="600" w:lineRule="exact"/>
        <w:ind w:firstLine="640" w:firstLineChars="200"/>
        <w:rPr>
          <w:rFonts w:ascii="仿宋" w:hAnsi="仿宋" w:cs="仿宋"/>
          <w:kern w:val="2"/>
          <w:szCs w:val="32"/>
        </w:rPr>
      </w:pPr>
      <w:r>
        <w:rPr>
          <w:rFonts w:hint="eastAsia" w:ascii="仿宋" w:hAnsi="仿宋" w:cs="仿宋"/>
          <w:kern w:val="2"/>
          <w:szCs w:val="32"/>
        </w:rPr>
        <w:t>“</w:t>
      </w:r>
      <w:r>
        <w:rPr>
          <w:kern w:val="2"/>
          <w:szCs w:val="32"/>
        </w:rPr>
        <w:t>SOD</w:t>
      </w:r>
      <w:r>
        <w:rPr>
          <w:rFonts w:hint="eastAsia" w:ascii="仿宋" w:hAnsi="仿宋" w:cs="仿宋"/>
          <w:kern w:val="2"/>
          <w:szCs w:val="32"/>
        </w:rPr>
        <w:t>”（</w:t>
      </w:r>
      <w:r>
        <w:rPr>
          <w:rFonts w:hint="eastAsia"/>
          <w:kern w:val="2"/>
          <w:szCs w:val="32"/>
        </w:rPr>
        <w:t>S</w:t>
      </w:r>
      <w:r>
        <w:rPr>
          <w:kern w:val="2"/>
          <w:szCs w:val="32"/>
        </w:rPr>
        <w:t>ervice-</w:t>
      </w:r>
      <w:r>
        <w:rPr>
          <w:rFonts w:hint="eastAsia"/>
          <w:kern w:val="2"/>
          <w:szCs w:val="32"/>
        </w:rPr>
        <w:t>O</w:t>
      </w:r>
      <w:r>
        <w:rPr>
          <w:kern w:val="2"/>
          <w:szCs w:val="32"/>
        </w:rPr>
        <w:t xml:space="preserve">riented </w:t>
      </w:r>
      <w:r>
        <w:rPr>
          <w:rFonts w:hint="eastAsia"/>
          <w:kern w:val="2"/>
          <w:szCs w:val="32"/>
        </w:rPr>
        <w:t>D</w:t>
      </w:r>
      <w:r>
        <w:rPr>
          <w:kern w:val="2"/>
          <w:szCs w:val="32"/>
        </w:rPr>
        <w:t>evelopment</w:t>
      </w:r>
      <w:r>
        <w:rPr>
          <w:rFonts w:hint="eastAsia" w:ascii="仿宋" w:hAnsi="仿宋" w:cs="仿宋"/>
          <w:kern w:val="2"/>
          <w:szCs w:val="32"/>
        </w:rPr>
        <w:t>）模式，即服务导向型开发，是城市政府利用行政垄断的优势将行政</w:t>
      </w:r>
      <w:r>
        <w:rPr>
          <w:rFonts w:hint="eastAsia" w:ascii="仿宋" w:hAnsi="仿宋" w:cs="仿宋"/>
          <w:kern w:val="2"/>
          <w:szCs w:val="32"/>
          <w:highlight w:val="none"/>
        </w:rPr>
        <w:t>或其</w:t>
      </w:r>
      <w:r>
        <w:rPr>
          <w:rFonts w:hint="eastAsia" w:ascii="仿宋" w:hAnsi="仿宋" w:cs="仿宋"/>
          <w:kern w:val="2"/>
          <w:szCs w:val="32"/>
          <w:highlight w:val="yellow"/>
          <w:lang w:val="en-US" w:eastAsia="zh-CN"/>
        </w:rPr>
        <w:t>他</w:t>
      </w:r>
      <w:r>
        <w:rPr>
          <w:rFonts w:hint="eastAsia" w:ascii="仿宋" w:hAnsi="仿宋" w:cs="仿宋"/>
          <w:kern w:val="2"/>
          <w:szCs w:val="32"/>
        </w:rPr>
        <w:t>城市功能转移到新区，同时配置大型公共服务设施，为新区发展创造良好条件，以达到带动发展的目的。</w:t>
      </w:r>
    </w:p>
    <w:p>
      <w:pPr>
        <w:spacing w:line="600" w:lineRule="exact"/>
        <w:ind w:firstLine="643" w:firstLineChars="200"/>
        <w:rPr>
          <w:rFonts w:ascii="仿宋" w:hAnsi="仿宋" w:cs="仿宋"/>
          <w:kern w:val="2"/>
          <w:szCs w:val="32"/>
        </w:rPr>
      </w:pPr>
      <w:r>
        <w:rPr>
          <w:rFonts w:hint="eastAsia" w:ascii="仿宋" w:hAnsi="仿宋" w:cs="仿宋"/>
          <w:b/>
          <w:bCs/>
          <w:kern w:val="2"/>
          <w:szCs w:val="32"/>
        </w:rPr>
        <w:t>部分城市新区建设的应用。</w:t>
      </w:r>
      <w:r>
        <w:rPr>
          <w:rFonts w:hint="eastAsia" w:ascii="仿宋" w:hAnsi="仿宋" w:cs="仿宋"/>
          <w:kern w:val="2"/>
          <w:szCs w:val="32"/>
        </w:rPr>
        <w:t>郑州郑东新区，启动以郑州国际会展中心的建设为标志的模式，建设区域性标志建筑并打造中心公园作为发展基础，逐步加入住宅和商业。杭州钱江新区，启动以杭州大剧院为代表的公共服务设施建设模式，通过杭州大剧院、市民中心、杭州棋院等大型公建项目，同时开发周边住宅，导入行政区。</w:t>
      </w:r>
    </w:p>
    <w:p>
      <w:pPr>
        <w:spacing w:line="600" w:lineRule="exact"/>
        <w:ind w:firstLine="643" w:firstLineChars="200"/>
        <w:rPr>
          <w:rFonts w:ascii="仿宋" w:hAnsi="仿宋" w:cs="仿宋"/>
          <w:kern w:val="2"/>
          <w:szCs w:val="32"/>
        </w:rPr>
      </w:pPr>
      <w:r>
        <w:rPr>
          <w:rFonts w:hint="eastAsia" w:ascii="仿宋" w:hAnsi="仿宋" w:cs="仿宋"/>
          <w:b/>
          <w:bCs/>
          <w:kern w:val="2"/>
          <w:szCs w:val="32"/>
        </w:rPr>
        <w:t>建设作用。</w:t>
      </w:r>
      <w:r>
        <w:rPr>
          <w:rFonts w:hint="eastAsia" w:ascii="仿宋" w:hAnsi="仿宋" w:cs="仿宋"/>
          <w:kern w:val="2"/>
          <w:szCs w:val="32"/>
        </w:rPr>
        <w:t>首先，存在示范作用，提升新区吸引力。行政中心迁移的示范作用能够体现出政府对新区建设的支持和决心，良好的示范作用集聚人气，吸引开发商投资，带动配套设施的建设。其次，进行土地置换，带来建设资金。由于行政中心一般占据土地价格较高的地段，而新区的土地价格则较为低廉，因此在迁移过程中政府可以利用土地置换产生的差价获得资金，并且行政中心</w:t>
      </w:r>
      <w:r>
        <w:rPr>
          <w:rFonts w:hint="eastAsia" w:ascii="仿宋" w:hAnsi="仿宋" w:cs="仿宋"/>
          <w:kern w:val="2"/>
          <w:szCs w:val="32"/>
          <w:highlight w:val="none"/>
        </w:rPr>
        <w:t>的迁入</w:t>
      </w:r>
      <w:r>
        <w:rPr>
          <w:rFonts w:hint="eastAsia" w:ascii="仿宋" w:hAnsi="仿宋" w:cs="仿宋"/>
          <w:kern w:val="2"/>
          <w:szCs w:val="32"/>
        </w:rPr>
        <w:t>能够带动周边地价，提高新区的土地资源利用效率。最后，带动其他功能发展，促进经济增长。由于行政中心具有较强的关联性，因此其建设能够带动相关商务办公和文娱产业的发展，从而给新区带来辐射效应。</w:t>
      </w:r>
    </w:p>
    <w:p>
      <w:pPr>
        <w:pStyle w:val="5"/>
        <w:spacing w:line="600" w:lineRule="exact"/>
        <w:jc w:val="both"/>
        <w:rPr>
          <w:rFonts w:hint="eastAsia" w:ascii="仿宋" w:hAnsi="仿宋" w:eastAsia="新宋体" w:cs="仿宋"/>
          <w:lang w:eastAsia="zh-CN"/>
        </w:rPr>
      </w:pP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val="en-US" w:eastAsia="zh-CN"/>
        </w:rPr>
        <w:t>从中央商务区（</w:t>
      </w:r>
      <w:r>
        <w:rPr>
          <w:rFonts w:hint="eastAsia" w:ascii="Times New Roman" w:hAnsi="Times New Roman" w:cs="Times New Roman"/>
          <w:kern w:val="2"/>
          <w:szCs w:val="24"/>
          <w:lang w:val="en-US" w:eastAsia="zh-CN"/>
        </w:rPr>
        <w:t>CBD</w:t>
      </w:r>
      <w:r>
        <w:rPr>
          <w:rFonts w:hint="eastAsia" w:ascii="仿宋" w:hAnsi="仿宋" w:eastAsia="仿宋" w:cs="仿宋"/>
          <w:lang w:val="en-US" w:eastAsia="zh-CN"/>
        </w:rPr>
        <w:t>）到</w:t>
      </w:r>
      <w:r>
        <w:rPr>
          <w:rFonts w:hint="eastAsia" w:ascii="仿宋" w:hAnsi="仿宋" w:cs="仿宋"/>
          <w:kern w:val="2"/>
          <w:szCs w:val="24"/>
          <w:lang w:val="en-US" w:eastAsia="zh-CN"/>
        </w:rPr>
        <w:t>中央创新区（</w:t>
      </w:r>
      <w:r>
        <w:rPr>
          <w:rFonts w:hint="default" w:ascii="Times New Roman" w:hAnsi="Times New Roman" w:cs="Times New Roman"/>
          <w:kern w:val="2"/>
          <w:szCs w:val="24"/>
          <w:lang w:val="en-US" w:eastAsia="zh-CN"/>
        </w:rPr>
        <w:t>CID</w:t>
      </w:r>
      <w:r>
        <w:rPr>
          <w:rFonts w:hint="eastAsia" w:ascii="仿宋" w:hAnsi="仿宋" w:cs="仿宋"/>
          <w:kern w:val="2"/>
          <w:szCs w:val="24"/>
          <w:lang w:val="en-US" w:eastAsia="zh-CN"/>
        </w:rPr>
        <w:t>）</w:t>
      </w:r>
      <w:r>
        <w:rPr>
          <w:rFonts w:hint="eastAsia" w:ascii="仿宋" w:hAnsi="仿宋" w:eastAsia="仿宋" w:cs="仿宋"/>
          <w:lang w:val="en-US" w:eastAsia="zh-CN"/>
        </w:rPr>
        <w:t>转变</w:t>
      </w:r>
    </w:p>
    <w:p>
      <w:pPr>
        <w:widowControl w:val="0"/>
        <w:ind w:firstLine="640" w:firstLineChars="200"/>
        <w:rPr>
          <w:rFonts w:hint="default" w:ascii="Times New Roman" w:hAnsi="Times New Roman" w:cs="Times New Roman"/>
          <w:kern w:val="2"/>
          <w:szCs w:val="24"/>
          <w:lang w:val="en-US" w:eastAsia="zh-CN"/>
        </w:rPr>
      </w:pPr>
      <w:r>
        <w:rPr>
          <w:rFonts w:hint="eastAsia" w:ascii="仿宋" w:hAnsi="仿宋" w:cs="仿宋"/>
          <w:kern w:val="2"/>
          <w:szCs w:val="24"/>
          <w:lang w:val="en-US" w:eastAsia="zh-CN"/>
        </w:rPr>
        <w:t>当代社会已进入创新驱动发展阶段，需要能级强大的创新策源地提供发展新动力。</w:t>
      </w:r>
      <w:r>
        <w:rPr>
          <w:rFonts w:hint="default" w:ascii="仿宋" w:hAnsi="仿宋" w:cs="仿宋"/>
          <w:kern w:val="2"/>
          <w:szCs w:val="24"/>
          <w:lang w:val="en-US" w:eastAsia="zh-CN"/>
        </w:rPr>
        <w:t>中央商务区（</w:t>
      </w:r>
      <w:r>
        <w:rPr>
          <w:rFonts w:hint="eastAsia" w:ascii="Times New Roman" w:hAnsi="Times New Roman" w:cs="Times New Roman"/>
          <w:kern w:val="2"/>
          <w:szCs w:val="24"/>
          <w:lang w:val="en-US" w:eastAsia="zh-CN"/>
        </w:rPr>
        <w:t>Central Business District，简称CBD</w:t>
      </w:r>
      <w:r>
        <w:rPr>
          <w:rFonts w:hint="default" w:ascii="仿宋" w:hAnsi="仿宋" w:cs="仿宋"/>
          <w:kern w:val="2"/>
          <w:szCs w:val="24"/>
          <w:lang w:val="en-US" w:eastAsia="zh-CN"/>
        </w:rPr>
        <w:t>）作为区域经济中心，</w:t>
      </w:r>
      <w:r>
        <w:rPr>
          <w:rFonts w:hint="default" w:ascii="仿宋" w:hAnsi="仿宋" w:cs="仿宋"/>
          <w:kern w:val="2"/>
          <w:szCs w:val="24"/>
          <w:highlight w:val="none"/>
          <w:lang w:val="en-US" w:eastAsia="zh-CN"/>
        </w:rPr>
        <w:t>极大推动了</w:t>
      </w:r>
      <w:r>
        <w:rPr>
          <w:rFonts w:hint="default" w:ascii="仿宋" w:hAnsi="仿宋" w:cs="仿宋"/>
          <w:kern w:val="2"/>
          <w:szCs w:val="24"/>
          <w:lang w:val="en-US" w:eastAsia="zh-CN"/>
        </w:rPr>
        <w:t>经济发展；但作为城市发展</w:t>
      </w:r>
      <w:r>
        <w:rPr>
          <w:rFonts w:hint="default" w:ascii="Times New Roman" w:hAnsi="Times New Roman" w:cs="Times New Roman"/>
          <w:kern w:val="2"/>
          <w:szCs w:val="24"/>
          <w:lang w:val="en-US" w:eastAsia="zh-CN"/>
        </w:rPr>
        <w:t>的主引擎，CBD已不能满</w:t>
      </w:r>
      <w:r>
        <w:rPr>
          <w:rFonts w:hint="eastAsia" w:ascii="仿宋" w:hAnsi="仿宋" w:eastAsia="仿宋" w:cs="仿宋"/>
          <w:kern w:val="2"/>
          <w:szCs w:val="24"/>
          <w:lang w:val="en-US" w:eastAsia="zh-CN"/>
        </w:rPr>
        <w:t>足“创新驱动发展”模</w:t>
      </w:r>
      <w:r>
        <w:rPr>
          <w:rFonts w:hint="default" w:ascii="Times New Roman" w:hAnsi="Times New Roman" w:cs="Times New Roman"/>
          <w:kern w:val="2"/>
          <w:szCs w:val="24"/>
          <w:lang w:val="en-US" w:eastAsia="zh-CN"/>
        </w:rPr>
        <w:t>式的新要求。为进一步提升区域创新密度，打造以创新为核心动力的地标性区域，区域需突破现有创新空间规划发展理念，重新定义科创高地建设发展模式，大力建设</w:t>
      </w:r>
      <w:r>
        <w:rPr>
          <w:rFonts w:hint="eastAsia" w:ascii="仿宋" w:hAnsi="仿宋" w:cs="仿宋"/>
          <w:kern w:val="2"/>
          <w:szCs w:val="24"/>
          <w:lang w:val="en-US" w:eastAsia="zh-CN"/>
        </w:rPr>
        <w:t>中央创新区（</w:t>
      </w:r>
      <w:r>
        <w:rPr>
          <w:rFonts w:hint="eastAsia" w:ascii="Times New Roman" w:hAnsi="Times New Roman" w:cs="Times New Roman"/>
          <w:kern w:val="2"/>
          <w:szCs w:val="24"/>
          <w:lang w:val="en-US" w:eastAsia="zh-CN"/>
        </w:rPr>
        <w:t>Central Innovation District，简称</w:t>
      </w:r>
      <w:r>
        <w:rPr>
          <w:rFonts w:hint="default" w:ascii="Times New Roman" w:hAnsi="Times New Roman" w:cs="Times New Roman"/>
          <w:kern w:val="2"/>
          <w:szCs w:val="24"/>
          <w:lang w:val="en-US" w:eastAsia="zh-CN"/>
        </w:rPr>
        <w:t>CID</w:t>
      </w:r>
      <w:r>
        <w:rPr>
          <w:rFonts w:hint="eastAsia" w:ascii="仿宋" w:hAnsi="仿宋" w:cs="仿宋"/>
          <w:kern w:val="2"/>
          <w:szCs w:val="24"/>
          <w:lang w:val="en-US" w:eastAsia="zh-CN"/>
        </w:rPr>
        <w:t>）</w:t>
      </w:r>
      <w:r>
        <w:rPr>
          <w:rFonts w:hint="default" w:ascii="Times New Roman" w:hAnsi="Times New Roman" w:cs="Times New Roman"/>
          <w:kern w:val="2"/>
          <w:szCs w:val="24"/>
          <w:lang w:val="en-US" w:eastAsia="zh-CN"/>
        </w:rPr>
        <w:t>，加装京津冀协同发展新引擎。</w:t>
      </w:r>
    </w:p>
    <w:p>
      <w:pPr>
        <w:widowControl w:val="0"/>
        <w:ind w:firstLine="640" w:firstLineChars="200"/>
        <w:rPr>
          <w:rFonts w:hint="eastAsia" w:ascii="仿宋" w:hAnsi="仿宋" w:cs="仿宋"/>
          <w:kern w:val="2"/>
          <w:szCs w:val="24"/>
          <w:lang w:val="en-US" w:eastAsia="zh-CN"/>
        </w:rPr>
      </w:pPr>
      <w:r>
        <w:rPr>
          <w:rFonts w:hint="default" w:ascii="Times New Roman" w:hAnsi="Times New Roman" w:cs="Times New Roman"/>
          <w:kern w:val="2"/>
          <w:szCs w:val="24"/>
          <w:lang w:val="en-US" w:eastAsia="zh-CN"/>
        </w:rPr>
        <w:t>CID是以</w:t>
      </w:r>
      <w:r>
        <w:rPr>
          <w:rFonts w:hint="eastAsia" w:cs="Times New Roman"/>
          <w:kern w:val="2"/>
          <w:szCs w:val="24"/>
          <w:lang w:val="en-US" w:eastAsia="zh-CN"/>
        </w:rPr>
        <w:t>新的</w:t>
      </w:r>
      <w:r>
        <w:rPr>
          <w:rFonts w:hint="eastAsia" w:ascii="仿宋" w:hAnsi="仿宋" w:cs="仿宋"/>
          <w:kern w:val="2"/>
          <w:szCs w:val="24"/>
          <w:lang w:val="en-US" w:eastAsia="zh-CN"/>
        </w:rPr>
        <w:t>“创新空间”为核心的地标性区域。</w:t>
      </w:r>
      <w:r>
        <w:rPr>
          <w:rFonts w:hint="eastAsia" w:ascii="Times New Roman" w:hAnsi="Times New Roman" w:cs="Times New Roman"/>
          <w:kern w:val="2"/>
          <w:szCs w:val="24"/>
          <w:lang w:val="en-US" w:eastAsia="zh-CN"/>
        </w:rPr>
        <w:t>CID是</w:t>
      </w:r>
      <w:r>
        <w:rPr>
          <w:rFonts w:hint="eastAsia" w:ascii="仿宋" w:hAnsi="仿宋" w:cs="仿宋"/>
          <w:kern w:val="2"/>
          <w:szCs w:val="24"/>
          <w:lang w:val="en-US" w:eastAsia="zh-CN"/>
        </w:rPr>
        <w:t>一个城市或区域高端创新要素的融合聚变区，区域内高端创新人才汇聚，创新活动极其活跃，是创新成果持续输出和创新影响力最大的地标性区域</w:t>
      </w:r>
      <w:r>
        <w:rPr>
          <w:rFonts w:hint="eastAsia" w:ascii="Times New Roman" w:hAnsi="Times New Roman" w:cs="Times New Roman"/>
          <w:kern w:val="2"/>
          <w:szCs w:val="24"/>
          <w:lang w:val="en-US" w:eastAsia="zh-CN"/>
        </w:rPr>
        <w:t>。CID</w:t>
      </w:r>
      <w:bookmarkStart w:id="70" w:name="_GoBack"/>
      <w:bookmarkEnd w:id="70"/>
      <w:r>
        <w:rPr>
          <w:rFonts w:hint="eastAsia" w:ascii="Times New Roman" w:hAnsi="Times New Roman" w:cs="Times New Roman"/>
          <w:kern w:val="2"/>
          <w:szCs w:val="24"/>
          <w:lang w:val="en-US" w:eastAsia="zh-CN"/>
        </w:rPr>
        <w:t>战略</w:t>
      </w:r>
      <w:r>
        <w:rPr>
          <w:rFonts w:hint="eastAsia" w:ascii="仿宋" w:hAnsi="仿宋" w:cs="仿宋"/>
          <w:kern w:val="2"/>
          <w:szCs w:val="24"/>
          <w:lang w:val="en-US" w:eastAsia="zh-CN"/>
        </w:rPr>
        <w:t>地位显著，往往作为科技创新和高新技术产业集聚发展的核心承载区以及资源高效配置和创新协调发展的创新创业示范区，对周边区域产生强大的辐射带动作用。</w:t>
      </w:r>
    </w:p>
    <w:p>
      <w:pPr>
        <w:widowControl w:val="0"/>
        <w:ind w:firstLine="640" w:firstLineChars="200"/>
        <w:rPr>
          <w:rFonts w:hint="eastAsia" w:ascii="仿宋" w:hAnsi="仿宋" w:cs="仿宋"/>
          <w:kern w:val="2"/>
          <w:szCs w:val="24"/>
          <w:lang w:val="en-US" w:eastAsia="zh-CN"/>
        </w:rPr>
      </w:pPr>
      <w:r>
        <w:rPr>
          <w:rFonts w:hint="eastAsia" w:ascii="仿宋" w:hAnsi="仿宋" w:cs="仿宋"/>
          <w:kern w:val="2"/>
          <w:szCs w:val="24"/>
          <w:lang w:val="en-US" w:eastAsia="zh-CN"/>
        </w:rPr>
        <w:t>目前，</w:t>
      </w:r>
      <w:r>
        <w:rPr>
          <w:rFonts w:hint="default" w:ascii="Times New Roman" w:hAnsi="Times New Roman" w:cs="Times New Roman"/>
          <w:kern w:val="2"/>
          <w:szCs w:val="24"/>
          <w:lang w:val="en-US" w:eastAsia="zh-CN"/>
        </w:rPr>
        <w:t>CID</w:t>
      </w:r>
      <w:r>
        <w:rPr>
          <w:rFonts w:hint="eastAsia" w:ascii="仿宋" w:hAnsi="仿宋" w:cs="仿宋"/>
          <w:kern w:val="2"/>
          <w:szCs w:val="24"/>
          <w:lang w:val="en-US" w:eastAsia="zh-CN"/>
        </w:rPr>
        <w:t>已成为国内外创新型城市的新引擎。从世界来看，纽</w:t>
      </w:r>
      <w:r>
        <w:rPr>
          <w:rFonts w:hint="default" w:ascii="Times New Roman" w:hAnsi="Times New Roman" w:cs="Times New Roman"/>
          <w:kern w:val="2"/>
          <w:szCs w:val="24"/>
          <w:lang w:val="en-US" w:eastAsia="zh-CN"/>
        </w:rPr>
        <w:t>约是美国的CBD，曾经长期引领美国甚至世界的经济发展；从</w:t>
      </w:r>
      <w:r>
        <w:rPr>
          <w:rFonts w:hint="default" w:ascii="Times New Roman" w:hAnsi="Times New Roman" w:cs="Times New Roman"/>
          <w:kern w:val="2"/>
          <w:szCs w:val="24"/>
          <w:highlight w:val="none"/>
          <w:lang w:val="en-US" w:eastAsia="zh-CN"/>
        </w:rPr>
        <w:t>上世纪</w:t>
      </w:r>
      <w:r>
        <w:rPr>
          <w:rFonts w:hint="default" w:ascii="Times New Roman" w:hAnsi="Times New Roman" w:cs="Times New Roman"/>
          <w:kern w:val="2"/>
          <w:szCs w:val="24"/>
          <w:lang w:val="en-US" w:eastAsia="zh-CN"/>
        </w:rPr>
        <w:t>50年代开始硅谷逐步发展成为美国的CID；但近</w:t>
      </w:r>
      <w:r>
        <w:rPr>
          <w:rFonts w:hint="eastAsia" w:ascii="仿宋" w:hAnsi="仿宋" w:cs="仿宋"/>
          <w:kern w:val="2"/>
          <w:szCs w:val="24"/>
          <w:lang w:val="en-US" w:eastAsia="zh-CN"/>
        </w:rPr>
        <w:t>十年来，纽约开始从</w:t>
      </w:r>
      <w:r>
        <w:rPr>
          <w:rFonts w:hint="default" w:ascii="Times New Roman" w:hAnsi="Times New Roman" w:cs="Times New Roman"/>
          <w:kern w:val="2"/>
          <w:szCs w:val="24"/>
          <w:lang w:val="en-US" w:eastAsia="zh-CN"/>
        </w:rPr>
        <w:t>CBD</w:t>
      </w:r>
      <w:r>
        <w:rPr>
          <w:rFonts w:hint="eastAsia" w:ascii="仿宋" w:hAnsi="仿宋" w:cs="仿宋"/>
          <w:kern w:val="2"/>
          <w:szCs w:val="24"/>
          <w:lang w:val="en-US" w:eastAsia="zh-CN"/>
        </w:rPr>
        <w:t>转向</w:t>
      </w:r>
      <w:r>
        <w:rPr>
          <w:rFonts w:hint="default" w:ascii="Times New Roman" w:hAnsi="Times New Roman" w:cs="Times New Roman"/>
          <w:kern w:val="2"/>
          <w:szCs w:val="24"/>
          <w:lang w:val="en-US" w:eastAsia="zh-CN"/>
        </w:rPr>
        <w:t>CID</w:t>
      </w:r>
      <w:r>
        <w:rPr>
          <w:rFonts w:hint="eastAsia" w:cs="Times New Roman"/>
          <w:kern w:val="2"/>
          <w:szCs w:val="24"/>
          <w:lang w:val="en-US" w:eastAsia="zh-CN"/>
        </w:rPr>
        <w:t>，又</w:t>
      </w:r>
      <w:r>
        <w:rPr>
          <w:rFonts w:hint="eastAsia" w:ascii="仿宋" w:hAnsi="仿宋" w:cs="仿宋"/>
          <w:kern w:val="2"/>
          <w:szCs w:val="24"/>
          <w:lang w:val="en-US" w:eastAsia="zh-CN"/>
        </w:rPr>
        <w:t>成为美国乃至世界经济发展的新引擎。从国内来看，北京中关村、上海张江科学城、广州琶洲中央创新区、深圳南山区和福田区、武汉光谷和杭州未来科技城已成为其所在城市新的发展主引擎，通过集聚高端创新要素，实现创新驱动发展，对周围区域产生强大的辐射带动作用，成为城市创新发展的战略策源地。</w:t>
      </w:r>
    </w:p>
    <w:p>
      <w:pPr>
        <w:spacing w:line="600" w:lineRule="exact"/>
        <w:ind w:firstLine="640" w:firstLineChars="200"/>
        <w:rPr>
          <w:rFonts w:ascii="仿宋" w:hAnsi="仿宋" w:cs="仿宋"/>
          <w:kern w:val="2"/>
          <w:szCs w:val="32"/>
        </w:rPr>
      </w:pPr>
    </w:p>
    <w:sectPr>
      <w:pgSz w:w="11906" w:h="16838"/>
      <w:pgMar w:top="1440" w:right="1800" w:bottom="1440" w:left="1800" w:header="851" w:footer="992" w:gutter="0"/>
      <w:pgNumType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5432623"/>
    </w:sdtPr>
    <w:sdtContent>
      <w:p>
        <w:pPr>
          <w:pStyle w:val="9"/>
          <w:jc w:val="center"/>
        </w:pPr>
        <w:r>
          <w:fldChar w:fldCharType="begin"/>
        </w:r>
        <w:r>
          <w:instrText xml:space="preserve">PAGE   \* MERGEFORMAT</w:instrText>
        </w:r>
        <w:r>
          <w:fldChar w:fldCharType="separate"/>
        </w:r>
        <w:r>
          <w:rPr>
            <w:lang w:val="zh-CN"/>
          </w:rPr>
          <w:t>49</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35"/>
    <w:rsid w:val="00002962"/>
    <w:rsid w:val="000033C8"/>
    <w:rsid w:val="00006178"/>
    <w:rsid w:val="000158FD"/>
    <w:rsid w:val="0002312F"/>
    <w:rsid w:val="00033547"/>
    <w:rsid w:val="0004585B"/>
    <w:rsid w:val="00052FBC"/>
    <w:rsid w:val="0005626D"/>
    <w:rsid w:val="00072F50"/>
    <w:rsid w:val="0007527B"/>
    <w:rsid w:val="0008315E"/>
    <w:rsid w:val="00093629"/>
    <w:rsid w:val="000B700A"/>
    <w:rsid w:val="00105C31"/>
    <w:rsid w:val="00110D0F"/>
    <w:rsid w:val="00111C20"/>
    <w:rsid w:val="00113E4B"/>
    <w:rsid w:val="00122A82"/>
    <w:rsid w:val="001307D3"/>
    <w:rsid w:val="0013147B"/>
    <w:rsid w:val="00132C19"/>
    <w:rsid w:val="00142DF3"/>
    <w:rsid w:val="00143B2B"/>
    <w:rsid w:val="001441CF"/>
    <w:rsid w:val="00160692"/>
    <w:rsid w:val="001823E0"/>
    <w:rsid w:val="001B26A2"/>
    <w:rsid w:val="001B72CA"/>
    <w:rsid w:val="001C50F5"/>
    <w:rsid w:val="001D5B0B"/>
    <w:rsid w:val="001E0096"/>
    <w:rsid w:val="001E4B57"/>
    <w:rsid w:val="001F0850"/>
    <w:rsid w:val="001F3C86"/>
    <w:rsid w:val="002010FA"/>
    <w:rsid w:val="00204192"/>
    <w:rsid w:val="002066C2"/>
    <w:rsid w:val="00211B59"/>
    <w:rsid w:val="0021297B"/>
    <w:rsid w:val="00213034"/>
    <w:rsid w:val="00216BF1"/>
    <w:rsid w:val="00221F26"/>
    <w:rsid w:val="0024315D"/>
    <w:rsid w:val="002433C6"/>
    <w:rsid w:val="00247B3A"/>
    <w:rsid w:val="00257936"/>
    <w:rsid w:val="00257A33"/>
    <w:rsid w:val="00263BA6"/>
    <w:rsid w:val="00285694"/>
    <w:rsid w:val="00291E8F"/>
    <w:rsid w:val="002A4768"/>
    <w:rsid w:val="002A67B6"/>
    <w:rsid w:val="002D5BD2"/>
    <w:rsid w:val="002E62D9"/>
    <w:rsid w:val="002F2215"/>
    <w:rsid w:val="002F346B"/>
    <w:rsid w:val="002F3938"/>
    <w:rsid w:val="002F41DD"/>
    <w:rsid w:val="00306F1C"/>
    <w:rsid w:val="00311149"/>
    <w:rsid w:val="003164AF"/>
    <w:rsid w:val="00317102"/>
    <w:rsid w:val="003232BA"/>
    <w:rsid w:val="00363E11"/>
    <w:rsid w:val="0037509A"/>
    <w:rsid w:val="00377D0A"/>
    <w:rsid w:val="003847F4"/>
    <w:rsid w:val="003A4EBF"/>
    <w:rsid w:val="003A6AD5"/>
    <w:rsid w:val="003B7DAB"/>
    <w:rsid w:val="003C30CC"/>
    <w:rsid w:val="003D1F6B"/>
    <w:rsid w:val="003E68EA"/>
    <w:rsid w:val="003E7EBE"/>
    <w:rsid w:val="0040434D"/>
    <w:rsid w:val="00404956"/>
    <w:rsid w:val="00407607"/>
    <w:rsid w:val="00426AE0"/>
    <w:rsid w:val="00441272"/>
    <w:rsid w:val="00447377"/>
    <w:rsid w:val="0045140A"/>
    <w:rsid w:val="004530E5"/>
    <w:rsid w:val="004575C6"/>
    <w:rsid w:val="00465C62"/>
    <w:rsid w:val="00466A42"/>
    <w:rsid w:val="00477BC3"/>
    <w:rsid w:val="00485245"/>
    <w:rsid w:val="00487876"/>
    <w:rsid w:val="0049406A"/>
    <w:rsid w:val="004B3E62"/>
    <w:rsid w:val="004C7B85"/>
    <w:rsid w:val="004D7FFB"/>
    <w:rsid w:val="004E4AFF"/>
    <w:rsid w:val="00504A53"/>
    <w:rsid w:val="00504E70"/>
    <w:rsid w:val="0053305C"/>
    <w:rsid w:val="00544138"/>
    <w:rsid w:val="005453B2"/>
    <w:rsid w:val="005469DF"/>
    <w:rsid w:val="00565E8F"/>
    <w:rsid w:val="00566A86"/>
    <w:rsid w:val="005748A4"/>
    <w:rsid w:val="00587F68"/>
    <w:rsid w:val="0059165F"/>
    <w:rsid w:val="0059515A"/>
    <w:rsid w:val="005A188B"/>
    <w:rsid w:val="005A1990"/>
    <w:rsid w:val="005A6454"/>
    <w:rsid w:val="005B2491"/>
    <w:rsid w:val="005C0FF3"/>
    <w:rsid w:val="005D3B9F"/>
    <w:rsid w:val="005E324C"/>
    <w:rsid w:val="005F38FF"/>
    <w:rsid w:val="006047BE"/>
    <w:rsid w:val="006130F6"/>
    <w:rsid w:val="00616593"/>
    <w:rsid w:val="00625A7C"/>
    <w:rsid w:val="0063080F"/>
    <w:rsid w:val="006555C4"/>
    <w:rsid w:val="0066046E"/>
    <w:rsid w:val="006758ED"/>
    <w:rsid w:val="00680473"/>
    <w:rsid w:val="006866A4"/>
    <w:rsid w:val="006A6337"/>
    <w:rsid w:val="006B7DC7"/>
    <w:rsid w:val="006D0111"/>
    <w:rsid w:val="006D4983"/>
    <w:rsid w:val="006E28C7"/>
    <w:rsid w:val="006F3A7A"/>
    <w:rsid w:val="00701529"/>
    <w:rsid w:val="0070196B"/>
    <w:rsid w:val="00710971"/>
    <w:rsid w:val="00711AC5"/>
    <w:rsid w:val="00717D59"/>
    <w:rsid w:val="00741F80"/>
    <w:rsid w:val="00742AF7"/>
    <w:rsid w:val="00765E43"/>
    <w:rsid w:val="0077761C"/>
    <w:rsid w:val="00783543"/>
    <w:rsid w:val="00783EA3"/>
    <w:rsid w:val="00786830"/>
    <w:rsid w:val="007A4F80"/>
    <w:rsid w:val="007B0E91"/>
    <w:rsid w:val="007B24EA"/>
    <w:rsid w:val="007C1308"/>
    <w:rsid w:val="007C476A"/>
    <w:rsid w:val="007D5228"/>
    <w:rsid w:val="007E128D"/>
    <w:rsid w:val="008030C3"/>
    <w:rsid w:val="00806D47"/>
    <w:rsid w:val="00812172"/>
    <w:rsid w:val="008178C6"/>
    <w:rsid w:val="00820378"/>
    <w:rsid w:val="00821003"/>
    <w:rsid w:val="00831948"/>
    <w:rsid w:val="0085588E"/>
    <w:rsid w:val="0085762E"/>
    <w:rsid w:val="00863A8E"/>
    <w:rsid w:val="00864894"/>
    <w:rsid w:val="00865321"/>
    <w:rsid w:val="008659BB"/>
    <w:rsid w:val="00873DEE"/>
    <w:rsid w:val="008749AB"/>
    <w:rsid w:val="00874F29"/>
    <w:rsid w:val="00882030"/>
    <w:rsid w:val="008B1662"/>
    <w:rsid w:val="008B6586"/>
    <w:rsid w:val="008C09F6"/>
    <w:rsid w:val="008C1DFA"/>
    <w:rsid w:val="008C5D49"/>
    <w:rsid w:val="008C7D71"/>
    <w:rsid w:val="008D51C9"/>
    <w:rsid w:val="008D61EC"/>
    <w:rsid w:val="008E5CF9"/>
    <w:rsid w:val="008F19A5"/>
    <w:rsid w:val="008F3D7A"/>
    <w:rsid w:val="00910441"/>
    <w:rsid w:val="009201A6"/>
    <w:rsid w:val="009227B1"/>
    <w:rsid w:val="00934690"/>
    <w:rsid w:val="00953C25"/>
    <w:rsid w:val="00960D61"/>
    <w:rsid w:val="009622F8"/>
    <w:rsid w:val="009966DF"/>
    <w:rsid w:val="009B56DE"/>
    <w:rsid w:val="009E00E2"/>
    <w:rsid w:val="00A031CF"/>
    <w:rsid w:val="00A12438"/>
    <w:rsid w:val="00A14AF1"/>
    <w:rsid w:val="00A201F4"/>
    <w:rsid w:val="00A33611"/>
    <w:rsid w:val="00A35683"/>
    <w:rsid w:val="00A6751E"/>
    <w:rsid w:val="00A72EBD"/>
    <w:rsid w:val="00A81D85"/>
    <w:rsid w:val="00A92621"/>
    <w:rsid w:val="00A97D78"/>
    <w:rsid w:val="00AA5941"/>
    <w:rsid w:val="00AB0720"/>
    <w:rsid w:val="00AC1A4E"/>
    <w:rsid w:val="00AD4072"/>
    <w:rsid w:val="00AE2E9C"/>
    <w:rsid w:val="00AE3DFF"/>
    <w:rsid w:val="00B02890"/>
    <w:rsid w:val="00B03D12"/>
    <w:rsid w:val="00B10ADA"/>
    <w:rsid w:val="00B140BD"/>
    <w:rsid w:val="00B27C94"/>
    <w:rsid w:val="00B34E15"/>
    <w:rsid w:val="00B36AF7"/>
    <w:rsid w:val="00B559AA"/>
    <w:rsid w:val="00B81138"/>
    <w:rsid w:val="00B84480"/>
    <w:rsid w:val="00B903B1"/>
    <w:rsid w:val="00B9769F"/>
    <w:rsid w:val="00BB2A35"/>
    <w:rsid w:val="00BB4752"/>
    <w:rsid w:val="00BB7A67"/>
    <w:rsid w:val="00BC4DD0"/>
    <w:rsid w:val="00BC75B1"/>
    <w:rsid w:val="00BD7B53"/>
    <w:rsid w:val="00BE13D9"/>
    <w:rsid w:val="00BE3857"/>
    <w:rsid w:val="00C04F75"/>
    <w:rsid w:val="00C2374B"/>
    <w:rsid w:val="00C319EC"/>
    <w:rsid w:val="00C35537"/>
    <w:rsid w:val="00C52222"/>
    <w:rsid w:val="00C63B79"/>
    <w:rsid w:val="00C650B9"/>
    <w:rsid w:val="00C70B16"/>
    <w:rsid w:val="00C80BBF"/>
    <w:rsid w:val="00CB4CD0"/>
    <w:rsid w:val="00CD179A"/>
    <w:rsid w:val="00CE28C4"/>
    <w:rsid w:val="00CE4B6E"/>
    <w:rsid w:val="00CE7B2B"/>
    <w:rsid w:val="00CF1502"/>
    <w:rsid w:val="00CF2DEC"/>
    <w:rsid w:val="00CF7826"/>
    <w:rsid w:val="00D06995"/>
    <w:rsid w:val="00D27681"/>
    <w:rsid w:val="00D53927"/>
    <w:rsid w:val="00D73285"/>
    <w:rsid w:val="00D77684"/>
    <w:rsid w:val="00D82ACF"/>
    <w:rsid w:val="00D86BD7"/>
    <w:rsid w:val="00DA6DD4"/>
    <w:rsid w:val="00DC1709"/>
    <w:rsid w:val="00DC25EE"/>
    <w:rsid w:val="00DC6DB3"/>
    <w:rsid w:val="00DD39DF"/>
    <w:rsid w:val="00DD3C80"/>
    <w:rsid w:val="00DD638F"/>
    <w:rsid w:val="00E138AA"/>
    <w:rsid w:val="00E34541"/>
    <w:rsid w:val="00E36CE2"/>
    <w:rsid w:val="00E4427F"/>
    <w:rsid w:val="00E45386"/>
    <w:rsid w:val="00E86645"/>
    <w:rsid w:val="00E93343"/>
    <w:rsid w:val="00E9415B"/>
    <w:rsid w:val="00EB3183"/>
    <w:rsid w:val="00EB4FD9"/>
    <w:rsid w:val="00EB6C87"/>
    <w:rsid w:val="00EC07A4"/>
    <w:rsid w:val="00EC275C"/>
    <w:rsid w:val="00EF1221"/>
    <w:rsid w:val="00EF3AC8"/>
    <w:rsid w:val="00F028C4"/>
    <w:rsid w:val="00F02ACF"/>
    <w:rsid w:val="00F048EB"/>
    <w:rsid w:val="00F171DB"/>
    <w:rsid w:val="00F231C9"/>
    <w:rsid w:val="00F235A3"/>
    <w:rsid w:val="00F2770B"/>
    <w:rsid w:val="00F41A7B"/>
    <w:rsid w:val="00F44288"/>
    <w:rsid w:val="00F6472F"/>
    <w:rsid w:val="00F66D83"/>
    <w:rsid w:val="00F76AD9"/>
    <w:rsid w:val="00F824F7"/>
    <w:rsid w:val="00F92F31"/>
    <w:rsid w:val="00FA08EF"/>
    <w:rsid w:val="00FA7D9B"/>
    <w:rsid w:val="00FB0D3C"/>
    <w:rsid w:val="00FB6A49"/>
    <w:rsid w:val="00FC0A6B"/>
    <w:rsid w:val="00FD3977"/>
    <w:rsid w:val="00FD3A41"/>
    <w:rsid w:val="00FD3FF4"/>
    <w:rsid w:val="00FE051B"/>
    <w:rsid w:val="014C4F8B"/>
    <w:rsid w:val="015E0413"/>
    <w:rsid w:val="016F60F8"/>
    <w:rsid w:val="01873D48"/>
    <w:rsid w:val="01BB71DF"/>
    <w:rsid w:val="01BE7F39"/>
    <w:rsid w:val="01EA0944"/>
    <w:rsid w:val="021746A3"/>
    <w:rsid w:val="02195489"/>
    <w:rsid w:val="02771143"/>
    <w:rsid w:val="028C23A0"/>
    <w:rsid w:val="02952FE0"/>
    <w:rsid w:val="02AA5F62"/>
    <w:rsid w:val="03297CA7"/>
    <w:rsid w:val="033F1369"/>
    <w:rsid w:val="03AE048B"/>
    <w:rsid w:val="03FB60AB"/>
    <w:rsid w:val="04405474"/>
    <w:rsid w:val="044D750C"/>
    <w:rsid w:val="046E1527"/>
    <w:rsid w:val="04A95F83"/>
    <w:rsid w:val="04EE09D4"/>
    <w:rsid w:val="04EE2088"/>
    <w:rsid w:val="04F47FDF"/>
    <w:rsid w:val="04F93101"/>
    <w:rsid w:val="053C1E70"/>
    <w:rsid w:val="060258D7"/>
    <w:rsid w:val="06177E40"/>
    <w:rsid w:val="06D77437"/>
    <w:rsid w:val="07043B36"/>
    <w:rsid w:val="07064E88"/>
    <w:rsid w:val="07145BE1"/>
    <w:rsid w:val="072626B2"/>
    <w:rsid w:val="073114DD"/>
    <w:rsid w:val="079F4AE5"/>
    <w:rsid w:val="07D101F1"/>
    <w:rsid w:val="081A0718"/>
    <w:rsid w:val="084302B2"/>
    <w:rsid w:val="08921977"/>
    <w:rsid w:val="09115FAD"/>
    <w:rsid w:val="09670382"/>
    <w:rsid w:val="098A0BD1"/>
    <w:rsid w:val="0A0827C3"/>
    <w:rsid w:val="0AC057CF"/>
    <w:rsid w:val="0B092DD1"/>
    <w:rsid w:val="0B4B5D88"/>
    <w:rsid w:val="0B786DFC"/>
    <w:rsid w:val="0BC31F78"/>
    <w:rsid w:val="0BD6611C"/>
    <w:rsid w:val="0BED687B"/>
    <w:rsid w:val="0D3C6B01"/>
    <w:rsid w:val="0DAD1F44"/>
    <w:rsid w:val="0DAF0506"/>
    <w:rsid w:val="0E3B7C47"/>
    <w:rsid w:val="0E5A59F2"/>
    <w:rsid w:val="0F035356"/>
    <w:rsid w:val="0F4C5A0B"/>
    <w:rsid w:val="0FB1158C"/>
    <w:rsid w:val="106B2291"/>
    <w:rsid w:val="106E2608"/>
    <w:rsid w:val="107B0B95"/>
    <w:rsid w:val="10943142"/>
    <w:rsid w:val="116E5855"/>
    <w:rsid w:val="120243ED"/>
    <w:rsid w:val="12055E17"/>
    <w:rsid w:val="125477E9"/>
    <w:rsid w:val="128041A0"/>
    <w:rsid w:val="12823A7C"/>
    <w:rsid w:val="13304552"/>
    <w:rsid w:val="137C276C"/>
    <w:rsid w:val="13B33C92"/>
    <w:rsid w:val="1415137D"/>
    <w:rsid w:val="1469122C"/>
    <w:rsid w:val="146D6320"/>
    <w:rsid w:val="14B2389D"/>
    <w:rsid w:val="14E01BFF"/>
    <w:rsid w:val="1555405A"/>
    <w:rsid w:val="15671996"/>
    <w:rsid w:val="158D113A"/>
    <w:rsid w:val="159A4EF4"/>
    <w:rsid w:val="15A00D1B"/>
    <w:rsid w:val="15E76126"/>
    <w:rsid w:val="163120E2"/>
    <w:rsid w:val="16B35DE9"/>
    <w:rsid w:val="16E4238C"/>
    <w:rsid w:val="16EE6434"/>
    <w:rsid w:val="177966C2"/>
    <w:rsid w:val="17E472C5"/>
    <w:rsid w:val="17EA36B6"/>
    <w:rsid w:val="17EA7D60"/>
    <w:rsid w:val="17EB1EDF"/>
    <w:rsid w:val="18985F38"/>
    <w:rsid w:val="18E610CF"/>
    <w:rsid w:val="19920DF5"/>
    <w:rsid w:val="19C212AE"/>
    <w:rsid w:val="1A3E69C1"/>
    <w:rsid w:val="1A78095A"/>
    <w:rsid w:val="1A7E0609"/>
    <w:rsid w:val="1AC24C0E"/>
    <w:rsid w:val="1ADB2347"/>
    <w:rsid w:val="1AE0557C"/>
    <w:rsid w:val="1AF33E32"/>
    <w:rsid w:val="1B0A0A51"/>
    <w:rsid w:val="1B964BE6"/>
    <w:rsid w:val="1BB736A7"/>
    <w:rsid w:val="1BFE37B6"/>
    <w:rsid w:val="1C2E4064"/>
    <w:rsid w:val="1C2E62DB"/>
    <w:rsid w:val="1C3B6910"/>
    <w:rsid w:val="1C8612CD"/>
    <w:rsid w:val="1CD731ED"/>
    <w:rsid w:val="1D5E064F"/>
    <w:rsid w:val="1D680786"/>
    <w:rsid w:val="1D6E229C"/>
    <w:rsid w:val="1DA9373E"/>
    <w:rsid w:val="1E0D6E69"/>
    <w:rsid w:val="1EEE1964"/>
    <w:rsid w:val="1F290F82"/>
    <w:rsid w:val="1F870490"/>
    <w:rsid w:val="1F8C5C8C"/>
    <w:rsid w:val="1F903157"/>
    <w:rsid w:val="1FB56B3F"/>
    <w:rsid w:val="1FCB36BC"/>
    <w:rsid w:val="1FCF453F"/>
    <w:rsid w:val="1FDE5382"/>
    <w:rsid w:val="1FEA2D1B"/>
    <w:rsid w:val="206B6DFB"/>
    <w:rsid w:val="20980181"/>
    <w:rsid w:val="209E73F6"/>
    <w:rsid w:val="20B82506"/>
    <w:rsid w:val="220D766D"/>
    <w:rsid w:val="2266068E"/>
    <w:rsid w:val="22720417"/>
    <w:rsid w:val="22755F91"/>
    <w:rsid w:val="22D97E1F"/>
    <w:rsid w:val="23AD1752"/>
    <w:rsid w:val="23F62667"/>
    <w:rsid w:val="23F76135"/>
    <w:rsid w:val="24066002"/>
    <w:rsid w:val="241C7190"/>
    <w:rsid w:val="24300037"/>
    <w:rsid w:val="247909BC"/>
    <w:rsid w:val="247B7DF3"/>
    <w:rsid w:val="24C36EE5"/>
    <w:rsid w:val="252D4FB1"/>
    <w:rsid w:val="25A92F17"/>
    <w:rsid w:val="25B23430"/>
    <w:rsid w:val="263A1039"/>
    <w:rsid w:val="26513287"/>
    <w:rsid w:val="265C0320"/>
    <w:rsid w:val="26824D1C"/>
    <w:rsid w:val="268552EF"/>
    <w:rsid w:val="26B80F9E"/>
    <w:rsid w:val="28304170"/>
    <w:rsid w:val="285A1C7F"/>
    <w:rsid w:val="2870583C"/>
    <w:rsid w:val="28900D08"/>
    <w:rsid w:val="28C674EB"/>
    <w:rsid w:val="28E90CA0"/>
    <w:rsid w:val="291E506D"/>
    <w:rsid w:val="29342E3C"/>
    <w:rsid w:val="293B4753"/>
    <w:rsid w:val="297A2A12"/>
    <w:rsid w:val="29B44B42"/>
    <w:rsid w:val="2A057808"/>
    <w:rsid w:val="2A065846"/>
    <w:rsid w:val="2A2F4EA3"/>
    <w:rsid w:val="2A4804B5"/>
    <w:rsid w:val="2A8C77B7"/>
    <w:rsid w:val="2AD430D2"/>
    <w:rsid w:val="2AEA1BBA"/>
    <w:rsid w:val="2B312E4D"/>
    <w:rsid w:val="2B55516B"/>
    <w:rsid w:val="2B7650A5"/>
    <w:rsid w:val="2B9F60AD"/>
    <w:rsid w:val="2BA20CA2"/>
    <w:rsid w:val="2C0538AA"/>
    <w:rsid w:val="2C5764D4"/>
    <w:rsid w:val="2C6F6816"/>
    <w:rsid w:val="2C726A99"/>
    <w:rsid w:val="2C8625D2"/>
    <w:rsid w:val="2C9A2C7D"/>
    <w:rsid w:val="2CDB097E"/>
    <w:rsid w:val="2D2529D0"/>
    <w:rsid w:val="2D645E77"/>
    <w:rsid w:val="2D9430D5"/>
    <w:rsid w:val="2DB82C3D"/>
    <w:rsid w:val="2DC526A8"/>
    <w:rsid w:val="2E4E7255"/>
    <w:rsid w:val="2EAA7004"/>
    <w:rsid w:val="2EC05FBB"/>
    <w:rsid w:val="2F683374"/>
    <w:rsid w:val="2F89707B"/>
    <w:rsid w:val="2F9A6CD9"/>
    <w:rsid w:val="30393B50"/>
    <w:rsid w:val="3044650A"/>
    <w:rsid w:val="3067643D"/>
    <w:rsid w:val="309563F1"/>
    <w:rsid w:val="30C2066B"/>
    <w:rsid w:val="311C4D7D"/>
    <w:rsid w:val="319370D9"/>
    <w:rsid w:val="31986572"/>
    <w:rsid w:val="31B14EAA"/>
    <w:rsid w:val="3215144A"/>
    <w:rsid w:val="32650092"/>
    <w:rsid w:val="328A3B91"/>
    <w:rsid w:val="32A3775F"/>
    <w:rsid w:val="32B83360"/>
    <w:rsid w:val="32BE6558"/>
    <w:rsid w:val="333A653B"/>
    <w:rsid w:val="338A104D"/>
    <w:rsid w:val="33971990"/>
    <w:rsid w:val="33B24ABD"/>
    <w:rsid w:val="33D67C1D"/>
    <w:rsid w:val="3439117C"/>
    <w:rsid w:val="346D0631"/>
    <w:rsid w:val="348731B8"/>
    <w:rsid w:val="34DD3992"/>
    <w:rsid w:val="35201D3C"/>
    <w:rsid w:val="353337E1"/>
    <w:rsid w:val="3567689E"/>
    <w:rsid w:val="356F523C"/>
    <w:rsid w:val="358B4A3B"/>
    <w:rsid w:val="359205EE"/>
    <w:rsid w:val="35D44651"/>
    <w:rsid w:val="35EC13EC"/>
    <w:rsid w:val="363C7078"/>
    <w:rsid w:val="36504F3E"/>
    <w:rsid w:val="36C433B8"/>
    <w:rsid w:val="36C83C83"/>
    <w:rsid w:val="36D558A4"/>
    <w:rsid w:val="37CD29FF"/>
    <w:rsid w:val="380C46BF"/>
    <w:rsid w:val="382C4F02"/>
    <w:rsid w:val="38347173"/>
    <w:rsid w:val="384F554C"/>
    <w:rsid w:val="38AD193F"/>
    <w:rsid w:val="38C00430"/>
    <w:rsid w:val="39AF7FB8"/>
    <w:rsid w:val="39FE19AB"/>
    <w:rsid w:val="3A07700C"/>
    <w:rsid w:val="3A615B2E"/>
    <w:rsid w:val="3A710163"/>
    <w:rsid w:val="3A7377C9"/>
    <w:rsid w:val="3A7D171B"/>
    <w:rsid w:val="3AA85E02"/>
    <w:rsid w:val="3AB72092"/>
    <w:rsid w:val="3AE5314A"/>
    <w:rsid w:val="3BBE1672"/>
    <w:rsid w:val="3C1532E1"/>
    <w:rsid w:val="3C2B177C"/>
    <w:rsid w:val="3C5F60F0"/>
    <w:rsid w:val="3C975C4D"/>
    <w:rsid w:val="3CA4763B"/>
    <w:rsid w:val="3CF7504B"/>
    <w:rsid w:val="3D2D5BDE"/>
    <w:rsid w:val="3D871EE4"/>
    <w:rsid w:val="3DA748BA"/>
    <w:rsid w:val="3DD72D12"/>
    <w:rsid w:val="3DE51ADC"/>
    <w:rsid w:val="3DF0208C"/>
    <w:rsid w:val="3E333BD0"/>
    <w:rsid w:val="3E6E2041"/>
    <w:rsid w:val="3EE74DB1"/>
    <w:rsid w:val="3EF606BB"/>
    <w:rsid w:val="3FCA7E04"/>
    <w:rsid w:val="3FEB7052"/>
    <w:rsid w:val="40372F89"/>
    <w:rsid w:val="404C05A4"/>
    <w:rsid w:val="406F70E7"/>
    <w:rsid w:val="40851721"/>
    <w:rsid w:val="40C72B42"/>
    <w:rsid w:val="40E41ADE"/>
    <w:rsid w:val="41106A17"/>
    <w:rsid w:val="41176202"/>
    <w:rsid w:val="412D3E4B"/>
    <w:rsid w:val="41E35A88"/>
    <w:rsid w:val="4220278E"/>
    <w:rsid w:val="423B0BA7"/>
    <w:rsid w:val="42607108"/>
    <w:rsid w:val="427B0B5D"/>
    <w:rsid w:val="42926A38"/>
    <w:rsid w:val="42DA6293"/>
    <w:rsid w:val="430C6CFE"/>
    <w:rsid w:val="4325582E"/>
    <w:rsid w:val="434A262F"/>
    <w:rsid w:val="435B0D9D"/>
    <w:rsid w:val="437B23A6"/>
    <w:rsid w:val="43B25AA9"/>
    <w:rsid w:val="43C82933"/>
    <w:rsid w:val="43EF40A0"/>
    <w:rsid w:val="44376C39"/>
    <w:rsid w:val="44B40CF0"/>
    <w:rsid w:val="44E41C8F"/>
    <w:rsid w:val="45600D2F"/>
    <w:rsid w:val="45D17743"/>
    <w:rsid w:val="469B4496"/>
    <w:rsid w:val="46B2284E"/>
    <w:rsid w:val="46D23849"/>
    <w:rsid w:val="46D3237D"/>
    <w:rsid w:val="46ED71CA"/>
    <w:rsid w:val="470D7C40"/>
    <w:rsid w:val="471E3CA9"/>
    <w:rsid w:val="472958AF"/>
    <w:rsid w:val="479477F6"/>
    <w:rsid w:val="47964C25"/>
    <w:rsid w:val="47B6083B"/>
    <w:rsid w:val="47CF0780"/>
    <w:rsid w:val="47F071D7"/>
    <w:rsid w:val="47F307E1"/>
    <w:rsid w:val="482A7001"/>
    <w:rsid w:val="485A6377"/>
    <w:rsid w:val="485D3E7A"/>
    <w:rsid w:val="493C74FF"/>
    <w:rsid w:val="49A96FB8"/>
    <w:rsid w:val="49F43CAF"/>
    <w:rsid w:val="4A4355E7"/>
    <w:rsid w:val="4AB56742"/>
    <w:rsid w:val="4AC21A8E"/>
    <w:rsid w:val="4AC42497"/>
    <w:rsid w:val="4AE17B84"/>
    <w:rsid w:val="4B7466DD"/>
    <w:rsid w:val="4BAD36A2"/>
    <w:rsid w:val="4BBF6C42"/>
    <w:rsid w:val="4C094C98"/>
    <w:rsid w:val="4C1F6C9B"/>
    <w:rsid w:val="4C784F19"/>
    <w:rsid w:val="4C786AA5"/>
    <w:rsid w:val="4D086F06"/>
    <w:rsid w:val="4D0A0069"/>
    <w:rsid w:val="4DA8320A"/>
    <w:rsid w:val="4DC95EF2"/>
    <w:rsid w:val="4E154784"/>
    <w:rsid w:val="4E2E5EE9"/>
    <w:rsid w:val="4F6602F8"/>
    <w:rsid w:val="4FEA2FFB"/>
    <w:rsid w:val="50317B1E"/>
    <w:rsid w:val="504830AE"/>
    <w:rsid w:val="50A07F3C"/>
    <w:rsid w:val="50A530AB"/>
    <w:rsid w:val="50A77C21"/>
    <w:rsid w:val="50F543D4"/>
    <w:rsid w:val="50FB30C7"/>
    <w:rsid w:val="51390DB3"/>
    <w:rsid w:val="51C048D7"/>
    <w:rsid w:val="523B0B29"/>
    <w:rsid w:val="524E6722"/>
    <w:rsid w:val="529D458F"/>
    <w:rsid w:val="52B42115"/>
    <w:rsid w:val="52D21285"/>
    <w:rsid w:val="53047396"/>
    <w:rsid w:val="534F3890"/>
    <w:rsid w:val="53664888"/>
    <w:rsid w:val="53D04BAE"/>
    <w:rsid w:val="53F15854"/>
    <w:rsid w:val="5406684B"/>
    <w:rsid w:val="542F4BD3"/>
    <w:rsid w:val="54807B5E"/>
    <w:rsid w:val="548514F7"/>
    <w:rsid w:val="549050EC"/>
    <w:rsid w:val="54922787"/>
    <w:rsid w:val="549A59F6"/>
    <w:rsid w:val="54AF4F15"/>
    <w:rsid w:val="54E26454"/>
    <w:rsid w:val="54EB07A5"/>
    <w:rsid w:val="55280ABA"/>
    <w:rsid w:val="553013E0"/>
    <w:rsid w:val="55330D80"/>
    <w:rsid w:val="5536693A"/>
    <w:rsid w:val="55751B6B"/>
    <w:rsid w:val="55A94504"/>
    <w:rsid w:val="55C0576E"/>
    <w:rsid w:val="55C45F85"/>
    <w:rsid w:val="55F54E6B"/>
    <w:rsid w:val="56072AC7"/>
    <w:rsid w:val="56250404"/>
    <w:rsid w:val="56663696"/>
    <w:rsid w:val="56836083"/>
    <w:rsid w:val="569D5D7C"/>
    <w:rsid w:val="56A64889"/>
    <w:rsid w:val="56AE1062"/>
    <w:rsid w:val="56B87CFA"/>
    <w:rsid w:val="56D823AF"/>
    <w:rsid w:val="570D2A45"/>
    <w:rsid w:val="57651304"/>
    <w:rsid w:val="586554EE"/>
    <w:rsid w:val="588C5801"/>
    <w:rsid w:val="58AB7897"/>
    <w:rsid w:val="58C265AA"/>
    <w:rsid w:val="598D15C7"/>
    <w:rsid w:val="59C146E0"/>
    <w:rsid w:val="59D92415"/>
    <w:rsid w:val="5A101933"/>
    <w:rsid w:val="5A28029F"/>
    <w:rsid w:val="5A4D33C8"/>
    <w:rsid w:val="5A716433"/>
    <w:rsid w:val="5A75460C"/>
    <w:rsid w:val="5A9344FF"/>
    <w:rsid w:val="5AAF7CD9"/>
    <w:rsid w:val="5ADC433A"/>
    <w:rsid w:val="5AF1415B"/>
    <w:rsid w:val="5B4F6E79"/>
    <w:rsid w:val="5B592BEB"/>
    <w:rsid w:val="5B791CE4"/>
    <w:rsid w:val="5BB730B8"/>
    <w:rsid w:val="5BEF1B2D"/>
    <w:rsid w:val="5C486C75"/>
    <w:rsid w:val="5C837E1E"/>
    <w:rsid w:val="5C9254BD"/>
    <w:rsid w:val="5CA628C8"/>
    <w:rsid w:val="5CF32762"/>
    <w:rsid w:val="5D6D2597"/>
    <w:rsid w:val="5E435F28"/>
    <w:rsid w:val="5E7C0664"/>
    <w:rsid w:val="5EAC57C3"/>
    <w:rsid w:val="5EBE3A82"/>
    <w:rsid w:val="5EC129BD"/>
    <w:rsid w:val="5EEF6A09"/>
    <w:rsid w:val="5F210728"/>
    <w:rsid w:val="5F3A7704"/>
    <w:rsid w:val="60291AAB"/>
    <w:rsid w:val="60453FC9"/>
    <w:rsid w:val="6065432F"/>
    <w:rsid w:val="607C0549"/>
    <w:rsid w:val="608766E7"/>
    <w:rsid w:val="60BA7CAE"/>
    <w:rsid w:val="60F91BB8"/>
    <w:rsid w:val="62144C8A"/>
    <w:rsid w:val="62264AE0"/>
    <w:rsid w:val="62C40690"/>
    <w:rsid w:val="62CC243A"/>
    <w:rsid w:val="62F777B4"/>
    <w:rsid w:val="63116745"/>
    <w:rsid w:val="63BB5C7D"/>
    <w:rsid w:val="63BC1FEE"/>
    <w:rsid w:val="63BE3427"/>
    <w:rsid w:val="63CF6F8F"/>
    <w:rsid w:val="63D3446E"/>
    <w:rsid w:val="645675AC"/>
    <w:rsid w:val="647B2A29"/>
    <w:rsid w:val="64CB362A"/>
    <w:rsid w:val="64E56845"/>
    <w:rsid w:val="65596C2E"/>
    <w:rsid w:val="65B932BA"/>
    <w:rsid w:val="65F30737"/>
    <w:rsid w:val="65F76A6B"/>
    <w:rsid w:val="6602263F"/>
    <w:rsid w:val="668B535A"/>
    <w:rsid w:val="66A40728"/>
    <w:rsid w:val="66FA7F51"/>
    <w:rsid w:val="67062431"/>
    <w:rsid w:val="6711072B"/>
    <w:rsid w:val="67324295"/>
    <w:rsid w:val="67847ED3"/>
    <w:rsid w:val="67A21BE8"/>
    <w:rsid w:val="67CA661D"/>
    <w:rsid w:val="682123F9"/>
    <w:rsid w:val="68275BE8"/>
    <w:rsid w:val="68547840"/>
    <w:rsid w:val="68F4703C"/>
    <w:rsid w:val="69562750"/>
    <w:rsid w:val="69600362"/>
    <w:rsid w:val="69794878"/>
    <w:rsid w:val="699A749F"/>
    <w:rsid w:val="69B64A82"/>
    <w:rsid w:val="6A4B06C7"/>
    <w:rsid w:val="6A6F0B1B"/>
    <w:rsid w:val="6AC006B4"/>
    <w:rsid w:val="6B58283A"/>
    <w:rsid w:val="6BC25EFB"/>
    <w:rsid w:val="6C090EBF"/>
    <w:rsid w:val="6C3748B3"/>
    <w:rsid w:val="6C627A8E"/>
    <w:rsid w:val="6D322722"/>
    <w:rsid w:val="6DC437D9"/>
    <w:rsid w:val="6DE152F3"/>
    <w:rsid w:val="6E127B82"/>
    <w:rsid w:val="6E6806C9"/>
    <w:rsid w:val="6EA300CB"/>
    <w:rsid w:val="6F717187"/>
    <w:rsid w:val="6F7226B3"/>
    <w:rsid w:val="6F8C0475"/>
    <w:rsid w:val="6FAD71C5"/>
    <w:rsid w:val="70C425B2"/>
    <w:rsid w:val="70CC1B1D"/>
    <w:rsid w:val="711C4BCD"/>
    <w:rsid w:val="713E22B8"/>
    <w:rsid w:val="715E247F"/>
    <w:rsid w:val="71914AE4"/>
    <w:rsid w:val="71CD3C9E"/>
    <w:rsid w:val="7225118C"/>
    <w:rsid w:val="722D2D27"/>
    <w:rsid w:val="726D72BC"/>
    <w:rsid w:val="72913B38"/>
    <w:rsid w:val="7349675B"/>
    <w:rsid w:val="734D5377"/>
    <w:rsid w:val="73B85D18"/>
    <w:rsid w:val="74F43136"/>
    <w:rsid w:val="75500314"/>
    <w:rsid w:val="75683C3A"/>
    <w:rsid w:val="759D7D1A"/>
    <w:rsid w:val="75AC40DA"/>
    <w:rsid w:val="75E14F99"/>
    <w:rsid w:val="75F96433"/>
    <w:rsid w:val="766E6460"/>
    <w:rsid w:val="7673447F"/>
    <w:rsid w:val="76D213DD"/>
    <w:rsid w:val="76D21E2C"/>
    <w:rsid w:val="76DB707E"/>
    <w:rsid w:val="76E06456"/>
    <w:rsid w:val="77135F2D"/>
    <w:rsid w:val="771B3DD3"/>
    <w:rsid w:val="775A0222"/>
    <w:rsid w:val="778D3707"/>
    <w:rsid w:val="77FF1ADD"/>
    <w:rsid w:val="783B37F1"/>
    <w:rsid w:val="785259AB"/>
    <w:rsid w:val="786655B1"/>
    <w:rsid w:val="78882EE0"/>
    <w:rsid w:val="78A6359C"/>
    <w:rsid w:val="7A324FE6"/>
    <w:rsid w:val="7A591C20"/>
    <w:rsid w:val="7A7568A6"/>
    <w:rsid w:val="7A7766C4"/>
    <w:rsid w:val="7AB64870"/>
    <w:rsid w:val="7AFC5DA9"/>
    <w:rsid w:val="7B3318C9"/>
    <w:rsid w:val="7B515CB9"/>
    <w:rsid w:val="7BB45D9D"/>
    <w:rsid w:val="7BE546A4"/>
    <w:rsid w:val="7C223035"/>
    <w:rsid w:val="7C4361B9"/>
    <w:rsid w:val="7C51556F"/>
    <w:rsid w:val="7C52392B"/>
    <w:rsid w:val="7C572232"/>
    <w:rsid w:val="7C660475"/>
    <w:rsid w:val="7C971DFD"/>
    <w:rsid w:val="7CE1385C"/>
    <w:rsid w:val="7D2F7B2D"/>
    <w:rsid w:val="7E0D58FA"/>
    <w:rsid w:val="7E231689"/>
    <w:rsid w:val="7E6C290C"/>
    <w:rsid w:val="7E7E1112"/>
    <w:rsid w:val="7EBA5D6C"/>
    <w:rsid w:val="7F861B26"/>
    <w:rsid w:val="7FB47B7E"/>
    <w:rsid w:val="7FED6ACC"/>
    <w:rsid w:val="967FA94B"/>
    <w:rsid w:val="E9DF97DB"/>
    <w:rsid w:val="F9ED1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pPr>
    <w:rPr>
      <w:rFonts w:ascii="Times New Roman" w:hAnsi="Times New Roman" w:eastAsia="仿宋" w:cs="Times New Roman"/>
      <w:sz w:val="32"/>
      <w:szCs w:val="18"/>
      <w:lang w:val="en-US" w:eastAsia="zh-CN" w:bidi="ar-SA"/>
    </w:rPr>
  </w:style>
  <w:style w:type="paragraph" w:styleId="4">
    <w:name w:val="heading 1"/>
    <w:basedOn w:val="1"/>
    <w:next w:val="1"/>
    <w:link w:val="24"/>
    <w:qFormat/>
    <w:uiPriority w:val="9"/>
    <w:pPr>
      <w:keepNext/>
      <w:keepLines/>
      <w:jc w:val="center"/>
      <w:outlineLvl w:val="0"/>
    </w:pPr>
    <w:rPr>
      <w:rFonts w:eastAsia="宋体"/>
      <w:b/>
      <w:bCs/>
      <w:kern w:val="44"/>
      <w:sz w:val="36"/>
      <w:szCs w:val="44"/>
    </w:rPr>
  </w:style>
  <w:style w:type="paragraph" w:styleId="5">
    <w:name w:val="heading 2"/>
    <w:basedOn w:val="1"/>
    <w:next w:val="1"/>
    <w:link w:val="25"/>
    <w:unhideWhenUsed/>
    <w:qFormat/>
    <w:uiPriority w:val="9"/>
    <w:pPr>
      <w:keepNext/>
      <w:keepLines/>
      <w:jc w:val="center"/>
      <w:outlineLvl w:val="1"/>
    </w:pPr>
    <w:rPr>
      <w:rFonts w:eastAsia="新宋体" w:asciiTheme="majorHAnsi" w:hAnsiTheme="majorHAnsi" w:cstheme="majorBidi"/>
      <w:b/>
      <w:bCs/>
      <w:szCs w:val="32"/>
    </w:rPr>
  </w:style>
  <w:style w:type="paragraph" w:styleId="6">
    <w:name w:val="heading 3"/>
    <w:basedOn w:val="1"/>
    <w:next w:val="1"/>
    <w:link w:val="26"/>
    <w:unhideWhenUsed/>
    <w:qFormat/>
    <w:uiPriority w:val="9"/>
    <w:pPr>
      <w:keepNext/>
      <w:keepLines/>
      <w:ind w:left="200" w:leftChars="200"/>
      <w:outlineLvl w:val="2"/>
    </w:pPr>
    <w:rPr>
      <w:b/>
      <w:bCs/>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firstLine="600"/>
    </w:pPr>
    <w:rPr>
      <w:sz w:val="30"/>
    </w:rPr>
  </w:style>
  <w:style w:type="paragraph" w:styleId="7">
    <w:name w:val="annotation text"/>
    <w:basedOn w:val="1"/>
    <w:link w:val="28"/>
    <w:semiHidden/>
    <w:unhideWhenUsed/>
    <w:qFormat/>
    <w:uiPriority w:val="99"/>
    <w:pPr>
      <w:jc w:val="left"/>
    </w:pPr>
  </w:style>
  <w:style w:type="paragraph" w:styleId="8">
    <w:name w:val="Balloon Text"/>
    <w:basedOn w:val="1"/>
    <w:link w:val="27"/>
    <w:semiHidden/>
    <w:unhideWhenUsed/>
    <w:qFormat/>
    <w:uiPriority w:val="99"/>
    <w:pPr>
      <w:spacing w:line="240" w:lineRule="auto"/>
    </w:pPr>
    <w:rPr>
      <w:sz w:val="18"/>
    </w:rPr>
  </w:style>
  <w:style w:type="paragraph" w:styleId="9">
    <w:name w:val="footer"/>
    <w:basedOn w:val="1"/>
    <w:link w:val="23"/>
    <w:unhideWhenUsed/>
    <w:qFormat/>
    <w:uiPriority w:val="99"/>
    <w:pPr>
      <w:tabs>
        <w:tab w:val="center" w:pos="4153"/>
        <w:tab w:val="right" w:pos="8306"/>
      </w:tabs>
      <w:snapToGrid w:val="0"/>
      <w:spacing w:line="240" w:lineRule="auto"/>
      <w:jc w:val="left"/>
    </w:pPr>
    <w:rPr>
      <w:sz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spacing w:line="240" w:lineRule="auto"/>
      <w:jc w:val="center"/>
    </w:pPr>
    <w:rPr>
      <w:sz w:val="18"/>
    </w:rPr>
  </w:style>
  <w:style w:type="paragraph" w:styleId="11">
    <w:name w:val="toc 1"/>
    <w:basedOn w:val="1"/>
    <w:next w:val="1"/>
    <w:unhideWhenUsed/>
    <w:qFormat/>
    <w:uiPriority w:val="39"/>
    <w:pPr>
      <w:tabs>
        <w:tab w:val="right" w:leader="dot" w:pos="8296"/>
      </w:tabs>
      <w:jc w:val="center"/>
    </w:pPr>
    <w:rPr>
      <w:rFonts w:ascii="黑体" w:hAnsi="黑体" w:eastAsia="黑体"/>
      <w:b/>
      <w:bCs/>
      <w:szCs w:val="21"/>
    </w:rPr>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pPr>
      <w:spacing w:beforeAutospacing="1" w:afterAutospacing="1"/>
      <w:jc w:val="left"/>
    </w:pPr>
    <w:rPr>
      <w:sz w:val="24"/>
    </w:rPr>
  </w:style>
  <w:style w:type="paragraph" w:styleId="14">
    <w:name w:val="annotation subject"/>
    <w:basedOn w:val="7"/>
    <w:next w:val="7"/>
    <w:link w:val="29"/>
    <w:semiHidden/>
    <w:unhideWhenUsed/>
    <w:qFormat/>
    <w:uiPriority w:val="99"/>
    <w:rPr>
      <w:b/>
      <w:bCs/>
    </w:rPr>
  </w:style>
  <w:style w:type="character" w:styleId="17">
    <w:name w:val="Strong"/>
    <w:basedOn w:val="16"/>
    <w:qFormat/>
    <w:uiPriority w:val="22"/>
    <w:rPr>
      <w:b/>
    </w:rPr>
  </w:style>
  <w:style w:type="character" w:styleId="18">
    <w:name w:val="FollowedHyperlink"/>
    <w:basedOn w:val="16"/>
    <w:semiHidden/>
    <w:unhideWhenUsed/>
    <w:qFormat/>
    <w:uiPriority w:val="99"/>
    <w:rPr>
      <w:color w:val="000000"/>
      <w:u w:val="none"/>
    </w:rPr>
  </w:style>
  <w:style w:type="character" w:styleId="19">
    <w:name w:val="Emphasis"/>
    <w:basedOn w:val="16"/>
    <w:qFormat/>
    <w:uiPriority w:val="20"/>
    <w:rPr>
      <w:i/>
    </w:rPr>
  </w:style>
  <w:style w:type="character" w:styleId="20">
    <w:name w:val="Hyperlink"/>
    <w:basedOn w:val="16"/>
    <w:unhideWhenUsed/>
    <w:qFormat/>
    <w:uiPriority w:val="99"/>
    <w:rPr>
      <w:color w:val="0563C1" w:themeColor="hyperlink"/>
      <w:u w:val="single"/>
      <w14:textFill>
        <w14:solidFill>
          <w14:schemeClr w14:val="hlink"/>
        </w14:solidFill>
      </w14:textFill>
    </w:rPr>
  </w:style>
  <w:style w:type="character" w:styleId="21">
    <w:name w:val="annotation reference"/>
    <w:qFormat/>
    <w:uiPriority w:val="0"/>
    <w:rPr>
      <w:sz w:val="21"/>
      <w:szCs w:val="21"/>
    </w:rPr>
  </w:style>
  <w:style w:type="character" w:customStyle="1" w:styleId="22">
    <w:name w:val="页眉 Char"/>
    <w:basedOn w:val="16"/>
    <w:link w:val="10"/>
    <w:qFormat/>
    <w:uiPriority w:val="99"/>
    <w:rPr>
      <w:sz w:val="18"/>
    </w:rPr>
  </w:style>
  <w:style w:type="character" w:customStyle="1" w:styleId="23">
    <w:name w:val="页脚 Char"/>
    <w:basedOn w:val="16"/>
    <w:link w:val="9"/>
    <w:qFormat/>
    <w:uiPriority w:val="99"/>
    <w:rPr>
      <w:sz w:val="18"/>
    </w:rPr>
  </w:style>
  <w:style w:type="character" w:customStyle="1" w:styleId="24">
    <w:name w:val="标题 1 Char"/>
    <w:basedOn w:val="16"/>
    <w:link w:val="4"/>
    <w:qFormat/>
    <w:uiPriority w:val="9"/>
    <w:rPr>
      <w:rFonts w:ascii="Times New Roman" w:hAnsi="Times New Roman" w:eastAsia="宋体"/>
      <w:b/>
      <w:bCs/>
      <w:kern w:val="44"/>
      <w:sz w:val="36"/>
      <w:szCs w:val="44"/>
    </w:rPr>
  </w:style>
  <w:style w:type="character" w:customStyle="1" w:styleId="25">
    <w:name w:val="标题 2 Char"/>
    <w:basedOn w:val="16"/>
    <w:link w:val="5"/>
    <w:qFormat/>
    <w:uiPriority w:val="9"/>
    <w:rPr>
      <w:rFonts w:eastAsia="新宋体" w:asciiTheme="majorHAnsi" w:hAnsiTheme="majorHAnsi" w:cstheme="majorBidi"/>
      <w:b/>
      <w:bCs/>
      <w:sz w:val="32"/>
      <w:szCs w:val="32"/>
    </w:rPr>
  </w:style>
  <w:style w:type="character" w:customStyle="1" w:styleId="26">
    <w:name w:val="标题 3 Char"/>
    <w:basedOn w:val="16"/>
    <w:link w:val="6"/>
    <w:qFormat/>
    <w:uiPriority w:val="9"/>
    <w:rPr>
      <w:rFonts w:eastAsia="仿宋"/>
      <w:b/>
      <w:bCs/>
      <w:sz w:val="32"/>
      <w:szCs w:val="32"/>
    </w:rPr>
  </w:style>
  <w:style w:type="character" w:customStyle="1" w:styleId="27">
    <w:name w:val="批注框文本 Char"/>
    <w:basedOn w:val="16"/>
    <w:link w:val="8"/>
    <w:semiHidden/>
    <w:qFormat/>
    <w:uiPriority w:val="99"/>
    <w:rPr>
      <w:rFonts w:eastAsia="仿宋"/>
      <w:sz w:val="18"/>
      <w:szCs w:val="18"/>
    </w:rPr>
  </w:style>
  <w:style w:type="character" w:customStyle="1" w:styleId="28">
    <w:name w:val="批注文字 Char"/>
    <w:basedOn w:val="16"/>
    <w:link w:val="7"/>
    <w:semiHidden/>
    <w:qFormat/>
    <w:uiPriority w:val="99"/>
    <w:rPr>
      <w:rFonts w:ascii="Times New Roman" w:hAnsi="Times New Roman" w:eastAsia="仿宋"/>
      <w:sz w:val="32"/>
      <w:szCs w:val="18"/>
    </w:rPr>
  </w:style>
  <w:style w:type="character" w:customStyle="1" w:styleId="29">
    <w:name w:val="批注主题 Char"/>
    <w:basedOn w:val="28"/>
    <w:link w:val="14"/>
    <w:semiHidden/>
    <w:qFormat/>
    <w:uiPriority w:val="99"/>
    <w:rPr>
      <w:rFonts w:ascii="Times New Roman" w:hAnsi="Times New Roman" w:eastAsia="仿宋"/>
      <w:b/>
      <w:bCs/>
      <w:sz w:val="32"/>
      <w:szCs w:val="18"/>
    </w:rPr>
  </w:style>
  <w:style w:type="table" w:customStyle="1" w:styleId="30">
    <w:name w:val="网格型3"/>
    <w:basedOn w:val="1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2"/>
    <w:basedOn w:val="1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B219F2-A618-464E-9FF7-0E43F13B337C}">
  <ds:schemaRefs/>
</ds:datastoreItem>
</file>

<file path=docProps/app.xml><?xml version="1.0" encoding="utf-8"?>
<Properties xmlns="http://schemas.openxmlformats.org/officeDocument/2006/extended-properties" xmlns:vt="http://schemas.openxmlformats.org/officeDocument/2006/docPropsVTypes">
  <Template>Normal</Template>
  <Pages>55</Pages>
  <Words>4489</Words>
  <Characters>25590</Characters>
  <Lines>213</Lines>
  <Paragraphs>60</Paragraphs>
  <TotalTime>9</TotalTime>
  <ScaleCrop>false</ScaleCrop>
  <LinksUpToDate>false</LinksUpToDate>
  <CharactersWithSpaces>30019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2020-11-18T06:37:00Z</dcterms:created>
  <dc:creator>二静静</dc:creator>
  <cp:lastModifiedBy>二静静</cp:lastModifiedBy>
  <cp:lastPrinted>2020-08-20T08:09:00Z</cp:lastPrinted>
  <dcterms:modified xsi:type="dcterms:W3CDTF">2021-02-01T01:01:12Z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