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0" w:firstLineChars="0"/>
        <w:jc w:val="center"/>
        <w:textAlignment w:val="center"/>
        <w:rPr>
          <w:rFonts w:hint="eastAsia" w:ascii="方正小标宋简体" w:hAnsi="方正小标宋简体" w:eastAsia="方正小标宋简体" w:cs="方正小标宋简体"/>
          <w:sz w:val="48"/>
          <w:szCs w:val="48"/>
          <w:lang w:eastAsia="zh-CN"/>
        </w:rPr>
      </w:pPr>
    </w:p>
    <w:p>
      <w:pPr>
        <w:widowControl/>
        <w:adjustRightInd w:val="0"/>
        <w:snapToGrid w:val="0"/>
        <w:spacing w:line="360" w:lineRule="auto"/>
        <w:ind w:firstLine="0" w:firstLineChars="0"/>
        <w:jc w:val="center"/>
        <w:textAlignment w:val="center"/>
        <w:rPr>
          <w:rFonts w:hint="eastAsia" w:ascii="方正小标宋简体" w:hAnsi="方正小标宋简体" w:eastAsia="方正小标宋简体" w:cs="方正小标宋简体"/>
          <w:sz w:val="48"/>
          <w:szCs w:val="48"/>
          <w:lang w:eastAsia="zh-CN"/>
        </w:rPr>
      </w:pPr>
    </w:p>
    <w:p>
      <w:pPr>
        <w:widowControl/>
        <w:adjustRightInd w:val="0"/>
        <w:snapToGrid w:val="0"/>
        <w:spacing w:line="360" w:lineRule="auto"/>
        <w:ind w:firstLine="0" w:firstLineChars="0"/>
        <w:jc w:val="center"/>
        <w:textAlignment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天津市</w:t>
      </w:r>
      <w:r>
        <w:rPr>
          <w:rFonts w:hint="eastAsia" w:ascii="方正小标宋简体" w:hAnsi="方正小标宋简体" w:eastAsia="方正小标宋简体" w:cs="方正小标宋简体"/>
          <w:sz w:val="48"/>
          <w:szCs w:val="48"/>
        </w:rPr>
        <w:t>北辰区社会信用体系建设</w:t>
      </w:r>
    </w:p>
    <w:p>
      <w:pPr>
        <w:widowControl/>
        <w:adjustRightInd w:val="0"/>
        <w:snapToGrid w:val="0"/>
        <w:spacing w:line="360" w:lineRule="auto"/>
        <w:ind w:firstLine="0" w:firstLineChars="0"/>
        <w:jc w:val="center"/>
        <w:textAlignment w:val="center"/>
        <w:rPr>
          <w:rFonts w:hint="default" w:ascii="Times New Roman" w:hAnsi="Times New Roman" w:eastAsia="楷体" w:cs="Times New Roman"/>
          <w:sz w:val="48"/>
          <w:szCs w:val="48"/>
          <w:lang w:val="en-US" w:eastAsia="zh-CN"/>
        </w:rPr>
      </w:pP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rPr>
        <w:t>十四五</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rPr>
        <w:t>规划</w:t>
      </w: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both"/>
        <w:rPr>
          <w:rFonts w:ascii="Times New Roman" w:hAnsi="Times New Roman" w:eastAsia="楷体" w:cs="Times New Roman"/>
          <w:sz w:val="36"/>
        </w:rPr>
      </w:pPr>
    </w:p>
    <w:p>
      <w:pPr>
        <w:widowControl/>
        <w:ind w:firstLine="0" w:firstLineChars="0"/>
        <w:jc w:val="both"/>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center"/>
        <w:rPr>
          <w:rFonts w:ascii="Times New Roman" w:hAnsi="Times New Roman" w:eastAsia="楷体" w:cs="Times New Roman"/>
          <w:sz w:val="36"/>
        </w:rPr>
      </w:pPr>
    </w:p>
    <w:p>
      <w:pPr>
        <w:widowControl/>
        <w:ind w:firstLine="0" w:firstLineChars="0"/>
        <w:jc w:val="both"/>
        <w:rPr>
          <w:rFonts w:ascii="Times New Roman" w:hAnsi="Times New Roman" w:eastAsia="楷体" w:cs="Times New Roman"/>
          <w:sz w:val="36"/>
        </w:rPr>
      </w:pPr>
    </w:p>
    <w:p>
      <w:pPr>
        <w:widowControl/>
        <w:ind w:firstLine="0" w:firstLineChars="0"/>
        <w:jc w:val="both"/>
        <w:rPr>
          <w:rFonts w:ascii="Times New Roman" w:hAnsi="Times New Roman" w:eastAsia="楷体" w:cs="Times New Roman"/>
          <w:sz w:val="36"/>
        </w:rPr>
      </w:pPr>
    </w:p>
    <w:p>
      <w:pPr>
        <w:widowControl/>
        <w:adjustRightInd w:val="0"/>
        <w:snapToGrid w:val="0"/>
        <w:spacing w:line="600" w:lineRule="exact"/>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北辰区发展和改革委员会</w:t>
      </w:r>
    </w:p>
    <w:p>
      <w:pPr>
        <w:widowControl/>
        <w:adjustRightInd w:val="0"/>
        <w:snapToGrid w:val="0"/>
        <w:spacing w:line="600" w:lineRule="exact"/>
        <w:ind w:firstLine="0" w:firstLineChars="0"/>
        <w:jc w:val="center"/>
        <w:rPr>
          <w:rFonts w:hint="eastAsia" w:ascii="楷体_GB2312" w:hAnsi="楷体_GB2312" w:eastAsia="楷体_GB2312" w:cs="楷体_GB2312"/>
        </w:rPr>
      </w:pPr>
      <w:r>
        <w:rPr>
          <w:rFonts w:hint="eastAsia" w:ascii="楷体_GB2312" w:hAnsi="楷体_GB2312" w:eastAsia="楷体_GB2312" w:cs="楷体_GB2312"/>
          <w:sz w:val="32"/>
          <w:szCs w:val="32"/>
        </w:rPr>
        <w:t>2020年12月</w:t>
      </w:r>
    </w:p>
    <w:p>
      <w:pPr>
        <w:spacing w:line="600" w:lineRule="exact"/>
        <w:ind w:firstLine="0" w:firstLineChars="0"/>
        <w:rPr>
          <w:lang w:val="zh-CN"/>
        </w:rPr>
      </w:pPr>
    </w:p>
    <w:p>
      <w:pPr>
        <w:spacing w:line="600" w:lineRule="exact"/>
        <w:ind w:firstLine="0" w:firstLineChars="0"/>
        <w:rPr>
          <w:lang w:val="zh-CN"/>
        </w:rPr>
      </w:pPr>
    </w:p>
    <w:p>
      <w:pPr>
        <w:spacing w:line="600" w:lineRule="exact"/>
        <w:ind w:firstLine="0" w:firstLineChars="0"/>
        <w:rPr>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2041" w:right="1559" w:bottom="1701" w:left="1559" w:header="851" w:footer="992" w:gutter="0"/>
          <w:pgNumType w:fmt="numberInDash"/>
          <w:cols w:space="0" w:num="1"/>
          <w:rtlGutter w:val="0"/>
          <w:docGrid w:type="lines" w:linePitch="436" w:charSpace="0"/>
        </w:sectPr>
      </w:pPr>
    </w:p>
    <w:sdt>
      <w:sdtPr>
        <w:rPr>
          <w:rFonts w:ascii="Times New Roman" w:hAnsi="Times New Roman" w:eastAsia="仿宋" w:cs="Times New Roman"/>
          <w:color w:val="auto"/>
          <w:kern w:val="2"/>
          <w:szCs w:val="22"/>
          <w:lang w:val="zh-CN"/>
        </w:rPr>
        <w:id w:val="1253628165"/>
        <w:docPartObj>
          <w:docPartGallery w:val="Table of Contents"/>
          <w:docPartUnique/>
        </w:docPartObj>
      </w:sdtPr>
      <w:sdtEndPr>
        <w:rPr>
          <w:rFonts w:ascii="Times New Roman" w:hAnsi="Times New Roman" w:eastAsia="仿宋" w:cs="Times New Roman"/>
          <w:b/>
          <w:bCs/>
          <w:color w:val="auto"/>
          <w:kern w:val="2"/>
          <w:szCs w:val="22"/>
          <w:lang w:val="zh-CN"/>
        </w:rPr>
      </w:sdtEndPr>
      <w:sdtContent>
        <w:p>
          <w:pPr>
            <w:pStyle w:val="26"/>
            <w:adjustRightInd w:val="0"/>
            <w:snapToGrid w:val="0"/>
            <w:spacing w:line="600" w:lineRule="exact"/>
            <w:jc w:val="center"/>
            <w:rPr>
              <w:rFonts w:hint="eastAsia" w:ascii="方正小标宋简体" w:hAnsi="方正小标宋简体" w:eastAsia="方正小标宋简体" w:cs="方正小标宋简体"/>
              <w:bCs/>
              <w:color w:val="auto"/>
              <w:sz w:val="44"/>
              <w:szCs w:val="44"/>
              <w:lang w:val="zh-CN"/>
            </w:rPr>
          </w:pPr>
          <w:r>
            <w:rPr>
              <w:rFonts w:hint="eastAsia" w:ascii="方正小标宋简体" w:hAnsi="方正小标宋简体" w:eastAsia="方正小标宋简体" w:cs="方正小标宋简体"/>
              <w:b w:val="0"/>
              <w:bCs/>
              <w:color w:val="auto"/>
              <w:sz w:val="44"/>
              <w:szCs w:val="44"/>
              <w:lang w:val="zh-CN"/>
            </w:rPr>
            <w:t>目</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val="zh-CN"/>
            </w:rPr>
            <w:t>录</w:t>
          </w:r>
        </w:p>
        <w:p>
          <w:pPr>
            <w:ind w:firstLine="640"/>
            <w:rPr>
              <w:rFonts w:ascii="Times New Roman" w:hAnsi="Times New Roman" w:cs="Times New Roman"/>
              <w:lang w:val="zh-CN"/>
            </w:rPr>
          </w:pPr>
        </w:p>
        <w:p>
          <w:pPr>
            <w:pStyle w:val="10"/>
            <w:tabs>
              <w:tab w:val="right" w:leader="dot" w:pos="8306"/>
              <w:tab w:val="clear" w:pos="8296"/>
            </w:tabs>
            <w:adjustRightInd w:val="0"/>
            <w:snapToGrid w:val="0"/>
            <w:spacing w:line="600" w:lineRule="exact"/>
            <w:ind w:firstLine="0" w:firstLineChars="0"/>
            <w:rPr>
              <w:rFonts w:hint="eastAsia" w:eastAsia="黑体"/>
              <w:lang w:eastAsia="zh-C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_Toc30359 </w:instrText>
          </w:r>
          <w:r>
            <w:rPr>
              <w:rFonts w:hint="eastAsia" w:ascii="黑体" w:hAnsi="黑体" w:cs="黑体"/>
              <w:bCs/>
              <w:sz w:val="28"/>
              <w:szCs w:val="28"/>
              <w:lang w:val="zh-CN"/>
            </w:rPr>
            <w:fldChar w:fldCharType="separate"/>
          </w:r>
          <w:r>
            <w:rPr>
              <w:rFonts w:hint="eastAsia" w:ascii="黑体" w:hAnsi="黑体" w:eastAsia="黑体" w:cs="黑体"/>
              <w:sz w:val="28"/>
              <w:szCs w:val="28"/>
            </w:rPr>
            <w:t>一</w:t>
          </w:r>
          <w:r>
            <w:rPr>
              <w:rFonts w:hint="eastAsia" w:cs="黑体"/>
              <w:sz w:val="28"/>
              <w:szCs w:val="28"/>
              <w:lang w:eastAsia="zh-CN"/>
            </w:rPr>
            <w:t>、</w:t>
          </w:r>
          <w:r>
            <w:rPr>
              <w:rFonts w:hint="eastAsia" w:ascii="黑体" w:hAnsi="黑体" w:eastAsia="黑体" w:cs="黑体"/>
              <w:sz w:val="28"/>
              <w:szCs w:val="28"/>
            </w:rPr>
            <w:t>发展基础和形势</w:t>
          </w:r>
          <w:r>
            <w:rPr>
              <w:rFonts w:hint="eastAsia" w:cs="黑体"/>
              <w:sz w:val="28"/>
              <w:szCs w:val="28"/>
            </w:rPr>
            <w:tab/>
          </w:r>
          <w:r>
            <w:rPr>
              <w:rFonts w:hint="eastAsia" w:ascii="黑体" w:hAnsi="黑体" w:cs="黑体"/>
              <w:bCs/>
              <w:sz w:val="28"/>
              <w:szCs w:val="28"/>
              <w:lang w:val="zh-CN"/>
            </w:rPr>
            <w:fldChar w:fldCharType="end"/>
          </w:r>
          <w:r>
            <w:rPr>
              <w:rFonts w:hint="default" w:ascii="Times New Roman" w:hAnsi="Times New Roman" w:cs="Times New Roman"/>
              <w:bCs/>
              <w:sz w:val="28"/>
              <w:szCs w:val="28"/>
              <w:lang w:val="en-US" w:eastAsia="zh-CN"/>
            </w:rPr>
            <w:t>1</w:t>
          </w:r>
        </w:p>
        <w:p>
          <w:pPr>
            <w:pStyle w:val="11"/>
            <w:tabs>
              <w:tab w:val="right" w:leader="dot" w:pos="8306"/>
            </w:tabs>
            <w:adjustRightInd w:val="0"/>
            <w:snapToGrid w:val="0"/>
            <w:spacing w:line="600" w:lineRule="exact"/>
            <w:ind w:left="640" w:leftChars="200" w:firstLine="0" w:firstLineChars="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_Toc13534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rPr>
            <w:t>（一）发展基础</w:t>
          </w:r>
          <w:r>
            <w:rPr>
              <w:rFonts w:hint="eastAsia" w:ascii="楷体_GB2312" w:hAnsi="楷体_GB2312" w:eastAsia="楷体_GB2312" w:cs="楷体_GB2312"/>
              <w:b w:val="0"/>
              <w:bCs/>
              <w:sz w:val="28"/>
              <w:szCs w:val="28"/>
            </w:rPr>
            <w:tab/>
          </w:r>
          <w:r>
            <w:rPr>
              <w:rFonts w:hint="eastAsia" w:ascii="楷体_GB2312" w:hAnsi="楷体_GB2312" w:eastAsia="楷体_GB2312" w:cs="楷体_GB2312"/>
              <w:b w:val="0"/>
              <w:bCs/>
              <w:sz w:val="28"/>
              <w:szCs w:val="28"/>
              <w:lang w:val="zh-CN"/>
            </w:rPr>
            <w:fldChar w:fldCharType="end"/>
          </w:r>
          <w:r>
            <w:rPr>
              <w:rFonts w:hint="default" w:ascii="Times New Roman" w:hAnsi="Times New Roman" w:eastAsia="黑体" w:cs="Times New Roman"/>
              <w:b w:val="0"/>
              <w:bCs/>
              <w:sz w:val="28"/>
              <w:szCs w:val="28"/>
              <w:lang w:val="en-US" w:eastAsia="zh-CN"/>
            </w:rPr>
            <w:t>1</w:t>
          </w:r>
        </w:p>
        <w:p>
          <w:pPr>
            <w:pStyle w:val="11"/>
            <w:tabs>
              <w:tab w:val="right" w:leader="dot" w:pos="8306"/>
            </w:tabs>
            <w:adjustRightInd w:val="0"/>
            <w:snapToGrid w:val="0"/>
            <w:spacing w:line="600" w:lineRule="exact"/>
            <w:ind w:left="640" w:leftChars="200" w:firstLine="0" w:firstLineChars="0"/>
            <w:rPr>
              <w:rFonts w:hint="eastAsia" w:eastAsia="楷体_GB2312"/>
              <w:lang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_Toc11896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rPr>
            <w:t>（二）面临形势</w:t>
          </w:r>
          <w:r>
            <w:rPr>
              <w:rFonts w:hint="eastAsia" w:ascii="楷体_GB2312" w:hAnsi="楷体_GB2312" w:eastAsia="楷体_GB2312" w:cs="楷体_GB2312"/>
              <w:b w:val="0"/>
              <w:bCs/>
              <w:sz w:val="28"/>
              <w:szCs w:val="28"/>
            </w:rPr>
            <w:tab/>
          </w:r>
          <w:r>
            <w:rPr>
              <w:rFonts w:hint="eastAsia" w:ascii="楷体_GB2312" w:hAnsi="楷体_GB2312" w:eastAsia="楷体_GB2312" w:cs="楷体_GB2312"/>
              <w:b w:val="0"/>
              <w:bCs/>
              <w:sz w:val="28"/>
              <w:szCs w:val="28"/>
              <w:lang w:val="zh-CN"/>
            </w:rPr>
            <w:fldChar w:fldCharType="end"/>
          </w:r>
          <w:r>
            <w:rPr>
              <w:rFonts w:hint="default" w:ascii="Times New Roman" w:hAnsi="Times New Roman" w:eastAsia="黑体" w:cs="Times New Roman"/>
              <w:b w:val="0"/>
              <w:bCs/>
              <w:sz w:val="28"/>
              <w:szCs w:val="28"/>
              <w:lang w:val="en-US" w:eastAsia="zh-CN"/>
            </w:rPr>
            <w:t>4</w:t>
          </w:r>
        </w:p>
        <w:p>
          <w:pPr>
            <w:pStyle w:val="10"/>
            <w:tabs>
              <w:tab w:val="right" w:leader="dot" w:pos="8306"/>
              <w:tab w:val="clear" w:pos="8296"/>
            </w:tabs>
            <w:adjustRightInd w:val="0"/>
            <w:snapToGrid w:val="0"/>
            <w:spacing w:line="600" w:lineRule="exact"/>
            <w:ind w:firstLine="0" w:firstLineChars="0"/>
            <w:rPr>
              <w:rFonts w:hint="eastAsia" w:eastAsia="黑体" w:cs="黑体"/>
              <w:bCs/>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_Toc28362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二</w:t>
          </w:r>
          <w:r>
            <w:rPr>
              <w:rFonts w:hint="eastAsia" w:cs="黑体"/>
              <w:bCs/>
              <w:sz w:val="28"/>
              <w:szCs w:val="28"/>
              <w:lang w:val="zh-CN"/>
            </w:rPr>
            <w:t>、</w:t>
          </w:r>
          <w:r>
            <w:rPr>
              <w:rFonts w:hint="eastAsia" w:ascii="黑体" w:hAnsi="黑体" w:eastAsia="黑体" w:cs="黑体"/>
              <w:bCs/>
              <w:sz w:val="28"/>
              <w:szCs w:val="28"/>
              <w:lang w:val="zh-CN"/>
            </w:rPr>
            <w:t>总体思路</w:t>
          </w:r>
          <w:r>
            <w:rPr>
              <w:rFonts w:hint="eastAsia" w:cs="黑体"/>
              <w:bCs/>
              <w:sz w:val="28"/>
              <w:szCs w:val="28"/>
              <w:lang w:val="zh-CN"/>
            </w:rPr>
            <w:tab/>
          </w:r>
          <w:r>
            <w:rPr>
              <w:rFonts w:hint="eastAsia" w:ascii="黑体" w:hAnsi="黑体" w:cs="黑体"/>
              <w:bCs/>
              <w:sz w:val="28"/>
              <w:szCs w:val="28"/>
              <w:lang w:val="zh-CN"/>
            </w:rPr>
            <w:fldChar w:fldCharType="end"/>
          </w:r>
          <w:r>
            <w:rPr>
              <w:rFonts w:hint="default" w:ascii="Times New Roman" w:hAnsi="Times New Roman" w:cs="Times New Roman"/>
              <w:bCs/>
              <w:sz w:val="28"/>
              <w:szCs w:val="28"/>
              <w:lang w:val="en-US" w:eastAsia="zh-CN"/>
            </w:rPr>
            <w:t>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_Toc1826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（一）指导思想</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_Toc20510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（二）建设目标</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_Toc9553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（三）基本原则</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8</w:t>
          </w:r>
        </w:p>
        <w:p>
          <w:pPr>
            <w:pStyle w:val="10"/>
            <w:tabs>
              <w:tab w:val="right" w:leader="dot" w:pos="8306"/>
              <w:tab w:val="clear" w:pos="8296"/>
            </w:tabs>
            <w:adjustRightInd w:val="0"/>
            <w:snapToGrid w:val="0"/>
            <w:spacing w:line="600" w:lineRule="exact"/>
            <w:ind w:firstLine="0" w:firstLineChars="0"/>
            <w:rPr>
              <w:rFonts w:hint="eastAsia" w:eastAsia="黑体" w:cs="黑体"/>
              <w:bCs/>
              <w:sz w:val="28"/>
              <w:szCs w:val="28"/>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_Toc8889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三</w:t>
          </w:r>
          <w:r>
            <w:rPr>
              <w:rFonts w:hint="eastAsia" w:cs="黑体"/>
              <w:bCs/>
              <w:sz w:val="28"/>
              <w:szCs w:val="28"/>
              <w:lang w:val="zh-CN"/>
            </w:rPr>
            <w:t>、</w:t>
          </w:r>
          <w:r>
            <w:rPr>
              <w:rFonts w:hint="eastAsia" w:ascii="黑体" w:hAnsi="黑体" w:eastAsia="黑体" w:cs="黑体"/>
              <w:bCs/>
              <w:sz w:val="28"/>
              <w:szCs w:val="28"/>
              <w:lang w:val="zh-CN"/>
            </w:rPr>
            <w:t>夯实社会信用体系信息化基础</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9</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_Toc19241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（一）强化信用信息系统平台建设</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9</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_Toc26831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（二）提升信用信息归集共享水平</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10</w:t>
          </w:r>
        </w:p>
        <w:p>
          <w:pPr>
            <w:pStyle w:val="10"/>
            <w:tabs>
              <w:tab w:val="right" w:leader="dot" w:pos="8306"/>
              <w:tab w:val="clear" w:pos="8296"/>
            </w:tabs>
            <w:adjustRightInd w:val="0"/>
            <w:snapToGrid w:val="0"/>
            <w:spacing w:line="600" w:lineRule="exact"/>
            <w:ind w:firstLine="0" w:firstLineChars="0"/>
            <w:rPr>
              <w:rFonts w:hint="eastAsia" w:eastAsia="黑体" w:cs="黑体"/>
              <w:bCs/>
              <w:sz w:val="28"/>
              <w:szCs w:val="28"/>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_Toc8242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四</w:t>
          </w:r>
          <w:r>
            <w:rPr>
              <w:rFonts w:hint="eastAsia" w:cs="黑体"/>
              <w:bCs/>
              <w:sz w:val="28"/>
              <w:szCs w:val="28"/>
              <w:lang w:val="zh-CN"/>
            </w:rPr>
            <w:t>、</w:t>
          </w:r>
          <w:r>
            <w:rPr>
              <w:rFonts w:hint="eastAsia" w:ascii="黑体" w:hAnsi="黑体" w:eastAsia="黑体" w:cs="黑体"/>
              <w:bCs/>
              <w:sz w:val="28"/>
              <w:szCs w:val="28"/>
              <w:lang w:val="zh-CN"/>
            </w:rPr>
            <w:t>健全社会信用体系运行机制</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11</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_Toc2424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（一）加强信用信息融合开发应用</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11</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_Toc7687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（二）健全守信激励和失信惩戒机制</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12</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_Toc13097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（三）培育和规范信用服务市场</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13</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_Toc28548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（四）保护信用信息主体权益</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14</w:t>
          </w:r>
        </w:p>
        <w:p>
          <w:pPr>
            <w:pStyle w:val="10"/>
            <w:tabs>
              <w:tab w:val="right" w:leader="dot" w:pos="8306"/>
              <w:tab w:val="clear" w:pos="8296"/>
            </w:tabs>
            <w:adjustRightInd w:val="0"/>
            <w:snapToGrid w:val="0"/>
            <w:spacing w:line="600" w:lineRule="exact"/>
            <w:ind w:firstLine="0" w:firstLineChars="0"/>
            <w:rPr>
              <w:rFonts w:hint="eastAsia" w:eastAsia="黑体" w:cs="黑体"/>
              <w:bCs/>
              <w:sz w:val="28"/>
              <w:szCs w:val="28"/>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_Toc10909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五</w:t>
          </w:r>
          <w:r>
            <w:rPr>
              <w:rFonts w:hint="eastAsia" w:cs="黑体"/>
              <w:bCs/>
              <w:sz w:val="28"/>
              <w:szCs w:val="28"/>
              <w:lang w:val="zh-CN"/>
            </w:rPr>
            <w:t>、</w:t>
          </w:r>
          <w:r>
            <w:rPr>
              <w:rFonts w:hint="eastAsia" w:ascii="黑体" w:hAnsi="黑体" w:eastAsia="黑体" w:cs="黑体"/>
              <w:bCs/>
              <w:sz w:val="28"/>
              <w:szCs w:val="28"/>
              <w:lang w:val="zh-CN"/>
            </w:rPr>
            <w:t>加快构建以信用为基础的新型监管机制</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15</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_Toc16004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（一）创新事前环节信用监管</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15</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_Toc12838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（二）加强事中环节信用监管</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_Toc3179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（三）完善事后环节信用监管</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17</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_Toc21645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（四）强化信用监管的支撑保障</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19</w:t>
          </w:r>
        </w:p>
        <w:p>
          <w:pPr>
            <w:pStyle w:val="10"/>
            <w:tabs>
              <w:tab w:val="right" w:leader="dot" w:pos="8306"/>
              <w:tab w:val="clear" w:pos="8296"/>
            </w:tabs>
            <w:adjustRightInd w:val="0"/>
            <w:snapToGrid w:val="0"/>
            <w:spacing w:line="600" w:lineRule="exact"/>
            <w:ind w:firstLine="0" w:firstLineChars="0"/>
            <w:rPr>
              <w:rFonts w:hint="eastAsia" w:eastAsia="黑体" w:cs="黑体"/>
              <w:bCs/>
              <w:sz w:val="28"/>
              <w:szCs w:val="28"/>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_Toc21511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六</w:t>
          </w:r>
          <w:r>
            <w:rPr>
              <w:rFonts w:hint="eastAsia" w:cs="黑体"/>
              <w:bCs/>
              <w:sz w:val="28"/>
              <w:szCs w:val="28"/>
              <w:lang w:val="zh-CN"/>
            </w:rPr>
            <w:t>、</w:t>
          </w:r>
          <w:r>
            <w:rPr>
              <w:rFonts w:hint="eastAsia" w:ascii="黑体" w:hAnsi="黑体" w:eastAsia="黑体" w:cs="黑体"/>
              <w:bCs/>
              <w:sz w:val="28"/>
              <w:szCs w:val="28"/>
              <w:lang w:val="zh-CN"/>
            </w:rPr>
            <w:t>大力推动信用与经济社会发展深度融合</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20</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_Toc30693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（一）以信用应用提升公共服务水平</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20</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_Toc26523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（二）以信用应用激发市场活力</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22</w:t>
          </w:r>
        </w:p>
        <w:p>
          <w:pPr>
            <w:pStyle w:val="10"/>
            <w:tabs>
              <w:tab w:val="right" w:leader="dot" w:pos="8306"/>
              <w:tab w:val="clear" w:pos="8296"/>
            </w:tabs>
            <w:adjustRightInd w:val="0"/>
            <w:snapToGrid w:val="0"/>
            <w:spacing w:line="600" w:lineRule="exact"/>
            <w:ind w:firstLine="0" w:firstLineChars="0"/>
            <w:rPr>
              <w:rFonts w:hint="default" w:eastAsia="黑体"/>
              <w:lang w:val="en-US"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_Toc32763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七</w:t>
          </w:r>
          <w:r>
            <w:rPr>
              <w:rFonts w:hint="eastAsia" w:cs="黑体"/>
              <w:bCs/>
              <w:sz w:val="28"/>
              <w:szCs w:val="28"/>
              <w:lang w:val="zh-CN"/>
            </w:rPr>
            <w:t>、</w:t>
          </w:r>
          <w:r>
            <w:rPr>
              <w:rFonts w:hint="eastAsia" w:ascii="黑体" w:hAnsi="黑体" w:eastAsia="黑体" w:cs="黑体"/>
              <w:bCs/>
              <w:sz w:val="28"/>
              <w:szCs w:val="28"/>
              <w:lang w:val="zh-CN"/>
            </w:rPr>
            <w:t>开展重大专项工程建设</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23</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_Toc17740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（一）信用示范城区创建工程</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23</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_Toc6765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（二）政务诚信提升工程</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23</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_Toc3243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（三）探索信用经济试验区</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24</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_Toc23491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（四）创设诚信社区</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24</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_Toc19698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（五）“智慧城市+信用”工程</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25</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_Toc11825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（六）诚信缺失专项治理工程</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25</w:t>
          </w:r>
        </w:p>
        <w:p>
          <w:pPr>
            <w:pStyle w:val="10"/>
            <w:tabs>
              <w:tab w:val="right" w:leader="dot" w:pos="8306"/>
              <w:tab w:val="clear" w:pos="8296"/>
            </w:tabs>
            <w:adjustRightInd w:val="0"/>
            <w:snapToGrid w:val="0"/>
            <w:spacing w:line="600" w:lineRule="exact"/>
            <w:ind w:firstLine="0" w:firstLineChars="0"/>
            <w:rPr>
              <w:rFonts w:hint="eastAsia" w:eastAsia="黑体" w:cs="黑体"/>
              <w:bCs/>
              <w:sz w:val="28"/>
              <w:szCs w:val="28"/>
              <w:lang w:val="zh-CN" w:eastAsia="zh-CN"/>
            </w:rPr>
          </w:pPr>
          <w:r>
            <w:rPr>
              <w:rFonts w:hint="eastAsia" w:ascii="黑体" w:hAnsi="黑体" w:cs="黑体"/>
              <w:bCs/>
              <w:sz w:val="28"/>
              <w:szCs w:val="28"/>
              <w:lang w:val="zh-CN"/>
            </w:rPr>
            <w:fldChar w:fldCharType="begin"/>
          </w:r>
          <w:r>
            <w:rPr>
              <w:rFonts w:hint="eastAsia" w:ascii="黑体" w:hAnsi="黑体" w:cs="黑体"/>
              <w:bCs/>
              <w:sz w:val="28"/>
              <w:szCs w:val="28"/>
              <w:lang w:val="zh-CN"/>
            </w:rPr>
            <w:instrText xml:space="preserve"> HYPERLINK \l _Toc15228 </w:instrText>
          </w:r>
          <w:r>
            <w:rPr>
              <w:rFonts w:hint="eastAsia" w:ascii="黑体" w:hAnsi="黑体" w:cs="黑体"/>
              <w:bCs/>
              <w:sz w:val="28"/>
              <w:szCs w:val="28"/>
              <w:lang w:val="zh-CN"/>
            </w:rPr>
            <w:fldChar w:fldCharType="separate"/>
          </w:r>
          <w:r>
            <w:rPr>
              <w:rFonts w:hint="eastAsia" w:ascii="黑体" w:hAnsi="黑体" w:eastAsia="黑体" w:cs="黑体"/>
              <w:bCs/>
              <w:sz w:val="28"/>
              <w:szCs w:val="28"/>
              <w:lang w:val="zh-CN"/>
            </w:rPr>
            <w:t>八</w:t>
          </w:r>
          <w:r>
            <w:rPr>
              <w:rFonts w:hint="eastAsia" w:cs="黑体"/>
              <w:bCs/>
              <w:sz w:val="28"/>
              <w:szCs w:val="28"/>
              <w:lang w:val="zh-CN"/>
            </w:rPr>
            <w:t>、</w:t>
          </w:r>
          <w:r>
            <w:rPr>
              <w:rFonts w:hint="eastAsia" w:ascii="黑体" w:hAnsi="黑体" w:eastAsia="黑体" w:cs="黑体"/>
              <w:bCs/>
              <w:sz w:val="28"/>
              <w:szCs w:val="28"/>
              <w:lang w:val="zh-CN"/>
            </w:rPr>
            <w:t>实施保障</w:t>
          </w:r>
          <w:r>
            <w:rPr>
              <w:rFonts w:hint="eastAsia" w:cs="黑体"/>
              <w:bCs/>
              <w:sz w:val="28"/>
              <w:szCs w:val="28"/>
              <w:lang w:val="zh-CN"/>
            </w:rPr>
            <w:tab/>
          </w:r>
          <w:r>
            <w:rPr>
              <w:rFonts w:hint="eastAsia" w:ascii="黑体" w:hAnsi="黑体" w:cs="黑体"/>
              <w:bCs/>
              <w:sz w:val="28"/>
              <w:szCs w:val="28"/>
              <w:lang w:val="zh-CN"/>
            </w:rPr>
            <w:fldChar w:fldCharType="end"/>
          </w:r>
          <w:r>
            <w:rPr>
              <w:rFonts w:hint="eastAsia" w:cs="黑体"/>
              <w:bCs/>
              <w:sz w:val="28"/>
              <w:szCs w:val="28"/>
              <w:lang w:val="zh-CN" w:eastAsia="zh-CN"/>
            </w:rPr>
            <w:t>26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_Toc21043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（一）完善组织保障</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_Toc7484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（二）加大政策支持力度</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26</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 w:val="0"/>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_Toc28102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（三）做好诚信宣传教育</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27</w:t>
          </w:r>
        </w:p>
        <w:p>
          <w:pPr>
            <w:pStyle w:val="11"/>
            <w:tabs>
              <w:tab w:val="right" w:leader="dot" w:pos="8306"/>
            </w:tabs>
            <w:adjustRightInd w:val="0"/>
            <w:snapToGrid w:val="0"/>
            <w:spacing w:line="600" w:lineRule="exact"/>
            <w:ind w:left="640" w:firstLine="0" w:firstLineChars="0"/>
            <w:rPr>
              <w:rFonts w:hint="eastAsia" w:ascii="楷体_GB2312" w:hAnsi="楷体_GB2312" w:eastAsia="楷体_GB2312" w:cs="楷体_GB2312"/>
              <w:bCs/>
              <w:sz w:val="28"/>
              <w:szCs w:val="28"/>
              <w:lang w:val="zh-CN" w:eastAsia="zh-CN"/>
            </w:rPr>
          </w:pPr>
          <w:r>
            <w:rPr>
              <w:rFonts w:hint="eastAsia" w:ascii="楷体_GB2312" w:hAnsi="楷体_GB2312" w:eastAsia="楷体_GB2312" w:cs="楷体_GB2312"/>
              <w:b w:val="0"/>
              <w:bCs/>
              <w:sz w:val="28"/>
              <w:szCs w:val="28"/>
              <w:lang w:val="zh-CN"/>
            </w:rPr>
            <w:fldChar w:fldCharType="begin"/>
          </w:r>
          <w:r>
            <w:rPr>
              <w:rFonts w:hint="eastAsia" w:ascii="楷体_GB2312" w:hAnsi="楷体_GB2312" w:eastAsia="楷体_GB2312" w:cs="楷体_GB2312"/>
              <w:b w:val="0"/>
              <w:bCs/>
              <w:sz w:val="28"/>
              <w:szCs w:val="28"/>
              <w:lang w:val="zh-CN"/>
            </w:rPr>
            <w:instrText xml:space="preserve"> HYPERLINK \l _Toc2469 </w:instrText>
          </w:r>
          <w:r>
            <w:rPr>
              <w:rFonts w:hint="eastAsia" w:ascii="楷体_GB2312" w:hAnsi="楷体_GB2312" w:eastAsia="楷体_GB2312" w:cs="楷体_GB2312"/>
              <w:b w:val="0"/>
              <w:bCs/>
              <w:sz w:val="28"/>
              <w:szCs w:val="28"/>
              <w:lang w:val="zh-CN"/>
            </w:rPr>
            <w:fldChar w:fldCharType="separate"/>
          </w:r>
          <w:r>
            <w:rPr>
              <w:rFonts w:hint="eastAsia" w:ascii="楷体_GB2312" w:hAnsi="楷体_GB2312" w:eastAsia="楷体_GB2312" w:cs="楷体_GB2312"/>
              <w:b w:val="0"/>
              <w:bCs/>
              <w:sz w:val="28"/>
              <w:szCs w:val="28"/>
              <w:lang w:val="zh-CN"/>
            </w:rPr>
            <w:t>（四）强化考核引导促进</w:t>
          </w:r>
          <w:r>
            <w:rPr>
              <w:rFonts w:hint="eastAsia" w:ascii="楷体_GB2312" w:hAnsi="楷体_GB2312" w:eastAsia="楷体_GB2312" w:cs="楷体_GB2312"/>
              <w:b w:val="0"/>
              <w:bCs/>
              <w:sz w:val="28"/>
              <w:szCs w:val="28"/>
              <w:lang w:val="zh-CN"/>
            </w:rPr>
            <w:tab/>
          </w:r>
          <w:r>
            <w:rPr>
              <w:rFonts w:hint="eastAsia" w:ascii="楷体_GB2312" w:hAnsi="楷体_GB2312" w:eastAsia="楷体_GB2312" w:cs="楷体_GB2312"/>
              <w:b w:val="0"/>
              <w:bCs/>
              <w:sz w:val="28"/>
              <w:szCs w:val="28"/>
              <w:lang w:val="zh-CN"/>
            </w:rPr>
            <w:fldChar w:fldCharType="end"/>
          </w:r>
          <w:r>
            <w:rPr>
              <w:rFonts w:hint="eastAsia" w:ascii="楷体_GB2312" w:hAnsi="楷体_GB2312" w:eastAsia="楷体_GB2312" w:cs="楷体_GB2312"/>
              <w:b w:val="0"/>
              <w:bCs/>
              <w:sz w:val="28"/>
              <w:szCs w:val="28"/>
              <w:lang w:val="zh-CN" w:eastAsia="zh-CN"/>
            </w:rPr>
            <w:t>27</w:t>
          </w:r>
        </w:p>
        <w:p>
          <w:pPr>
            <w:ind w:firstLine="643"/>
            <w:rPr>
              <w:rFonts w:ascii="Times New Roman" w:hAnsi="Times New Roman" w:cs="Times New Roman"/>
            </w:rPr>
          </w:pPr>
          <w:r>
            <w:rPr>
              <w:rFonts w:ascii="Times New Roman" w:hAnsi="Times New Roman" w:cs="Times New Roman"/>
              <w:b/>
              <w:bCs/>
              <w:lang w:val="zh-CN"/>
            </w:rPr>
            <w:fldChar w:fldCharType="end"/>
          </w:r>
        </w:p>
      </w:sdtContent>
    </w:sdt>
    <w:p>
      <w:pPr>
        <w:ind w:firstLine="640"/>
        <w:rPr>
          <w:rFonts w:ascii="Times New Roman" w:hAnsi="Times New Roman" w:cs="Times New Roman"/>
        </w:rPr>
      </w:pPr>
    </w:p>
    <w:p>
      <w:pPr>
        <w:adjustRightInd w:val="0"/>
        <w:snapToGrid w:val="0"/>
        <w:spacing w:line="600" w:lineRule="exact"/>
        <w:ind w:firstLine="640"/>
        <w:jc w:val="both"/>
        <w:rPr>
          <w:rFonts w:hint="eastAsia" w:ascii="仿宋_GB2312" w:hAnsi="仿宋_GB2312" w:eastAsia="仿宋_GB2312" w:cs="仿宋_GB2312"/>
          <w:szCs w:val="32"/>
        </w:rPr>
        <w:sectPr>
          <w:footerReference r:id="rId11" w:type="default"/>
          <w:type w:val="continuous"/>
          <w:pgSz w:w="11906" w:h="16838"/>
          <w:pgMar w:top="2041" w:right="1559" w:bottom="1701" w:left="1559" w:header="851" w:footer="992" w:gutter="0"/>
          <w:pgNumType w:fmt="numberInDash" w:start="1"/>
          <w:cols w:space="425" w:num="1"/>
          <w:docGrid w:type="lines" w:linePitch="312" w:charSpace="0"/>
        </w:sectPr>
      </w:pP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社会信用体系是国家治理体系和治理能力现代化的重要组成部分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加快推进社会信用体系建设有助于提升社会诚信意识和水平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优化我区营商环境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对于推进高质量发展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开启社会主义现代化国家建设新征程具有重大意义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按照党的十九届四中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五中全会关于诚信建设的要求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为更好落实天津市社会信用体系建设部署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制定本规划</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b w:val="0"/>
          <w:bCs/>
        </w:rPr>
      </w:pPr>
      <w:bookmarkStart w:id="0" w:name="_Toc13222"/>
      <w:bookmarkStart w:id="1" w:name="_Toc30359"/>
      <w:bookmarkStart w:id="2" w:name="_Toc58354888"/>
      <w:r>
        <w:rPr>
          <w:rFonts w:hint="eastAsia" w:ascii="黑体" w:hAnsi="黑体" w:eastAsia="黑体" w:cs="黑体"/>
          <w:b w:val="0"/>
          <w:bCs/>
        </w:rPr>
        <w:t>一</w:t>
      </w:r>
      <w:r>
        <w:rPr>
          <w:rFonts w:hint="eastAsia" w:cs="黑体"/>
          <w:b w:val="0"/>
          <w:bCs/>
          <w:lang w:eastAsia="zh-CN"/>
        </w:rPr>
        <w:t>、</w:t>
      </w:r>
      <w:r>
        <w:rPr>
          <w:rFonts w:hint="eastAsia" w:ascii="黑体" w:hAnsi="黑体" w:eastAsia="黑体" w:cs="黑体"/>
          <w:b w:val="0"/>
          <w:bCs/>
        </w:rPr>
        <w:t>发展基础和形势</w:t>
      </w:r>
      <w:bookmarkEnd w:id="0"/>
      <w:bookmarkEnd w:id="1"/>
      <w:bookmarkEnd w:id="2"/>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3" w:name="_Toc58354889"/>
      <w:bookmarkStart w:id="4" w:name="_Toc15730"/>
      <w:bookmarkStart w:id="5" w:name="_Toc13534"/>
      <w:r>
        <w:rPr>
          <w:rFonts w:hint="eastAsia" w:ascii="楷体_GB2312" w:hAnsi="楷体_GB2312" w:eastAsia="楷体_GB2312" w:cs="楷体_GB2312"/>
          <w:b w:val="0"/>
          <w:bCs w:val="0"/>
        </w:rPr>
        <w:t>（一）发展基础</w:t>
      </w:r>
      <w:bookmarkEnd w:id="3"/>
      <w:bookmarkEnd w:id="4"/>
      <w:bookmarkEnd w:id="5"/>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十三五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期间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我区社会信用体系建设全面启动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制定出台规划方案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在信用信息系统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运行机制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重点领域诚信建设及诚信宣传教育等方面取得明显进展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诚信北辰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建设迈出坚实步伐</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制度框架基本确立</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制定《北辰区加快推进诚信建设行动方案》《北辰区加快推进社会信用体系建设 构建以信用为基础的新型监管机制的实施方案》等引领性文件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从失信被执行人联合惩戒机制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市场监管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政务诚信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商务诚信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社会诚信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司法公信等多个方面制定了制度措施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顶层设计不断完善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为社会信用体系建设奠定了坚实的基础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区诚信建设领导小组成员单位拓展至40多个部门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17个镇街及开发区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制定下发了相关工作规则和细则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进一步明确了组织架构和推动落实机制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社会信用体系建设参与度显著提升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各项信用工作稳步推进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成立北辰区公共信用信息中心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信用工作力量进一步充实</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color w:val="FF0000"/>
          <w:szCs w:val="32"/>
          <w:lang w:eastAsia="zh-CN"/>
        </w:rPr>
      </w:pPr>
      <w:r>
        <w:rPr>
          <w:rFonts w:hint="eastAsia" w:ascii="仿宋_GB2312" w:hAnsi="仿宋_GB2312" w:eastAsia="仿宋_GB2312" w:cs="仿宋_GB2312"/>
          <w:b/>
          <w:szCs w:val="32"/>
        </w:rPr>
        <w:t>信息系统建设稳步推进</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三库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架构初步搭建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区信用平台建成运行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成为全区信用信息交换共享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公示查询总窗口和信用监管的总枢纽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编制和更新《北辰区公共信用信息资源目录》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信用平台归集推送各类信用数据超过160万条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覆盖全区6万余户市场主体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报送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双公示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数据超过1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4万条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政务共享使用数据超过20万条</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运行机制逐步健全</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建立健全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红黑名单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认定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联合奖惩</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督促失信主体限期整改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信用修复等工作机制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持续推动守信激励和失信惩戒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信用约束惩戒作用不断强化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联合惩戒逐步制度化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奖惩案例排名位居全市前列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建立定期向市信用办上报和区诚信建设成员单位通报机制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以信用为基础的新型监管机制逐步建立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信用培训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信用修复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签订承诺书等扎实推进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信用承诺书签订超过1万份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持续推动行政许可落实</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信用承诺制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容缺受理制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与市有关部门探索形成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信息公示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风险分类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随机联查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结果告知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五环相扣链条式监管体系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积极开展信用惠民便企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逐步体系化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应用个数居天津市前列</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szCs w:val="32"/>
        </w:rPr>
        <w:t>重点领域诚信建设初见成效</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四大领域诚信建设初见成效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政务诚信建设稳步推进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建立公务员诚信档案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开展多形式政务诚信教育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全面落实决策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执行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五公开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工作机制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商务诚信建设扎实推进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将天津市中小企业融资综合信用服务平台（信易贷平台）链接到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信用中国（天津北辰）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六贷一透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小微快贷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税务贷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等信用贷助力小微企业解决融资难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融资贵问题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生产安全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黑名单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制度严格落实</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危化企业实现分级管控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税收分级分类管理深入推进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集中开展诚信缺失突出问题专项整治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价格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政府采购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统计等领域失信约束力度逐步加强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社会诚信建设取得实效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全面建立药品价格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医疗服务价格公示制度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开展医务人员医德综合评价；建立健全养老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救助</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社会组织等方面诚信制度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加强劳动保障监督执法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落实拖欠农民工工资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黑名单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司法公信建设效果增强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大力推进司法行政信息公开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加强法律服务行业诚信建设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建立公平竞争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合理收费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优质服务的运行机制；实施失信被执行人联合惩戒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逐步解决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执行难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问题</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诚信宣传教育广泛开展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结合创建全国文明城区和国家卫生区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积极组织开展以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诚信建设万里行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健全社会信用体系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增强公民信用意识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筑牢信用基石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助推高质量发展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等诚信主题宣传活动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重点抓好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3·15</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消费者权益日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诚信兴商宣传月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6·14信用记录日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等时间节点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广泛开展诚信主题教育活动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在全区中小学持续开展诚信教育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将诚信建设融合于全区群众性精神文明创建活动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在评选表彰市级三大系列和全区十项文明创建中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加大文明单位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文明社区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文明村镇诚信建设测评权重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20余家企业成为天津市首批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诚信经营承诺示范店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人人讲诚信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事事守信用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舆论氛围日益浓厚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深入探索诚信示范园区建设工作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已建成双发商业街诚信示范街与红星美凯龙诚信示范园区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诚信示范作用开始凸显</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总的看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我区社会信用体系建设有序推进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制度框架基本搭建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平台系统建设不断完善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运行机制逐步健全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诚信建设全面加速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信用在经济社会中的渗透应用逐渐增多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取得重要阶段性成效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在全市信用指数监测综合排名上升至前三名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同时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应该看到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我区社会信用体系建设与国内先进地区相比差距还比较明显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主要体现在：信用制度建设较为滞后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政策支撑力度有待加大；信息归集共享机制尚不顺畅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数据资源标准化建设和开放共享有待深化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部门协同联动机制还不完善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信用信息平台功能和作用有待加强；信用服务供给创新能力弱</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信用联合奖惩机制还需健全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行业领域诚信建设滞后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信用惠民便企应用力度不够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社会信用体系建设的参与度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感知度需要进一步加强</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6" w:name="_Toc11896"/>
      <w:bookmarkStart w:id="7" w:name="_Toc18579"/>
      <w:bookmarkStart w:id="8" w:name="_Toc58354890"/>
      <w:r>
        <w:rPr>
          <w:rFonts w:hint="eastAsia" w:ascii="楷体_GB2312" w:hAnsi="楷体_GB2312" w:eastAsia="楷体_GB2312" w:cs="楷体_GB2312"/>
          <w:b w:val="0"/>
          <w:bCs w:val="0"/>
        </w:rPr>
        <w:t>（二）面临形势</w:t>
      </w:r>
      <w:bookmarkEnd w:id="6"/>
      <w:bookmarkEnd w:id="7"/>
      <w:bookmarkEnd w:id="8"/>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十四五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时期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我区社会信用体系建设将进入新的发展阶段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面临的形势更为复杂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既存在加速推进的条件和机遇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也面临规范审慎发展背景下突破空间缩小的难题和挑战</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从条件和机遇看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十四五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时期是我国实现第二个百年目标起步期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经济高质量发展导向将进一步强化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国际竞争传统优势逐渐式微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竞争新优势亟待塑造</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以社会信用体系建设促进营商环境改善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满足人民群众对诚信社会期望的战略意义进一步提升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十四五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时期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新一轮技术革命和产业变革持续深入推进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将对社会信用体系建设模式产生深刻影响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也为我区加快赶超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实现跨越式发展创造良好条件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同时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在我区创建全国</w:t>
      </w:r>
      <w:r>
        <w:rPr>
          <w:rFonts w:hint="eastAsia" w:ascii="仿宋_GB2312" w:hAnsi="仿宋_GB2312" w:eastAsia="仿宋_GB2312" w:cs="仿宋_GB2312"/>
          <w:szCs w:val="32"/>
          <w:lang w:eastAsia="zh-CN"/>
        </w:rPr>
        <w:t>文</w:t>
      </w:r>
      <w:bookmarkStart w:id="105" w:name="_GoBack"/>
      <w:bookmarkEnd w:id="105"/>
      <w:r>
        <w:rPr>
          <w:rFonts w:hint="eastAsia" w:ascii="仿宋_GB2312" w:hAnsi="仿宋_GB2312" w:eastAsia="仿宋_GB2312" w:cs="仿宋_GB2312"/>
          <w:szCs w:val="32"/>
          <w:lang w:eastAsia="zh-CN"/>
        </w:rPr>
        <w:t>明</w:t>
      </w:r>
      <w:r>
        <w:rPr>
          <w:rFonts w:hint="eastAsia" w:ascii="仿宋_GB2312" w:hAnsi="仿宋_GB2312" w:eastAsia="仿宋_GB2312" w:cs="仿宋_GB2312"/>
          <w:szCs w:val="32"/>
        </w:rPr>
        <w:t>城区过程中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社会信用体系建设成为有效抓手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也将为多部门协调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合力推进营造良好氛围</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b/>
          <w:szCs w:val="32"/>
          <w:lang w:eastAsia="zh-CN"/>
        </w:rPr>
      </w:pPr>
      <w:r>
        <w:rPr>
          <w:rFonts w:hint="eastAsia" w:ascii="仿宋_GB2312" w:hAnsi="仿宋_GB2312" w:eastAsia="仿宋_GB2312" w:cs="仿宋_GB2312"/>
          <w:szCs w:val="32"/>
        </w:rPr>
        <w:t>从难题和挑战看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我国社会信用体系总体框架基本建立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但在推进过程中还存在不少矛盾和问题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集中表现为法律法规依据不足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规范性不够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十四五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时期信用建设工作将进入规范完善阶段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全国社会信用体系建设工作重心将转向提高法治化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规范化水平上来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在此背景下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以往先进地区工作推进中的突破性探索空间将大大缩小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我区相关工作推进或将面临有效抓手欠缺难题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如何在更趋严格的规范框架下较快取得显著成绩将成为重大挑战</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总体判断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在国家和市级层面持续推动下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努力抓住发展条件和机遇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积极应对工作推动中的难题和挑战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我区社会信用体系的硬件基础和运行机制有望加速推进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信用与经济社会发展融合程度进一步提升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形成更高质量的社会信用体系建设大格局</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9" w:name="_Toc11148"/>
      <w:bookmarkStart w:id="10" w:name="_Toc58354891"/>
      <w:bookmarkStart w:id="11" w:name="_Toc28362"/>
      <w:r>
        <w:rPr>
          <w:rFonts w:hint="eastAsia" w:ascii="黑体" w:hAnsi="黑体" w:eastAsia="黑体" w:cs="黑体"/>
        </w:rPr>
        <w:t>二</w:t>
      </w:r>
      <w:r>
        <w:rPr>
          <w:rFonts w:hint="eastAsia" w:cs="黑体"/>
          <w:lang w:eastAsia="zh-CN"/>
        </w:rPr>
        <w:t>、</w:t>
      </w:r>
      <w:r>
        <w:rPr>
          <w:rFonts w:hint="eastAsia" w:ascii="黑体" w:hAnsi="黑体" w:eastAsia="黑体" w:cs="黑体"/>
        </w:rPr>
        <w:t>总体思路</w:t>
      </w:r>
      <w:bookmarkEnd w:id="9"/>
      <w:bookmarkEnd w:id="10"/>
      <w:bookmarkEnd w:id="11"/>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12" w:name="_Toc15294"/>
      <w:bookmarkStart w:id="13" w:name="_Toc1826"/>
      <w:bookmarkStart w:id="14" w:name="_Toc58354892"/>
      <w:r>
        <w:rPr>
          <w:rFonts w:hint="eastAsia" w:ascii="楷体_GB2312" w:hAnsi="楷体_GB2312" w:eastAsia="楷体_GB2312" w:cs="楷体_GB2312"/>
          <w:b w:val="0"/>
          <w:bCs w:val="0"/>
        </w:rPr>
        <w:t>（一）指导思想</w:t>
      </w:r>
      <w:bookmarkEnd w:id="12"/>
      <w:bookmarkEnd w:id="13"/>
      <w:bookmarkEnd w:id="14"/>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以习近平新时代中国特色社会主义思想为指导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全面贯彻党的十九大和十九届二中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三中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四中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五中全会精神</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全面落实习近平总书记考察期间对天津工作作出的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三个着力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重要指示要求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紧紧围绕高质量发展主题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把握好天津市及我区发展战略定位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以培育和践行社会主义核心价值观为导向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以规范建设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加速推进为主线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以提高诚信意识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优化营商环境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推进治理体系和治理能力现代化为目标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以构建以信用为基础的新型监管机制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促进信用和经济社会发展深度融合为重点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夯实信息化基础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加紧补上信用信息共享短板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健全以信用激励和惩戒为中心的运行机制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推动构建形成与经济社会发展相适应的高质量社会信用体系</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15" w:name="_Toc19780"/>
      <w:bookmarkStart w:id="16" w:name="_Toc58354893"/>
      <w:bookmarkStart w:id="17" w:name="_Toc20510"/>
      <w:r>
        <w:rPr>
          <w:rFonts w:hint="eastAsia" w:ascii="楷体_GB2312" w:hAnsi="楷体_GB2312" w:eastAsia="楷体_GB2312" w:cs="楷体_GB2312"/>
          <w:b w:val="0"/>
          <w:bCs w:val="0"/>
        </w:rPr>
        <w:t>（二）建设目标</w:t>
      </w:r>
      <w:bookmarkEnd w:id="15"/>
      <w:bookmarkEnd w:id="16"/>
      <w:bookmarkEnd w:id="17"/>
    </w:p>
    <w:p>
      <w:pPr>
        <w:adjustRightInd w:val="0"/>
        <w:snapToGrid w:val="0"/>
        <w:spacing w:line="600" w:lineRule="exact"/>
        <w:ind w:firstLine="640"/>
        <w:jc w:val="both"/>
        <w:rPr>
          <w:rFonts w:hint="eastAsia" w:ascii="仿宋_GB2312" w:hAnsi="仿宋_GB2312" w:eastAsia="仿宋_GB2312" w:cs="仿宋_GB2312"/>
          <w:szCs w:val="32"/>
        </w:rPr>
      </w:pPr>
      <w:r>
        <w:rPr>
          <w:rFonts w:hint="eastAsia" w:ascii="仿宋_GB2312" w:hAnsi="仿宋_GB2312" w:eastAsia="仿宋_GB2312" w:cs="仿宋_GB2312"/>
          <w:szCs w:val="32"/>
        </w:rPr>
        <w:t>到2025年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力争实现诚信建设长效机制基本建立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诚信价值感知度和获得感显著增强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信用工作考核指标监测位居全市前列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力争创建全国社会信用体系建设示范城区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打造信用经济示范区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具体表现为：</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信息化基础进一步夯实</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以信用中国（天津北辰）平台为载体的信用信息系统全面建成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信用信息归集量突破300万条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数据安全保障体系基本完善</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运行机制进一步健全完善</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信用信息归集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共享和融合开发机制基本建立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守信联合激励和失信联合惩戒大格局全面形成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信用服务机构和信用服务市场加快发展壮大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信用信息主体权益保护机制进一步强化</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信用监管深入推进</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以信用为基础的新型监管机制全面建立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贯穿事前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事中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事后环节的信用监管手段得到深入应用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监管效能得到显著提升</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信用与经济社会发展深度融合</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社会信用体系在政务服务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公共事业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市场运行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社会治理等方面的应用场景进一步拓展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对经济社会各领域的支撑作用全面发挥</w:t>
      </w:r>
      <w:r>
        <w:rPr>
          <w:rFonts w:hint="eastAsia" w:ascii="仿宋_GB2312" w:hAnsi="仿宋_GB2312" w:eastAsia="仿宋_GB2312" w:cs="仿宋_GB2312"/>
          <w:szCs w:val="32"/>
          <w:lang w:eastAsia="zh-CN"/>
        </w:rPr>
        <w:t>。</w:t>
      </w:r>
    </w:p>
    <w:p>
      <w:pPr>
        <w:adjustRightInd w:val="0"/>
        <w:snapToGrid w:val="0"/>
        <w:spacing w:line="600" w:lineRule="exact"/>
        <w:ind w:firstLine="560" w:firstLineChars="20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表</w:t>
      </w:r>
      <w:r>
        <w:rPr>
          <w:rFonts w:hint="eastAsia" w:ascii="黑体" w:hAnsi="黑体" w:eastAsia="黑体" w:cs="黑体"/>
          <w:b w:val="0"/>
          <w:bCs w:val="0"/>
          <w:sz w:val="28"/>
          <w:szCs w:val="28"/>
          <w:lang w:val="en-US" w:eastAsia="zh-CN"/>
        </w:rPr>
        <w:t xml:space="preserve">1  </w:t>
      </w:r>
      <w:r>
        <w:rPr>
          <w:rFonts w:hint="eastAsia" w:ascii="黑体" w:hAnsi="黑体" w:eastAsia="黑体" w:cs="黑体"/>
          <w:b w:val="0"/>
          <w:bCs w:val="0"/>
          <w:sz w:val="28"/>
          <w:szCs w:val="28"/>
        </w:rPr>
        <w:t>北辰区社会信用体系建设目标指标体系</w:t>
      </w:r>
    </w:p>
    <w:tbl>
      <w:tblPr>
        <w:tblStyle w:val="1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820"/>
        <w:gridCol w:w="1867"/>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0" w:type="dxa"/>
            <w:vAlign w:val="center"/>
          </w:tcPr>
          <w:p>
            <w:pPr>
              <w:adjustRightInd w:val="0"/>
              <w:snapToGrid w:val="0"/>
              <w:spacing w:line="400" w:lineRule="exact"/>
              <w:ind w:firstLine="0" w:firstLineChars="0"/>
              <w:jc w:val="center"/>
              <w:rPr>
                <w:rFonts w:hint="eastAsia" w:ascii="仿宋_GB2312" w:hAnsi="仿宋_GB2312" w:eastAsia="仿宋_GB2312" w:cs="仿宋_GB2312"/>
                <w:b/>
                <w:bCs/>
                <w:color w:val="000000" w:themeColor="text1"/>
                <w:sz w:val="28"/>
                <w:szCs w:val="28"/>
              </w:rPr>
            </w:pPr>
            <w:r>
              <w:rPr>
                <w:rFonts w:hint="eastAsia" w:ascii="黑体" w:hAnsi="黑体" w:eastAsia="黑体" w:cs="黑体"/>
                <w:b w:val="0"/>
                <w:bCs w:val="0"/>
                <w:color w:val="000000" w:themeColor="text1"/>
                <w:sz w:val="21"/>
                <w:szCs w:val="21"/>
              </w:rPr>
              <w:t>维度</w:t>
            </w: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b/>
                <w:bCs/>
                <w:color w:val="000000" w:themeColor="text1"/>
                <w:sz w:val="28"/>
                <w:szCs w:val="28"/>
              </w:rPr>
            </w:pPr>
            <w:r>
              <w:rPr>
                <w:rFonts w:hint="eastAsia" w:ascii="黑体" w:hAnsi="黑体" w:eastAsia="黑体" w:cs="黑体"/>
                <w:b w:val="0"/>
                <w:bCs w:val="0"/>
                <w:color w:val="000000" w:themeColor="text1"/>
                <w:sz w:val="21"/>
                <w:szCs w:val="21"/>
              </w:rPr>
              <w:t>指标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b/>
                <w:bCs/>
                <w:color w:val="000000" w:themeColor="text1"/>
                <w:sz w:val="28"/>
                <w:szCs w:val="28"/>
              </w:rPr>
            </w:pPr>
            <w:r>
              <w:rPr>
                <w:rFonts w:hint="eastAsia" w:ascii="黑体" w:hAnsi="黑体" w:eastAsia="黑体" w:cs="黑体"/>
                <w:b w:val="0"/>
                <w:bCs w:val="0"/>
                <w:color w:val="000000" w:themeColor="text1"/>
                <w:sz w:val="21"/>
                <w:szCs w:val="21"/>
              </w:rPr>
              <w:t>2025年目标</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b/>
                <w:bCs/>
                <w:color w:val="000000" w:themeColor="text1"/>
                <w:sz w:val="28"/>
                <w:szCs w:val="28"/>
              </w:rPr>
            </w:pPr>
            <w:r>
              <w:rPr>
                <w:rFonts w:hint="eastAsia" w:ascii="黑体" w:hAnsi="黑体" w:eastAsia="黑体" w:cs="黑体"/>
                <w:b w:val="0"/>
                <w:bCs w:val="0"/>
                <w:color w:val="000000" w:themeColor="text1"/>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信息化基础</w:t>
            </w: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信用信息归集数量</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300万条</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信用信息归集质量</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100%</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双公示数据准确率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≧99</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9%</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重点人群信用档案覆盖率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100%</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信用监管</w:t>
            </w: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严重失信事件发生率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≦0</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001%</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A级纳税人和海关高级认证企业占法人企业比例</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信用承诺覆盖率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≧75%</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严重失信名单数量占比</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≦0</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6%</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信用应用</w:t>
            </w: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信易+覆盖领域</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≧15个</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信易贷规模占GDP比重</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信用服务业营业收入年均增长率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信用权益保护</w:t>
            </w: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信用修复通过率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≧98%</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vAlign w:val="center"/>
          </w:tcPr>
          <w:p>
            <w:pPr>
              <w:adjustRightInd w:val="0"/>
              <w:snapToGrid w:val="0"/>
              <w:spacing w:line="600" w:lineRule="exact"/>
              <w:ind w:firstLine="420" w:firstLineChars="200"/>
              <w:jc w:val="center"/>
              <w:rPr>
                <w:rFonts w:hint="eastAsia" w:ascii="仿宋_GB2312" w:hAnsi="仿宋_GB2312" w:eastAsia="仿宋_GB2312" w:cs="仿宋_GB2312"/>
                <w:color w:val="000000" w:themeColor="text1"/>
                <w:sz w:val="21"/>
                <w:szCs w:val="21"/>
              </w:rPr>
            </w:pPr>
          </w:p>
        </w:tc>
        <w:tc>
          <w:tcPr>
            <w:tcW w:w="3820"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信用异议发生率</w:t>
            </w:r>
          </w:p>
        </w:tc>
        <w:tc>
          <w:tcPr>
            <w:tcW w:w="1867"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≦0</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01%</w:t>
            </w:r>
          </w:p>
        </w:tc>
        <w:tc>
          <w:tcPr>
            <w:tcW w:w="1442" w:type="dxa"/>
            <w:vAlign w:val="center"/>
          </w:tcPr>
          <w:p>
            <w:pPr>
              <w:adjustRightInd w:val="0"/>
              <w:snapToGrid w:val="0"/>
              <w:spacing w:line="400" w:lineRule="exact"/>
              <w:ind w:firstLine="0" w:firstLineChars="0"/>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约束性</w:t>
            </w:r>
          </w:p>
        </w:tc>
      </w:tr>
    </w:tbl>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18" w:name="_Toc58354894"/>
      <w:bookmarkStart w:id="19" w:name="_Toc9553"/>
      <w:bookmarkStart w:id="20" w:name="_Toc18964"/>
      <w:r>
        <w:rPr>
          <w:rFonts w:hint="eastAsia" w:ascii="楷体_GB2312" w:hAnsi="楷体_GB2312" w:eastAsia="楷体_GB2312" w:cs="楷体_GB2312"/>
          <w:b w:val="0"/>
          <w:bCs w:val="0"/>
        </w:rPr>
        <w:t>（三）基本原则</w:t>
      </w:r>
      <w:bookmarkEnd w:id="18"/>
      <w:bookmarkEnd w:id="19"/>
      <w:bookmarkEnd w:id="20"/>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健全法制</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规范发展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落实国家和天津市信用法律法规体系和标准体系要求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建立完善信用制度规范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着力提升信用体系法治化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规范化水平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推动社会信用体系健康发展</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对标一流</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创新发展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学习借鉴先进地区先进做法和经验</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rPr>
        <w:t>对标</w:t>
      </w:r>
      <w:r>
        <w:rPr>
          <w:rFonts w:hint="eastAsia" w:ascii="仿宋_GB2312" w:hAnsi="仿宋_GB2312" w:eastAsia="仿宋_GB2312" w:cs="仿宋_GB2312"/>
          <w:szCs w:val="32"/>
        </w:rPr>
        <w:t>建设标准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注重加强制度创新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方法创新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载体创新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在重点领域和关键环节深入探索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实施重大专项工程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构建具有北辰特色的社会信用体系</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全面共享</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协同发展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按照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共享为常态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不共享为例外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理念推动公共信用信息内部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公共信用与市场信用信息之间全面共享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全面调动政府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市场和社会各方面积极性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加快构建共建共用共享的新格局</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强化应用</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融合发展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将信用应用放在突出位置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有效挖掘信用价值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以用促建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持续推进信用基础设施和运行机制健全优化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加大信用产品和服务供给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形成信用在各领域深度融合应用局面</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21" w:name="_Toc6254"/>
      <w:bookmarkStart w:id="22" w:name="_Toc58354895"/>
      <w:bookmarkStart w:id="23" w:name="_Toc8889"/>
      <w:r>
        <w:rPr>
          <w:rFonts w:hint="eastAsia" w:ascii="黑体" w:hAnsi="黑体" w:eastAsia="黑体" w:cs="黑体"/>
        </w:rPr>
        <w:t>三</w:t>
      </w:r>
      <w:r>
        <w:rPr>
          <w:rFonts w:hint="eastAsia" w:cs="黑体"/>
          <w:lang w:eastAsia="zh-CN"/>
        </w:rPr>
        <w:t>、</w:t>
      </w:r>
      <w:r>
        <w:rPr>
          <w:rFonts w:hint="eastAsia" w:ascii="黑体" w:hAnsi="黑体" w:eastAsia="黑体" w:cs="黑体"/>
        </w:rPr>
        <w:t>夯实社会信用体系信息化基础</w:t>
      </w:r>
      <w:bookmarkEnd w:id="21"/>
      <w:bookmarkEnd w:id="22"/>
      <w:bookmarkEnd w:id="23"/>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24" w:name="_Toc19241"/>
      <w:bookmarkStart w:id="25" w:name="_Toc5167"/>
      <w:bookmarkStart w:id="26" w:name="_Toc58354896"/>
      <w:r>
        <w:rPr>
          <w:rFonts w:hint="eastAsia" w:ascii="楷体_GB2312" w:hAnsi="楷体_GB2312" w:eastAsia="楷体_GB2312" w:cs="楷体_GB2312"/>
          <w:b w:val="0"/>
          <w:bCs w:val="0"/>
        </w:rPr>
        <w:t>（一）强化信用信息系统平台建设</w:t>
      </w:r>
      <w:bookmarkEnd w:id="24"/>
      <w:bookmarkEnd w:id="25"/>
      <w:bookmarkEnd w:id="26"/>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打造公共信用信息平台升级版</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高质量打造北辰区公共信用信息共享平台升级版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全面提升数据治理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业务管理和应用服务能力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结合区块链等新技术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开发信用信息自愿注册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信用承诺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红黑灰名单智能化管理等功能模块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不断优化归集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服务功能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强化区信用平台与政务服务平台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政务数据共享交换平台及各行业领域相关业务系统的联通建设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推动与市级相关政务平台对接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增加市场主体监管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信用监管数据管理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综合信用评价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联合奖惩管理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信用修复等信用监管功能模块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强化公共信用信息平台的服务功能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有力支撑信用监管工作落地落实</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打造</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信用中国（天津北辰）</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升级版</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制定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信用中国（天津北辰）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网站升级版建设方案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进一步丰富网站功能模块设置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依法依规加大各类信用主体公共信用信息公示力度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明确各部门单位责任分工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共同丰富栏目内容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打造</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信用北辰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综合服务移动端品牌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贯通线上线下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实现线下窗口查询与线上信用北辰综合服务移动终端等查询结合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积极探索信用嵌入便民服务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信用嵌入公益服务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形成具有北辰特色的信用移动服务新模式</w:t>
      </w:r>
      <w:r>
        <w:rPr>
          <w:rFonts w:hint="eastAsia" w:ascii="仿宋_GB2312" w:hAnsi="仿宋_GB2312" w:eastAsia="仿宋_GB2312" w:cs="仿宋_GB2312"/>
          <w:szCs w:val="32"/>
          <w:lang w:eastAsia="zh-CN"/>
        </w:rPr>
        <w:t>。</w:t>
      </w:r>
    </w:p>
    <w:p>
      <w:pPr>
        <w:adjustRightInd w:val="0"/>
        <w:snapToGrid w:val="0"/>
        <w:spacing w:line="600" w:lineRule="exact"/>
        <w:ind w:firstLine="642" w:firstLineChars="200"/>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szCs w:val="32"/>
        </w:rPr>
        <w:t>加强信用信息安全设施建设</w:t>
      </w:r>
      <w:r>
        <w:rPr>
          <w:rFonts w:hint="eastAsia" w:ascii="仿宋_GB2312" w:hAnsi="仿宋_GB2312" w:eastAsia="仿宋_GB2312" w:cs="仿宋_GB2312"/>
          <w:b/>
          <w:szCs w:val="32"/>
          <w:lang w:eastAsia="zh-CN"/>
        </w:rPr>
        <w:t>。</w:t>
      </w:r>
      <w:r>
        <w:rPr>
          <w:rFonts w:hint="eastAsia" w:ascii="仿宋_GB2312" w:hAnsi="仿宋_GB2312" w:eastAsia="仿宋_GB2312" w:cs="仿宋_GB2312"/>
          <w:bCs/>
          <w:szCs w:val="32"/>
        </w:rPr>
        <w:t>推进信用信息服务系统安全管理</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完善信用信息安全监控和网络信任体系建设</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强化信用信息技术保密手段</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数据信息处理</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升级核心信用信息系统数据加密技术</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制定信用信息安全保护机制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开展信用信息系统安全认证</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加大信用信息安全检查力度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通过信息系统安全等级保护三级测评</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国产密码应用建设</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实时数据备份等方式</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提升信用中国（天津北辰）网站安全管理能力</w:t>
      </w:r>
      <w:r>
        <w:rPr>
          <w:rFonts w:hint="eastAsia" w:ascii="仿宋_GB2312" w:hAnsi="仿宋_GB2312" w:eastAsia="仿宋_GB2312" w:cs="仿宋_GB2312"/>
          <w:bCs/>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27" w:name="_Toc58354897"/>
      <w:bookmarkStart w:id="28" w:name="_Toc26831"/>
      <w:bookmarkStart w:id="29" w:name="_Toc3314"/>
      <w:r>
        <w:rPr>
          <w:rFonts w:hint="eastAsia" w:ascii="楷体_GB2312" w:hAnsi="楷体_GB2312" w:eastAsia="楷体_GB2312" w:cs="楷体_GB2312"/>
          <w:b w:val="0"/>
          <w:bCs w:val="0"/>
        </w:rPr>
        <w:t>（二）提升信用信息归集共享水平</w:t>
      </w:r>
      <w:bookmarkEnd w:id="27"/>
      <w:bookmarkEnd w:id="28"/>
      <w:bookmarkEnd w:id="29"/>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提升信用信息归集质量</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按照国家统一部署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编制和完善政府部门信用信息目录和数据清单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协同做好公共信用信息归集整合工作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建立健全自然人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法人及其他组织信用档案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定期更新完善公共信用信息目录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实现公共信用信息归集全覆盖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依托人口基础信息库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加快公务员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企业法定代表人及相关责任人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律师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教师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医师等重点人群的信用信息资源库建设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加强数据和接口的标准化建设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实现各有关部门掌握的信用信息全程自动化采集与定期更新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完善公共信用信息归集和督促通报机制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规范归集信用信息整理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扩展市场信用信息向市信用平台的汇集途径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畅通企业自主申报通道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建立申报核实机制</w:t>
      </w:r>
      <w:r>
        <w:rPr>
          <w:rFonts w:hint="eastAsia" w:ascii="仿宋_GB2312" w:hAnsi="仿宋_GB2312" w:eastAsia="仿宋_GB2312" w:cs="仿宋_GB2312"/>
          <w:szCs w:val="32"/>
          <w:lang w:eastAsia="zh-CN"/>
        </w:rPr>
        <w:t>。</w:t>
      </w:r>
    </w:p>
    <w:p>
      <w:pPr>
        <w:adjustRightInd w:val="0"/>
        <w:snapToGrid w:val="0"/>
        <w:spacing w:line="600" w:lineRule="exact"/>
        <w:ind w:firstLine="640" w:firstLineChars="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推动信用信息共享</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建立健全跨部门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跨领域的横向和纵向信用信息共享规范和机制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强化区信用平台与国家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市级平台之间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与区级政务服务平台及各行业领域相关业务系统之间的信息推送和共享对接机制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形成覆盖全区各类市场主体的信用信息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一张网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全面提升信用信息共享水平</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sz w:val="32"/>
          <w:szCs w:val="32"/>
        </w:rPr>
      </w:pPr>
      <w:bookmarkStart w:id="30" w:name="_Toc58354898"/>
      <w:bookmarkStart w:id="31" w:name="_Toc15682"/>
      <w:bookmarkStart w:id="32" w:name="_Toc8242"/>
      <w:r>
        <w:rPr>
          <w:rFonts w:hint="eastAsia" w:ascii="黑体" w:hAnsi="黑体" w:eastAsia="黑体" w:cs="黑体"/>
        </w:rPr>
        <w:t>四</w:t>
      </w:r>
      <w:r>
        <w:rPr>
          <w:rFonts w:hint="eastAsia" w:cs="黑体"/>
          <w:lang w:eastAsia="zh-CN"/>
        </w:rPr>
        <w:t>、</w:t>
      </w:r>
      <w:r>
        <w:rPr>
          <w:rFonts w:hint="eastAsia" w:ascii="黑体" w:hAnsi="黑体" w:eastAsia="黑体" w:cs="黑体"/>
        </w:rPr>
        <w:t>健全社会信用体系运行机制</w:t>
      </w:r>
      <w:bookmarkEnd w:id="30"/>
      <w:bookmarkEnd w:id="31"/>
      <w:bookmarkEnd w:id="32"/>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33" w:name="_Toc2424"/>
      <w:bookmarkStart w:id="34" w:name="_Toc123"/>
      <w:bookmarkStart w:id="35" w:name="_Toc58354899"/>
      <w:r>
        <w:rPr>
          <w:rFonts w:hint="eastAsia" w:ascii="楷体_GB2312" w:hAnsi="楷体_GB2312" w:eastAsia="楷体_GB2312" w:cs="楷体_GB2312"/>
          <w:b w:val="0"/>
          <w:bCs w:val="0"/>
        </w:rPr>
        <w:t>（一）加强信用信息融合开发应用</w:t>
      </w:r>
      <w:bookmarkEnd w:id="33"/>
      <w:bookmarkEnd w:id="34"/>
      <w:bookmarkEnd w:id="35"/>
    </w:p>
    <w:p>
      <w:pPr>
        <w:adjustRightInd w:val="0"/>
        <w:snapToGrid w:val="0"/>
        <w:spacing w:line="600" w:lineRule="exact"/>
        <w:ind w:firstLine="640"/>
        <w:jc w:val="both"/>
        <w:rPr>
          <w:rFonts w:hint="eastAsia" w:ascii="仿宋_GB2312" w:hAnsi="仿宋_GB2312" w:eastAsia="仿宋_GB2312" w:cs="仿宋_GB2312"/>
          <w:b/>
          <w:szCs w:val="32"/>
          <w:lang w:eastAsia="zh-CN"/>
        </w:rPr>
      </w:pPr>
      <w:r>
        <w:rPr>
          <w:rFonts w:hint="eastAsia" w:ascii="仿宋_GB2312" w:hAnsi="仿宋_GB2312" w:eastAsia="仿宋_GB2312" w:cs="仿宋_GB2312"/>
          <w:b/>
          <w:szCs w:val="32"/>
        </w:rPr>
        <w:t>构建信用信息融合机制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建立敏感数据脱敏处理的基本规则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在确保数据安全基础上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研究制定公共信用信息资源向市场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社会开放标准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探索建立非营利组织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专业机构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数据公司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民间团体等主体的信息认领权责机制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加快公共信用信息与市场信用信息双向开放进程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重点强化公共安全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环境保护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医疗卫生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食药监管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知识产权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城市建设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水电气热等领域的公共信用信息开放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率先推进市场主体的合同履约信息与公共信用信息融合</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b/>
          <w:szCs w:val="32"/>
          <w:lang w:eastAsia="zh-CN"/>
        </w:rPr>
      </w:pPr>
      <w:r>
        <w:rPr>
          <w:rFonts w:hint="eastAsia" w:ascii="仿宋_GB2312" w:hAnsi="仿宋_GB2312" w:eastAsia="仿宋_GB2312" w:cs="仿宋_GB2312"/>
          <w:b/>
          <w:szCs w:val="32"/>
        </w:rPr>
        <w:t>构建信用信息开发机制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探索制定公共信用信息开发权限与主体责任的相关标准和机制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引导市场化机构开发公共信用信息大数据模型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通过商业模式和应用模式创新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提供市场化增值服务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进一步释放公共信用信息价值</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构建信用信息应用机制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及时对接国家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市级相关机制建设进展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积极探索适合我区发展实际的信用信息应用收益分配与风险分担机制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激励市场主体积极参与信用信息融合应用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通过技术革新丰富信用产品和应用场景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创新信用大数据交易机制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形成资产确权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资源定价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供需撮合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数据交易等功能完备的信用大数据流通服务体系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努力挖掘信用在经济社会发展中的价值</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36" w:name="_Toc7687"/>
      <w:bookmarkStart w:id="37" w:name="_Toc58354900"/>
      <w:bookmarkStart w:id="38" w:name="_Toc3722"/>
      <w:r>
        <w:rPr>
          <w:rFonts w:hint="eastAsia" w:ascii="楷体_GB2312" w:hAnsi="楷体_GB2312" w:eastAsia="楷体_GB2312" w:cs="楷体_GB2312"/>
          <w:b w:val="0"/>
          <w:bCs w:val="0"/>
        </w:rPr>
        <w:t>（二）健全守信激励和失信惩戒机制</w:t>
      </w:r>
      <w:bookmarkEnd w:id="36"/>
      <w:bookmarkEnd w:id="37"/>
      <w:bookmarkEnd w:id="38"/>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完善政府主导的守信激励和失信惩戒机制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探索制定适合我区特点的失信行为认定指标体系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分级标准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合规合理认定失信行为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及时精准上报市级部门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跟踪</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红名单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黑名单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和重点关注对象名单认定和发布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探索红黑名单认定协同机制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在国家有关领域合作备忘录基础上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梳理法律法规和政策规定明确的联合激励和惩戒事项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制定联合奖惩措施清单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明确强制性和推荐性措施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不断完善两类措施清单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推动落地实施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明确联合奖惩具体事项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实施依据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实施手段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实施对象等内容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并向社会公布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在行政管理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公共服务事项中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对诚实守信者实施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绿色通道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容缺受理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减少日常监管频次等激励措施；对违法失信者实施限制参与招投标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取消荣誉称号及评先评优资格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限制申请政府性资金等惩戒措施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加大守信激励和失信惩戒力度</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引导市场主体和社会组</w:t>
      </w:r>
      <w:r>
        <w:rPr>
          <w:rFonts w:hint="eastAsia" w:ascii="仿宋_GB2312" w:hAnsi="仿宋_GB2312" w:eastAsia="仿宋_GB2312" w:cs="仿宋_GB2312"/>
          <w:b/>
          <w:bCs/>
          <w:szCs w:val="32"/>
        </w:rPr>
        <w:t>织开展守信激励和失信惩戒</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Cs/>
          <w:szCs w:val="32"/>
        </w:rPr>
        <w:t>鼓励市场主体和社会组织在各自权限内探索创新</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开展守信激励和失信惩戒</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支持市场主体和社会组织自主制定守信激励和失信惩戒对象</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措施和修复办法</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探索</w:t>
      </w:r>
      <w:r>
        <w:rPr>
          <w:rFonts w:hint="eastAsia" w:ascii="仿宋_GB2312" w:hAnsi="仿宋_GB2312" w:eastAsia="仿宋_GB2312" w:cs="仿宋_GB2312"/>
          <w:szCs w:val="32"/>
        </w:rPr>
        <w:t>实行守信激励和失信惩戒负面清单制度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信用积分制度以及跟踪</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监测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反馈制度等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积极推动行业协会发挥更大作用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通过行业自律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信用激励惩戒机制等多种方式推动诚信建设</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39" w:name="_Toc13097"/>
      <w:bookmarkStart w:id="40" w:name="_Toc58354901"/>
      <w:bookmarkStart w:id="41" w:name="_Toc8350"/>
      <w:r>
        <w:rPr>
          <w:rFonts w:hint="eastAsia" w:ascii="楷体_GB2312" w:hAnsi="楷体_GB2312" w:eastAsia="楷体_GB2312" w:cs="楷体_GB2312"/>
          <w:b w:val="0"/>
          <w:bCs w:val="0"/>
        </w:rPr>
        <w:t>（三）培育和规范信用服务市场</w:t>
      </w:r>
      <w:bookmarkEnd w:id="39"/>
      <w:bookmarkEnd w:id="40"/>
      <w:bookmarkEnd w:id="41"/>
    </w:p>
    <w:p>
      <w:pPr>
        <w:adjustRightInd w:val="0"/>
        <w:snapToGrid w:val="0"/>
        <w:spacing w:line="600" w:lineRule="exact"/>
        <w:ind w:firstLine="640"/>
        <w:jc w:val="both"/>
        <w:rPr>
          <w:rFonts w:hint="eastAsia" w:ascii="仿宋_GB2312" w:hAnsi="仿宋_GB2312" w:eastAsia="仿宋_GB2312" w:cs="仿宋_GB2312"/>
          <w:b/>
          <w:szCs w:val="32"/>
          <w:lang w:eastAsia="zh-CN"/>
        </w:rPr>
      </w:pPr>
      <w:r>
        <w:rPr>
          <w:rFonts w:hint="eastAsia" w:ascii="仿宋_GB2312" w:hAnsi="仿宋_GB2312" w:eastAsia="仿宋_GB2312" w:cs="仿宋_GB2312"/>
          <w:b/>
          <w:szCs w:val="32"/>
        </w:rPr>
        <w:t>持续推动政务用信机制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推进政府部门在行业管理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工程招投标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重大政府采购等行政管理过程中购买信用服务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鼓励在重点行业管理中引入信用服务机构参与信用监管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为行业信用档案建设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备案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资质准入提供基础社会信用信息查询和核查服务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提供行业信用状况监测报告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支持信用服务机构开展政务诚信评价</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大力培育信用服务机构发展</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支持市信用联合会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本地优势企业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行业协会拓展信用服务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加大培育本地具有较强市场公信力和影响力的信用服务机构力度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吸引国内知名信用服务机构入驻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探索建立信用服务机构产业集聚区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鼓励产业园区引入信用服务机构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为园区管理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入驻企业提供定制化信用产品和服务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政府应用+市场机制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双轮驱动的信用行业发展模式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支持服务机构做大做强</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rPr>
      </w:pPr>
      <w:r>
        <w:rPr>
          <w:rFonts w:hint="eastAsia" w:ascii="仿宋_GB2312" w:hAnsi="仿宋_GB2312" w:eastAsia="仿宋_GB2312" w:cs="仿宋_GB2312"/>
          <w:b/>
          <w:szCs w:val="32"/>
        </w:rPr>
        <w:t>支持相关行业创新</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信用+大数据</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产品</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依托公共信用信息平台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发掘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信用+大数据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创新项目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支持信用服务机构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大数据机构利用大数据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云计算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人工智能等新兴技术开发具有自主知识产权的信用大数据产品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启动研发反映各类社会主体多维度信用状况的信用创新产品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满足经济转型升级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城市精细化管理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社会创新治理的需要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 xml:space="preserve"> </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强化信用服务市场规范</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健全信用服务机构行为准则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强化自律约束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建立对信用服务机构的全过程监管和约束机制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加强规范管理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强化信用服务机构诚信履职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诚信收费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加强指导监督和协调规范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推动信用服务机构率先开展信用承诺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设立首席信用监督官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全面加强自身信用管理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深入开展信用服务机构信用评估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激发其诚实守信内在动力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建立健全信用服务从业人员诚信档案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完善信用评估机制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加强对信用服务从业人员诚信教育和职业培训</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42" w:name="_Toc28548"/>
      <w:bookmarkStart w:id="43" w:name="_Toc58354902"/>
      <w:bookmarkStart w:id="44" w:name="_Toc11083"/>
      <w:r>
        <w:rPr>
          <w:rFonts w:hint="eastAsia" w:ascii="楷体_GB2312" w:hAnsi="楷体_GB2312" w:eastAsia="楷体_GB2312" w:cs="楷体_GB2312"/>
          <w:b w:val="0"/>
          <w:bCs w:val="0"/>
        </w:rPr>
        <w:t>（四）保护信用信息主体权益</w:t>
      </w:r>
      <w:bookmarkEnd w:id="42"/>
      <w:bookmarkEnd w:id="43"/>
      <w:bookmarkEnd w:id="44"/>
    </w:p>
    <w:p>
      <w:pPr>
        <w:adjustRightInd w:val="0"/>
        <w:snapToGrid w:val="0"/>
        <w:spacing w:line="600" w:lineRule="exact"/>
        <w:ind w:firstLine="640"/>
        <w:jc w:val="both"/>
        <w:rPr>
          <w:rFonts w:hint="eastAsia" w:ascii="仿宋_GB2312" w:hAnsi="仿宋_GB2312" w:eastAsia="仿宋_GB2312" w:cs="仿宋_GB2312"/>
          <w:bCs/>
          <w:szCs w:val="32"/>
          <w:lang w:eastAsia="zh-CN"/>
        </w:rPr>
      </w:pPr>
      <w:r>
        <w:rPr>
          <w:rFonts w:hint="eastAsia" w:ascii="仿宋_GB2312" w:hAnsi="仿宋_GB2312" w:eastAsia="仿宋_GB2312" w:cs="仿宋_GB2312"/>
          <w:b/>
          <w:szCs w:val="32"/>
        </w:rPr>
        <w:t>进一步健全信用信息安全保护机制</w:t>
      </w:r>
      <w:r>
        <w:rPr>
          <w:rFonts w:hint="eastAsia" w:ascii="仿宋_GB2312" w:hAnsi="仿宋_GB2312" w:eastAsia="仿宋_GB2312" w:cs="仿宋_GB2312"/>
          <w:b/>
          <w:szCs w:val="32"/>
          <w:lang w:eastAsia="zh-CN"/>
        </w:rPr>
        <w:t>。</w:t>
      </w:r>
      <w:r>
        <w:rPr>
          <w:rFonts w:hint="eastAsia" w:ascii="仿宋_GB2312" w:hAnsi="仿宋_GB2312" w:eastAsia="仿宋_GB2312" w:cs="仿宋_GB2312"/>
          <w:bCs/>
          <w:szCs w:val="32"/>
        </w:rPr>
        <w:t>建立健全信用信息安全监控体系及应急处理机制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推进重点领域安全风险评估</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安全等级保护和系统安全认证</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加强重要信用信息系统的安全防护</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完善网络安全管理制度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强化数据管理和治理能力</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实现数据流通与调度过程日志管理</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严格信用信息使用程序</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严肃查处非法采集</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买卖公民个人信息案件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严禁泄露不动产登记信息</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守住保护信用信息安全底线</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引导信用服务机构加大投入</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加强安全管理</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提升信息安全防护能力</w:t>
      </w:r>
      <w:r>
        <w:rPr>
          <w:rFonts w:hint="eastAsia" w:ascii="仿宋_GB2312" w:hAnsi="仿宋_GB2312" w:eastAsia="仿宋_GB2312" w:cs="仿宋_GB2312"/>
          <w:bCs/>
          <w:szCs w:val="32"/>
          <w:lang w:eastAsia="zh-CN"/>
        </w:rPr>
        <w:t>。</w:t>
      </w:r>
    </w:p>
    <w:p>
      <w:pPr>
        <w:adjustRightInd w:val="0"/>
        <w:snapToGrid w:val="0"/>
        <w:spacing w:line="600" w:lineRule="exact"/>
        <w:ind w:firstLine="640"/>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szCs w:val="32"/>
        </w:rPr>
        <w:t>建立健全异议处理和信用修复管理制度</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建立健全信用信息异议投诉制度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严肃查处违规泄露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篡改或利用信用信息谋私等行为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严格执行国家信用修复的标准和流程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确保信用修复工作规范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透明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建立有利于失信主体自我纠错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主动自新的社会鼓励与关爱机制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支持有失信记录但已履行责任的个人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退出失信名单后通过志愿服务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社会公益服务等方式积极消除负面影响</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保护个人隐私和企业商业秘密</w:t>
      </w:r>
      <w:r>
        <w:rPr>
          <w:rFonts w:hint="eastAsia" w:ascii="仿宋_GB2312" w:hAnsi="仿宋_GB2312" w:eastAsia="仿宋_GB2312" w:cs="仿宋_GB2312"/>
          <w:b/>
          <w:szCs w:val="32"/>
          <w:lang w:eastAsia="zh-CN"/>
        </w:rPr>
        <w:t>。</w:t>
      </w:r>
      <w:r>
        <w:rPr>
          <w:rFonts w:hint="eastAsia" w:ascii="仿宋_GB2312" w:hAnsi="仿宋_GB2312" w:eastAsia="仿宋_GB2312" w:cs="仿宋_GB2312"/>
          <w:bCs/>
          <w:szCs w:val="32"/>
        </w:rPr>
        <w:t>公共信用信息要严格区分涉及信用主体的隐私信息和公开信息</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按照分级管理制度合理使用</w:t>
      </w:r>
      <w:r>
        <w:rPr>
          <w:rFonts w:hint="eastAsia" w:ascii="仿宋_GB2312" w:hAnsi="仿宋_GB2312" w:eastAsia="仿宋_GB2312" w:cs="仿宋_GB2312"/>
          <w:bCs/>
          <w:szCs w:val="32"/>
          <w:lang w:eastAsia="zh-CN"/>
        </w:rPr>
        <w:t>。</w:t>
      </w:r>
      <w:r>
        <w:rPr>
          <w:rFonts w:hint="eastAsia" w:ascii="仿宋_GB2312" w:hAnsi="仿宋_GB2312" w:eastAsia="仿宋_GB2312" w:cs="仿宋_GB2312"/>
          <w:szCs w:val="32"/>
        </w:rPr>
        <w:t>加大对征信机构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评级机构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大数据公司及各类信用服务机构违反法律规定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危害信息数据安全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侵犯个人权益和隐私的监管力度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严肃查处非法采集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买卖公民个人信息案件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坚决守住个人隐私和商业秘密的安全底线</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45" w:name="_Toc10101"/>
      <w:bookmarkStart w:id="46" w:name="_Toc58354903"/>
      <w:bookmarkStart w:id="47" w:name="_Toc10909"/>
      <w:r>
        <w:rPr>
          <w:rFonts w:hint="eastAsia" w:ascii="黑体" w:hAnsi="黑体" w:eastAsia="黑体" w:cs="黑体"/>
        </w:rPr>
        <w:t>五</w:t>
      </w:r>
      <w:r>
        <w:rPr>
          <w:rFonts w:hint="eastAsia" w:cs="黑体"/>
          <w:lang w:eastAsia="zh-CN"/>
        </w:rPr>
        <w:t>、</w:t>
      </w:r>
      <w:r>
        <w:rPr>
          <w:rFonts w:hint="eastAsia" w:ascii="黑体" w:hAnsi="黑体" w:eastAsia="黑体" w:cs="黑体"/>
        </w:rPr>
        <w:t>加快构建以信用为基础的新型监管机制</w:t>
      </w:r>
      <w:bookmarkEnd w:id="45"/>
      <w:bookmarkEnd w:id="46"/>
      <w:bookmarkEnd w:id="47"/>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48" w:name="_Toc58354904"/>
      <w:bookmarkStart w:id="49" w:name="_Toc16004"/>
      <w:bookmarkStart w:id="50" w:name="_Toc409"/>
      <w:r>
        <w:rPr>
          <w:rFonts w:hint="eastAsia" w:ascii="楷体_GB2312" w:hAnsi="楷体_GB2312" w:eastAsia="楷体_GB2312" w:cs="楷体_GB2312"/>
          <w:b w:val="0"/>
          <w:bCs w:val="0"/>
        </w:rPr>
        <w:t>（一）创新事前环节信用监管</w:t>
      </w:r>
      <w:bookmarkEnd w:id="48"/>
      <w:bookmarkEnd w:id="49"/>
      <w:bookmarkEnd w:id="50"/>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建立健全信用承诺制度</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按照国家和天津市统一部署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一制三化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改革为统领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梳理可开展告知承诺的行政许可事项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积极推进开展审批替代型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容缺受理型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证明替代型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行业自律型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信用修复型和主动公示型等六类信用承诺应用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以信用承诺代替证明材料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简化优化行政审批流程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扩大各类市场主体信用承诺覆盖面和样板量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积极打造</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无证明城区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探索在市场准入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资质审查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行政审批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项目申报等事项中推行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告知承诺+事中事后监管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将信用承诺书及履约状况数据项纳入市场主体信用记录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作为事中事后监管重要依据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进一步优化信用中国（天津北辰）网站信用承诺专栏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归集公示各部门信用承诺书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鼓励市场主体主动向社会做出信用承诺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接受社会监督</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组织开展经营者准入前诚信教育</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组织编制市场准入诚信践诺读本</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推动各部门充分利用政务服务窗口</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门户网站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APP</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微信等途径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在市场主体办理行政审批事项时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采取发放宣传册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播放视频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现场讲解信用政策等形式开展守法诚信宣传教育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督促市场主体守信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用信</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大力推广应用信用报告</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完善区信用平台相关功能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将重点领域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重点人群的信用信息分门别类归集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展示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方便各部门查询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加快出台信用报告应用实施意见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引导各部门编制信用报告应用事项清单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加大在政府采购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招标投标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资质审核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行政审批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项目立项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市场准入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公共资源交易等事项中的应用力度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拓展使用第三方信用服务机构信用报告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鼓励各类市场主体在生产经营活动中广泛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主动应用信用报告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积极参与推动京津冀区域信用报告互认</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51" w:name="_Toc58354905"/>
      <w:bookmarkStart w:id="52" w:name="_Toc23988"/>
      <w:bookmarkStart w:id="53" w:name="_Toc12838"/>
      <w:r>
        <w:rPr>
          <w:rFonts w:hint="eastAsia" w:ascii="楷体_GB2312" w:hAnsi="楷体_GB2312" w:eastAsia="楷体_GB2312" w:cs="楷体_GB2312"/>
          <w:b w:val="0"/>
          <w:bCs w:val="0"/>
        </w:rPr>
        <w:t>（二）加强事中环节信用监管</w:t>
      </w:r>
      <w:bookmarkEnd w:id="51"/>
      <w:bookmarkEnd w:id="52"/>
      <w:bookmarkEnd w:id="53"/>
    </w:p>
    <w:p>
      <w:pPr>
        <w:adjustRightInd w:val="0"/>
        <w:snapToGrid w:val="0"/>
        <w:spacing w:line="600" w:lineRule="exact"/>
        <w:ind w:firstLine="640"/>
        <w:jc w:val="both"/>
        <w:rPr>
          <w:rFonts w:hint="eastAsia" w:ascii="仿宋_GB2312" w:hAnsi="仿宋_GB2312" w:eastAsia="仿宋_GB2312" w:cs="仿宋_GB2312"/>
          <w:szCs w:val="32"/>
        </w:rPr>
      </w:pPr>
      <w:r>
        <w:rPr>
          <w:rFonts w:hint="eastAsia" w:ascii="仿宋_GB2312" w:hAnsi="仿宋_GB2312" w:eastAsia="仿宋_GB2312" w:cs="仿宋_GB2312"/>
          <w:b/>
          <w:szCs w:val="32"/>
        </w:rPr>
        <w:t>积极应用公共信用信息综合评价结果</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将国家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天津市开展的市场主体公共信用综合评价结果定期推送至各部门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金融机构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行业协会商会等参考使用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研究建立符合我区特点的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信用+大数据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精准监管综合评价模型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将评价结果试点应用到部分行业监管系统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推动相关部门利用公共信用综合评价结果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结合部门行业管理数据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建立行业信用评价模型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为信用监管提供更精准的依据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基于公共信用评价结果和日常监管信息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探索开展更广泛深入的公共信用应用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 xml:space="preserve"> </w:t>
      </w:r>
    </w:p>
    <w:p>
      <w:pPr>
        <w:adjustRightInd w:val="0"/>
        <w:snapToGrid w:val="0"/>
        <w:spacing w:line="600" w:lineRule="exact"/>
        <w:ind w:firstLine="640"/>
        <w:jc w:val="both"/>
        <w:rPr>
          <w:rFonts w:hint="eastAsia" w:ascii="仿宋_GB2312" w:hAnsi="仿宋_GB2312" w:eastAsia="仿宋_GB2312" w:cs="仿宋_GB2312"/>
          <w:b/>
          <w:szCs w:val="32"/>
          <w:highlight w:val="yellow"/>
          <w:lang w:eastAsia="zh-CN"/>
        </w:rPr>
      </w:pPr>
      <w:r>
        <w:rPr>
          <w:rFonts w:hint="eastAsia" w:ascii="仿宋_GB2312" w:hAnsi="仿宋_GB2312" w:eastAsia="仿宋_GB2312" w:cs="仿宋_GB2312"/>
          <w:b/>
          <w:szCs w:val="32"/>
        </w:rPr>
        <w:t>大力推动信用分级分类监管</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在充分掌握信用信息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综合研判信用状况的基础上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以公共信用综合评价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行业信用评价及行业协会商会信用评价结果等为依据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对监管对象进行分级分类监管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在招标投标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交通运输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教育科研及服务等重点领域构建信用评价指标体系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将评价结果与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双随机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一公开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监管等指标结合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进行动态分析监测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探索信用风险分类管理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推进失信联合惩戒机制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实现执法监管信息回流闭环管理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对信用较好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风险较低的市场主体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可合理降低抽查比例和频次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减少对正常生产经营的影响；对信用风险一般的市场主体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按常规比例和频次抽查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加强日常监管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及早排查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发现和消除隐患；对违法失信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风险较高的市场主体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由行业主管部门牵头适当提高抽查比例和频次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依法依规实行严管和惩戒</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54" w:name="_Toc3179"/>
      <w:bookmarkStart w:id="55" w:name="_Toc18046"/>
      <w:bookmarkStart w:id="56" w:name="_Toc58354906"/>
      <w:r>
        <w:rPr>
          <w:rFonts w:hint="eastAsia" w:ascii="楷体_GB2312" w:hAnsi="楷体_GB2312" w:eastAsia="楷体_GB2312" w:cs="楷体_GB2312"/>
          <w:b w:val="0"/>
          <w:bCs w:val="0"/>
        </w:rPr>
        <w:t>（三）完善事后环节信用监管</w:t>
      </w:r>
      <w:bookmarkEnd w:id="54"/>
      <w:bookmarkEnd w:id="55"/>
      <w:bookmarkEnd w:id="56"/>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督促失信市场主体限期整改</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积极推动失信市场主体在规定期限内认真整改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履行相关义务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消除不良影响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整改不到位的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按照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谁认定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谁约谈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的原则</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由认定部门依法依规启动提示约谈或警示约谈程序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约谈记录记入失信市场主体信用记录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通过信用中国（天津北辰）网站动态更新向社会公示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并推送至市和全国信用信息共享平台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针对诚信缺失问题突出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诚信建设需求迫切的行业领域开展专项治理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采取有力有效措施加快推进整改</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积极开展失信联合惩戒</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以国家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市级有关部门失信联合惩戒规定为依据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依托联合奖惩平台系统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大力推动联合奖惩系统在政务服务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互联网+监管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等业务系统中的嵌入式应用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逢办必查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大力推动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联合奖惩</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一键搞定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便捷模式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对严重失信惩戒对象依法实施自动比对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自动抓取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自动拦截</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自动限制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推动联合奖惩取得实效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探索实施企业政策兑现信用动态监管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将企业信用状况与政府政策兑现数字化联动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开展失信联合惩戒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申请-核查-反馈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的产业政策兑现信用监管闭环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探索将消极履行清算义务的市场主体列入失信联合惩戒对象名单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研究对相关市场主体直接责任人实施信用联合惩戒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推动市场主体依法有序出清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联合奖惩典型案例要及时上传至信用信息共享平台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并按国家要求积极报送</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坚决依法依规实施市场和行业禁入措施</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在食品药品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生态环境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安全生产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养老托幼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工程质量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文化旅游等与人民群众生命财产安全直接相关的领域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加大对严重失信主体的监管和惩戒力度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梳理行业禁入标准和规范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对拒不履行司法裁判或行政处罚决定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屡犯不改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造成重大损失的市场主体及其相关责任人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精准识别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记录市场主体失信行为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对列入禁入名单的市场主体依法依规在规定期限内清理出市场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实施严格的市场和行业禁入措施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行业主管部门将惩戒案例推送至区信用信息共享平台</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依法追究违法失信责任</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建立健全责任追究机制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对被列入失信联合惩戒对象名单的市场主体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依法依规对其法定代表人或主要负责人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实际控制人进行失信惩戒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并将相关失信行为记入其个人信用记录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归集至区信用信息共享平台和国家企业信用信息公示系统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大力整治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新官不理旧账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将涉诉政府债务清偿纳入预算管理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持续加强失信政府机构的专项治理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机关事业单位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国有企业出现违法失信行为的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要通报上级主管单位和审计部门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工作人员出现违法失信行为的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要通报所在单位及相关纪检监察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组织人事部门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采取适当方式共同督促改正并纳入公务员诚信档案</w:t>
      </w:r>
      <w:r>
        <w:rPr>
          <w:rFonts w:hint="eastAsia" w:ascii="仿宋_GB2312" w:hAnsi="仿宋_GB2312" w:eastAsia="仿宋_GB2312" w:cs="仿宋_GB2312"/>
          <w:szCs w:val="32"/>
          <w:lang w:eastAsia="zh-CN"/>
        </w:rPr>
        <w:t>。</w:t>
      </w:r>
    </w:p>
    <w:p>
      <w:pPr>
        <w:pStyle w:val="3"/>
        <w:adjustRightInd w:val="0"/>
        <w:snapToGrid w:val="0"/>
        <w:spacing w:before="0" w:beforeLines="0" w:after="0" w:afterLines="0" w:line="600" w:lineRule="exact"/>
        <w:ind w:firstLine="640"/>
        <w:jc w:val="both"/>
        <w:rPr>
          <w:rFonts w:hint="eastAsia" w:ascii="楷体_GB2312" w:hAnsi="楷体_GB2312" w:eastAsia="楷体_GB2312" w:cs="楷体_GB2312"/>
          <w:b w:val="0"/>
          <w:bCs w:val="0"/>
        </w:rPr>
      </w:pPr>
      <w:bookmarkStart w:id="57" w:name="_Toc21645"/>
      <w:bookmarkStart w:id="58" w:name="_Toc7875"/>
      <w:bookmarkStart w:id="59" w:name="_Toc58354907"/>
      <w:r>
        <w:rPr>
          <w:rFonts w:hint="eastAsia" w:ascii="楷体_GB2312" w:hAnsi="楷体_GB2312" w:eastAsia="楷体_GB2312" w:cs="楷体_GB2312"/>
          <w:b w:val="0"/>
          <w:bCs w:val="0"/>
        </w:rPr>
        <w:t>（四）强化信用监管的支撑保障</w:t>
      </w:r>
      <w:bookmarkEnd w:id="57"/>
      <w:bookmarkEnd w:id="58"/>
      <w:bookmarkEnd w:id="59"/>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充分发挥</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互联网+</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大数据对信用监管的支撑作用</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依托区信用信息共享平台和国家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互联网+监管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等系统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充分运用大数据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人工智能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区块链等新一代信息技术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有效整合公共信用信息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市场信用信息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投诉举报信息和互联网及第三方相关信息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形成覆盖全区各类市场主体基础信息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执法监管和处置信息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失信联合惩戒等相关信息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实现信用监管数据可比对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过程可追溯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问题可监测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在行政许可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行政处罚信息公示的基础上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按照国家统一要求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研究行政确认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行政裁决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行政强制等信息对接公开方式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充分利用国家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互联网+监管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等系统建立风险预判预警机制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及早发现防范苗头性和跨行业跨区域风险</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运用大数据主动发现和识别违法违规线索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有效防范危害公共利益和群众生命财产安全的违法违规行为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鼓励通过物联网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视联网等非接触式监管方式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逐步实现监管规范化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精准化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智能化</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积极引导行业组织和信用服务机构协同监管</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大力支持有关部门授权的行业协会商会协助开展信用监管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鼓励相关部门与第三方信用服务机构在信用信息归集共享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大数据分析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风险预警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失信案例核查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失信行为跟踪监测等方面开展合作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切实发挥第三方信用服务机构在信用信息采集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应用等方面的专业作用</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60" w:name="_Toc59"/>
      <w:bookmarkStart w:id="61" w:name="_Toc21511"/>
      <w:bookmarkStart w:id="62" w:name="_Toc58354908"/>
      <w:r>
        <w:rPr>
          <w:rFonts w:hint="eastAsia" w:ascii="黑体" w:hAnsi="黑体" w:eastAsia="黑体" w:cs="黑体"/>
        </w:rPr>
        <w:t>六</w:t>
      </w:r>
      <w:r>
        <w:rPr>
          <w:rFonts w:hint="eastAsia" w:cs="黑体"/>
          <w:lang w:eastAsia="zh-CN"/>
        </w:rPr>
        <w:t>、</w:t>
      </w:r>
      <w:r>
        <w:rPr>
          <w:rFonts w:hint="eastAsia" w:ascii="黑体" w:hAnsi="黑体" w:eastAsia="黑体" w:cs="黑体"/>
        </w:rPr>
        <w:t>大力推动信用与经济社会发展深度融合</w:t>
      </w:r>
      <w:bookmarkEnd w:id="60"/>
      <w:bookmarkEnd w:id="61"/>
      <w:bookmarkEnd w:id="62"/>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63" w:name="_Toc30693"/>
      <w:bookmarkStart w:id="64" w:name="_Toc30317"/>
      <w:bookmarkStart w:id="65" w:name="_Toc58354909"/>
      <w:r>
        <w:rPr>
          <w:rFonts w:hint="eastAsia" w:ascii="楷体_GB2312" w:hAnsi="楷体_GB2312" w:eastAsia="楷体_GB2312" w:cs="楷体_GB2312"/>
          <w:b w:val="0"/>
          <w:bCs w:val="0"/>
        </w:rPr>
        <w:t>（一）以信用应用提升公共服务水平</w:t>
      </w:r>
      <w:bookmarkEnd w:id="63"/>
      <w:bookmarkEnd w:id="64"/>
      <w:bookmarkEnd w:id="65"/>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以信用提升政务服务效率</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充分激发政府效能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为守信主体提供优质高效的服务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梳理行政服务事项清单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规范推进政务服务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信用承诺制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容缺受理制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依托信用信息共享平台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探索持续推动食品药品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质量安全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文化执法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劳动监察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公安等领域应用信用报告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探索实行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N证合一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逐步减少提交材料数量；加强公积金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电力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水务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能源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社保等部门间信用信息归集共享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加快与市级信用信息平台的互联互通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数据共享</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优化服务流程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实现线上线下业务融合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推动更多服务事项实现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秒批秒办</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减少审查时间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不断提升政务服务效率</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以信用提升公用事业服务质量</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创新开发信用与民生融合应用场景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研究制定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信用+民生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措施清单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结合重点民生领域开展多场景应用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建立教育机构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教师及其他从业人员信用档案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将信用评价作为专业技术职务评聘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评选表彰等的重要参考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以养老院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日间照料中心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配餐中心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幼儿园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保育院为突破口</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信用+养老托幼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服务模式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提升养老托幼服务质量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实施对创新守信者实行优先办理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简化程序等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绿色通道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支持激励政策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探索形成解决中小微企业融资难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融资贵等问题的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北辰方案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建立健全信用医疗服务体系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研究开展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信易医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使信用好的患者享受免收住院押金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门诊陪诊服务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出院手续容缺办理和特殊检查预约等诊疗服务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探索实行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进一次院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只付一次费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先诊疗后付费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推动水电气等公用事业信用信息纳入公共信用信息平台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鼓励基于信用信息实施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先消费后付款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等便利化措施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推动做好个人信用奖惩工作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将道德模范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优秀志愿者等先进典型表彰信息纳入区信用平台并予以激励</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拓展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北辰诚信一卡通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使用范围</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66" w:name="_Toc26523"/>
      <w:bookmarkStart w:id="67" w:name="_Toc30650"/>
      <w:bookmarkStart w:id="68" w:name="_Toc58354910"/>
      <w:r>
        <w:rPr>
          <w:rFonts w:hint="eastAsia" w:ascii="楷体_GB2312" w:hAnsi="楷体_GB2312" w:eastAsia="楷体_GB2312" w:cs="楷体_GB2312"/>
          <w:b w:val="0"/>
          <w:bCs w:val="0"/>
        </w:rPr>
        <w:t>（二）以信用应用激发市场活力</w:t>
      </w:r>
      <w:bookmarkEnd w:id="66"/>
      <w:bookmarkEnd w:id="67"/>
      <w:bookmarkEnd w:id="68"/>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b/>
          <w:szCs w:val="32"/>
        </w:rPr>
        <w:t>大力推动</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信易贷</w:t>
      </w:r>
      <w:r>
        <w:rPr>
          <w:rFonts w:hint="eastAsia" w:ascii="仿宋_GB2312" w:hAnsi="仿宋_GB2312" w:eastAsia="仿宋_GB2312" w:cs="仿宋_GB2312"/>
          <w:b/>
          <w:szCs w:val="32"/>
          <w:lang w:eastAsia="zh-CN"/>
        </w:rPr>
        <w:t>”</w:t>
      </w:r>
      <w:r>
        <w:rPr>
          <w:rFonts w:hint="eastAsia" w:ascii="仿宋_GB2312" w:hAnsi="仿宋_GB2312" w:eastAsia="仿宋_GB2312" w:cs="仿宋_GB2312"/>
          <w:b/>
          <w:szCs w:val="32"/>
        </w:rPr>
        <w:t>创新应用</w:t>
      </w:r>
      <w:r>
        <w:rPr>
          <w:rFonts w:hint="eastAsia" w:ascii="仿宋_GB2312" w:hAnsi="仿宋_GB2312" w:eastAsia="仿宋_GB2312" w:cs="仿宋_GB2312"/>
          <w:b/>
          <w:szCs w:val="32"/>
          <w:lang w:eastAsia="zh-CN"/>
        </w:rPr>
        <w:t>。</w:t>
      </w:r>
      <w:r>
        <w:rPr>
          <w:rFonts w:hint="eastAsia" w:ascii="仿宋_GB2312" w:hAnsi="仿宋_GB2312" w:eastAsia="仿宋_GB2312" w:cs="仿宋_GB2312"/>
          <w:szCs w:val="32"/>
        </w:rPr>
        <w:t>依托天津市中小企业融资综合信用服务平台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采用直接开通平台账户方式尽快接入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积极推动我区有关金融机构和企业入驻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鼓励外部机构入驻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创新开发和大力推广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信易贷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产品和服务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引导符合条件的企业在线获取金融机构授信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着力解决中小微企业融资难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融资贵问题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探索建立创新中小微企业信用评价体系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研究政府采购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中小微企业信用担保</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信用保证保险基金等多层次中小微企业增信制度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持续推动银税互动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银担合作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实现纳税信息与金融信息互认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促进金融支持中小微企业发展</w:t>
      </w:r>
      <w:r>
        <w:rPr>
          <w:rFonts w:hint="eastAsia" w:ascii="仿宋_GB2312" w:hAnsi="仿宋_GB2312" w:eastAsia="仿宋_GB2312" w:cs="仿宋_GB2312"/>
          <w:szCs w:val="32"/>
          <w:lang w:eastAsia="zh-CN"/>
        </w:rPr>
        <w:t>。</w:t>
      </w:r>
    </w:p>
    <w:p>
      <w:pPr>
        <w:adjustRightInd w:val="0"/>
        <w:snapToGrid w:val="0"/>
        <w:spacing w:line="600" w:lineRule="exact"/>
        <w:ind w:firstLine="640"/>
        <w:jc w:val="both"/>
        <w:rPr>
          <w:rFonts w:hint="eastAsia" w:ascii="仿宋_GB2312" w:hAnsi="仿宋_GB2312" w:eastAsia="仿宋_GB2312" w:cs="仿宋_GB2312"/>
          <w:bCs/>
          <w:szCs w:val="32"/>
          <w:lang w:eastAsia="zh-CN"/>
        </w:rPr>
      </w:pPr>
      <w:r>
        <w:rPr>
          <w:rFonts w:hint="eastAsia" w:ascii="仿宋_GB2312" w:hAnsi="仿宋_GB2312" w:eastAsia="仿宋_GB2312" w:cs="仿宋_GB2312"/>
          <w:b/>
          <w:szCs w:val="32"/>
        </w:rPr>
        <w:t>不断拓展信用市场化应用场景</w:t>
      </w:r>
      <w:r>
        <w:rPr>
          <w:rFonts w:hint="eastAsia" w:ascii="仿宋_GB2312" w:hAnsi="仿宋_GB2312" w:eastAsia="仿宋_GB2312" w:cs="仿宋_GB2312"/>
          <w:b/>
          <w:szCs w:val="32"/>
          <w:lang w:eastAsia="zh-CN"/>
        </w:rPr>
        <w:t>。</w:t>
      </w:r>
      <w:r>
        <w:rPr>
          <w:rFonts w:hint="eastAsia" w:ascii="仿宋_GB2312" w:hAnsi="仿宋_GB2312" w:eastAsia="仿宋_GB2312" w:cs="仿宋_GB2312"/>
          <w:bCs/>
          <w:szCs w:val="32"/>
        </w:rPr>
        <w:t>与较成熟的信用服务机构开展战略合作</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引导企业在生产经营过程中主动用信</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持续推进实施</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信用+</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建设</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研究制定</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信用惠民便企措施清单</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鼓励市场机构开展信易游</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信易行</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信易租</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信易阅</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信易购等系列</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信易+</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应用示范项目</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研究推行</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信用+电子保函</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替代企业缴纳保证金制度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先行赔付</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机制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形成一批具有社会公信力和影响力的信用服务应用</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充分释放信用价值</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让守信者享受更多便利与优惠</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支持分享经济发展</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探索建立</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放心消费</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第三方信用监督服务机制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不断拓展社会化</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市场化守信激励措施</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创新消费模式</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扩大消费需求</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增强诚信企业和个人在经济社会活动中获得感</w:t>
      </w:r>
      <w:r>
        <w:rPr>
          <w:rFonts w:hint="eastAsia" w:ascii="仿宋_GB2312" w:hAnsi="仿宋_GB2312" w:eastAsia="仿宋_GB2312" w:cs="仿宋_GB2312"/>
          <w:bCs/>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69" w:name="_Toc32763"/>
      <w:bookmarkStart w:id="70" w:name="_Toc58354911"/>
      <w:bookmarkStart w:id="71" w:name="_Toc27925"/>
      <w:r>
        <w:rPr>
          <w:rFonts w:hint="eastAsia" w:ascii="黑体" w:hAnsi="黑体" w:eastAsia="黑体" w:cs="黑体"/>
        </w:rPr>
        <w:t>七</w:t>
      </w:r>
      <w:r>
        <w:rPr>
          <w:rFonts w:hint="eastAsia" w:cs="黑体"/>
          <w:lang w:eastAsia="zh-CN"/>
        </w:rPr>
        <w:t>、</w:t>
      </w:r>
      <w:r>
        <w:rPr>
          <w:rFonts w:hint="eastAsia" w:ascii="黑体" w:hAnsi="黑体" w:eastAsia="黑体" w:cs="黑体"/>
        </w:rPr>
        <w:t>开展重大专项工程建设</w:t>
      </w:r>
      <w:bookmarkEnd w:id="69"/>
      <w:bookmarkEnd w:id="70"/>
      <w:bookmarkEnd w:id="71"/>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72" w:name="_Toc29294"/>
      <w:bookmarkStart w:id="73" w:name="_Toc58354912"/>
      <w:bookmarkStart w:id="74" w:name="_Toc17740"/>
      <w:r>
        <w:rPr>
          <w:rFonts w:hint="eastAsia" w:ascii="楷体_GB2312" w:hAnsi="楷体_GB2312" w:eastAsia="楷体_GB2312" w:cs="楷体_GB2312"/>
          <w:b w:val="0"/>
          <w:bCs w:val="0"/>
        </w:rPr>
        <w:t>（一）信用示范城区创建工程</w:t>
      </w:r>
      <w:bookmarkEnd w:id="72"/>
      <w:bookmarkEnd w:id="73"/>
      <w:bookmarkEnd w:id="74"/>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按照国家创建社会信用体系建设示范要求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对标对表开展各方面工作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鼓励各部门以信用承诺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分级分类监管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失信惩戒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信用修复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信用大数据开发应用等为重点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积极开展信用建设创新示范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积极开展争创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诚信经营示范店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文明诚信市场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文明诚信单位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等评选活动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培育树立一批诚信典型标杆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积极融入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信用京津冀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一体化发展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促进行业与地区形成创新特色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在家政服务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交通运输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文化旅游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环境保护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创新创业等领域打造一批信用应用示范项目</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75" w:name="_Toc32408"/>
      <w:bookmarkStart w:id="76" w:name="_Toc58354913"/>
      <w:bookmarkStart w:id="77" w:name="_Toc6765"/>
      <w:r>
        <w:rPr>
          <w:rFonts w:hint="eastAsia" w:ascii="楷体_GB2312" w:hAnsi="楷体_GB2312" w:eastAsia="楷体_GB2312" w:cs="楷体_GB2312"/>
          <w:b w:val="0"/>
          <w:bCs w:val="0"/>
        </w:rPr>
        <w:t>（二）政务诚信提升工程</w:t>
      </w:r>
      <w:bookmarkEnd w:id="75"/>
      <w:bookmarkEnd w:id="76"/>
      <w:bookmarkEnd w:id="77"/>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建立政府决策执行诚信履约机制</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rPr>
        <w:t>开展政府失信问题专项治理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扎实做好政府机构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国有企业拖欠民营企业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中小企业账款专项治理以及农民工工资清欠工作</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rPr>
        <w:t>综合</w:t>
      </w:r>
      <w:r>
        <w:rPr>
          <w:rFonts w:hint="eastAsia" w:ascii="仿宋_GB2312" w:hAnsi="仿宋_GB2312" w:eastAsia="仿宋_GB2312" w:cs="仿宋_GB2312"/>
          <w:szCs w:val="32"/>
        </w:rPr>
        <w:t>采取限制融资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限制投资项目审批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限制获得各级政府性补贴补助资金等惩戒措施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着力解决政府承诺不兑现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拖欠款等问题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深入贯彻落实《天津市加强政务诚信建设实施方案》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推动政府部门诚信自律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提高政府公信力和执行力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建立健全公务员诚信档案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引入第三方机构开展政务诚信评估和监督</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不断提升各级政府和公务人员诚信履职意识</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78" w:name="_Toc58354914"/>
      <w:bookmarkStart w:id="79" w:name="_Toc24615"/>
      <w:bookmarkStart w:id="80" w:name="_Toc3243"/>
      <w:r>
        <w:rPr>
          <w:rFonts w:hint="eastAsia" w:ascii="楷体_GB2312" w:hAnsi="楷体_GB2312" w:eastAsia="楷体_GB2312" w:cs="楷体_GB2312"/>
          <w:b w:val="0"/>
          <w:bCs w:val="0"/>
        </w:rPr>
        <w:t>（三）探索信用经济试验区</w:t>
      </w:r>
      <w:bookmarkEnd w:id="78"/>
      <w:bookmarkEnd w:id="79"/>
      <w:bookmarkEnd w:id="80"/>
    </w:p>
    <w:p>
      <w:pPr>
        <w:adjustRightInd w:val="0"/>
        <w:snapToGrid w:val="0"/>
        <w:spacing w:line="600" w:lineRule="exact"/>
        <w:ind w:firstLine="640"/>
        <w:jc w:val="both"/>
        <w:rPr>
          <w:rFonts w:hint="eastAsia" w:ascii="仿宋_GB2312" w:hAnsi="仿宋_GB2312" w:eastAsia="仿宋_GB2312" w:cs="仿宋_GB2312"/>
          <w:i/>
          <w:iCs/>
          <w:color w:val="FF0000"/>
          <w:szCs w:val="32"/>
          <w:lang w:eastAsia="zh-CN"/>
        </w:rPr>
      </w:pPr>
      <w:r>
        <w:rPr>
          <w:rFonts w:hint="eastAsia" w:ascii="仿宋_GB2312" w:hAnsi="仿宋_GB2312" w:eastAsia="仿宋_GB2312" w:cs="仿宋_GB2312"/>
          <w:szCs w:val="32"/>
        </w:rPr>
        <w:t>在双发商业街诚信示范街与红星美凯龙诚信示范园区建设基础上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划定特定区域或街道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打造以信用与经济运行深度融合为特征的信用经济示范区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带动全区信用经济发展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积极推动工程建设招投标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政府采购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土地出让等公共资源交易领域深度应用信用评价报告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电子保函+信用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替代企业缴纳保证金制度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形成有追溯可记录的保函信用体系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对信誉好的企业优先开具银行保函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进一步减轻企业负担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依托区内众创空间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对信用良好初创企业在融资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租赁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行政审批等环节进行激励</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进一步便利企业创新创业等经营活动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在更多证明事项中实行以信用报告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信用承诺替代办理相关证明手续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推动企业审批流程便利化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在切实简化优化企业注销手续的同时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强化企业注销信用约束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用好北辰区信用信息共享平台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鼓励区内银行业金融机构开发更多面向初创中小微企业的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信易贷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产品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率先在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信用消费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信用住宿</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信用医疗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信用出行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等场景做出标杆示范</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81" w:name="_Toc22855"/>
      <w:bookmarkStart w:id="82" w:name="_Toc58354915"/>
      <w:bookmarkStart w:id="83" w:name="_Toc23491"/>
      <w:r>
        <w:rPr>
          <w:rFonts w:hint="eastAsia" w:ascii="楷体_GB2312" w:hAnsi="楷体_GB2312" w:eastAsia="楷体_GB2312" w:cs="楷体_GB2312"/>
          <w:b w:val="0"/>
          <w:bCs w:val="0"/>
        </w:rPr>
        <w:t>（四）创设诚信社区</w:t>
      </w:r>
      <w:bookmarkEnd w:id="81"/>
      <w:bookmarkEnd w:id="82"/>
      <w:bookmarkEnd w:id="83"/>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借鉴先进地区经验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w:t>
      </w:r>
      <w:r>
        <w:rPr>
          <w:rFonts w:hint="eastAsia" w:ascii="仿宋_GB2312" w:hAnsi="仿宋_GB2312" w:eastAsia="仿宋_GB2312" w:cs="仿宋_GB2312"/>
          <w:bCs/>
          <w:szCs w:val="32"/>
        </w:rPr>
        <w:t>社区信用体系建设新模式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织密织严基层治理网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促进社会治理创新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探索在社区开展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信用+垃圾分类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信用+物业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等创新实践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建立以信用为基础的社区治理体系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信用+党建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模式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规范化管理基层党组织和党员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有效提高党员群众对党建的参与度和响应度</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rPr>
        <w:t>建立社区志愿服务网</w:t>
      </w:r>
      <w:r>
        <w:rPr>
          <w:rFonts w:hint="eastAsia" w:ascii="仿宋_GB2312" w:hAnsi="仿宋_GB2312" w:eastAsia="仿宋_GB2312" w:cs="仿宋_GB2312"/>
          <w:bCs/>
          <w:szCs w:val="32"/>
          <w:lang w:eastAsia="zh-CN"/>
        </w:rPr>
        <w:t>，</w:t>
      </w:r>
      <w:r>
        <w:rPr>
          <w:rFonts w:hint="eastAsia" w:ascii="仿宋_GB2312" w:hAnsi="仿宋_GB2312" w:eastAsia="仿宋_GB2312" w:cs="仿宋_GB2312"/>
          <w:szCs w:val="32"/>
        </w:rPr>
        <w:t>以社区学雷锋志愿服务站为基础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发挥志愿者带头示范作用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居民共同参与制定社区信用公约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营造诚信氛围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支持社区根据好人好事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违章搭建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高空抛物等行为</w:t>
      </w:r>
      <w:r>
        <w:rPr>
          <w:rFonts w:hint="eastAsia" w:ascii="仿宋_GB2312" w:hAnsi="仿宋_GB2312" w:eastAsia="仿宋_GB2312" w:cs="仿宋_GB2312"/>
          <w:bCs/>
          <w:szCs w:val="32"/>
        </w:rPr>
        <w:t>设立</w:t>
      </w:r>
      <w:r>
        <w:rPr>
          <w:rFonts w:hint="eastAsia" w:ascii="仿宋_GB2312" w:hAnsi="仿宋_GB2312" w:eastAsia="仿宋_GB2312" w:cs="仿宋_GB2312"/>
          <w:szCs w:val="32"/>
        </w:rPr>
        <w:t>社区信用红黑榜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推荐守信居民参与社区评奖评优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享受免费旅游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免费体检等活动</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84" w:name="_Toc17582"/>
      <w:bookmarkStart w:id="85" w:name="_Toc58354916"/>
      <w:bookmarkStart w:id="86" w:name="_Toc19698"/>
      <w:r>
        <w:rPr>
          <w:rFonts w:hint="eastAsia" w:ascii="楷体_GB2312" w:hAnsi="楷体_GB2312" w:eastAsia="楷体_GB2312" w:cs="楷体_GB2312"/>
          <w:b w:val="0"/>
          <w:bCs w:val="0"/>
        </w:rPr>
        <w:t>（五）</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智慧城市+信用</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工程</w:t>
      </w:r>
      <w:bookmarkEnd w:id="84"/>
      <w:bookmarkEnd w:id="85"/>
      <w:bookmarkEnd w:id="86"/>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将信用建设与智慧城市建设紧密结合起来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在运用物联网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云计算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大数据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人工智能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区块链等新一代信息技术对城市信用元素进行充分挖掘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不断提升信用平台数据处理能力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以先进技术融合运用为智慧城市赋能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实现信用信息的记录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采集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处理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建档和传输的自动化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智能化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精准化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实现信用信息在特定场景的自动应用</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87" w:name="_Toc11825"/>
      <w:bookmarkStart w:id="88" w:name="_Toc58354917"/>
      <w:bookmarkStart w:id="89" w:name="_Toc11673"/>
      <w:r>
        <w:rPr>
          <w:rFonts w:hint="eastAsia" w:ascii="楷体_GB2312" w:hAnsi="楷体_GB2312" w:eastAsia="楷体_GB2312" w:cs="楷体_GB2312"/>
          <w:b w:val="0"/>
          <w:bCs w:val="0"/>
        </w:rPr>
        <w:t>（六）诚信缺失专项治理工程</w:t>
      </w:r>
      <w:bookmarkEnd w:id="87"/>
      <w:bookmarkEnd w:id="88"/>
      <w:bookmarkEnd w:id="89"/>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针对当前经济社会中的诚信热点问题和群众反映强烈的失信突出问题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在电信网络诈骗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互联网信息服务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骗取社会保险</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金融</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交通运输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生态环保等领域集中开展诚信缺失突出问题专项治理行动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推动诚信建设长效化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注重部门协同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统筹推进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依法依规开展常态化专项治理行动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努力打造不敢失信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不能失信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不愿失信的社会环境</w:t>
      </w:r>
      <w:r>
        <w:rPr>
          <w:rFonts w:hint="eastAsia" w:ascii="仿宋_GB2312" w:hAnsi="仿宋_GB2312" w:eastAsia="仿宋_GB2312" w:cs="仿宋_GB2312"/>
          <w:szCs w:val="32"/>
          <w:lang w:eastAsia="zh-CN"/>
        </w:rPr>
        <w:t>。</w:t>
      </w:r>
    </w:p>
    <w:p>
      <w:pPr>
        <w:pStyle w:val="2"/>
        <w:adjustRightInd w:val="0"/>
        <w:snapToGrid w:val="0"/>
        <w:spacing w:before="157" w:beforeLines="50" w:after="157" w:afterLines="50" w:line="600" w:lineRule="exact"/>
        <w:jc w:val="both"/>
        <w:rPr>
          <w:rFonts w:hint="eastAsia" w:ascii="黑体" w:hAnsi="黑体" w:eastAsia="黑体" w:cs="黑体"/>
        </w:rPr>
      </w:pPr>
      <w:bookmarkStart w:id="90" w:name="_Toc8997"/>
      <w:bookmarkStart w:id="91" w:name="_Toc15228"/>
      <w:bookmarkStart w:id="92" w:name="_Toc58354918"/>
      <w:r>
        <w:rPr>
          <w:rFonts w:hint="eastAsia" w:ascii="黑体" w:hAnsi="黑体" w:eastAsia="黑体" w:cs="黑体"/>
        </w:rPr>
        <w:t>八</w:t>
      </w:r>
      <w:r>
        <w:rPr>
          <w:rFonts w:hint="eastAsia" w:cs="黑体"/>
          <w:lang w:eastAsia="zh-CN"/>
        </w:rPr>
        <w:t>、</w:t>
      </w:r>
      <w:r>
        <w:rPr>
          <w:rFonts w:hint="eastAsia" w:ascii="黑体" w:hAnsi="黑体" w:eastAsia="黑体" w:cs="黑体"/>
        </w:rPr>
        <w:t>实施保障</w:t>
      </w:r>
      <w:bookmarkEnd w:id="90"/>
      <w:bookmarkEnd w:id="91"/>
      <w:bookmarkEnd w:id="92"/>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93" w:name="_Toc58354919"/>
      <w:bookmarkStart w:id="94" w:name="_Toc23688"/>
      <w:bookmarkStart w:id="95" w:name="_Toc21043"/>
      <w:r>
        <w:rPr>
          <w:rFonts w:hint="eastAsia" w:ascii="楷体_GB2312" w:hAnsi="楷体_GB2312" w:eastAsia="楷体_GB2312" w:cs="楷体_GB2312"/>
          <w:b w:val="0"/>
          <w:bCs w:val="0"/>
        </w:rPr>
        <w:t>（一）完善组织保障</w:t>
      </w:r>
      <w:bookmarkEnd w:id="93"/>
      <w:bookmarkEnd w:id="94"/>
      <w:bookmarkEnd w:id="95"/>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完善区诚信建设领导小组制度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充分发挥领导小组对全局统筹协调作用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建立各部门联合推进的工作机制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建立工作通报制度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加强对各部门社会信用体系建设工作的指导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督促和检查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在更高层次上推动社会信用体系建设协调发展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建立各部门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一把手负责制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主要负责同志要主动学信用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懂信用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善于运用信用来加强监管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搞好服务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各部门应及时向诚信建设领导小组反映信用体系建设进程中重大问题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按计划推进相关工作</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96" w:name="_Toc58354920"/>
      <w:bookmarkStart w:id="97" w:name="_Toc8574"/>
      <w:bookmarkStart w:id="98" w:name="_Toc7484"/>
      <w:r>
        <w:rPr>
          <w:rFonts w:hint="eastAsia" w:ascii="楷体_GB2312" w:hAnsi="楷体_GB2312" w:eastAsia="楷体_GB2312" w:cs="楷体_GB2312"/>
          <w:b w:val="0"/>
          <w:bCs w:val="0"/>
        </w:rPr>
        <w:t>（二）加大政策支持力度</w:t>
      </w:r>
      <w:bookmarkEnd w:id="96"/>
      <w:bookmarkEnd w:id="97"/>
      <w:bookmarkEnd w:id="98"/>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强化财政预算保障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设立社会信用体系建设专项资金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鼓励各部门结合上级关于社会信用体系建设的部署和工作实际</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在社会信用体系建设创新示范领域先行先试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加大在教育培训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课题研究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信用平台建设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信用产品研发应用等方面投入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优化资金使用结构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重点支持影响大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有实效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有示范作用的项目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建立对既有给予资金补贴的信用管理应用项目的跟踪评估机制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提高资金使用效率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探索市场化融资机制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充分发挥财政资金引导作用和杠杆效应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建立健全政府购买服务机制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鼓励民间资本进入信用服务市场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加大对信用标准制订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信用信息采集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信用产品研发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信用产品服务应用推广等支持力度</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99" w:name="_Toc434"/>
      <w:bookmarkStart w:id="100" w:name="_Toc28102"/>
      <w:bookmarkStart w:id="101" w:name="_Toc58354921"/>
      <w:r>
        <w:rPr>
          <w:rFonts w:hint="eastAsia" w:ascii="楷体_GB2312" w:hAnsi="楷体_GB2312" w:eastAsia="楷体_GB2312" w:cs="楷体_GB2312"/>
          <w:b w:val="0"/>
          <w:bCs w:val="0"/>
        </w:rPr>
        <w:t>（三）做好诚信宣传教育</w:t>
      </w:r>
      <w:bookmarkEnd w:id="99"/>
      <w:bookmarkEnd w:id="100"/>
      <w:bookmarkEnd w:id="101"/>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持续深入推进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诚信建设万里行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主题宣传活动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继续组织实施好</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诚信兴商活动月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6</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14信用记录关爱日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等宣传活动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弘扬诚信文化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充分利用电视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报纸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网络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微信等媒介引导和监督作用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加大对守信典型的宣传和对失信典型的曝光力度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依托校园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企业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街道社区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村镇等渠道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加强普及信用知识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开展青少年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企业家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重点职业群体的诚信教育</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rPr>
        <w:t>开展企业亮信活动</w:t>
      </w:r>
      <w:r>
        <w:rPr>
          <w:rFonts w:hint="eastAsia" w:ascii="仿宋_GB2312" w:hAnsi="仿宋_GB2312" w:eastAsia="仿宋_GB2312" w:cs="仿宋_GB2312"/>
          <w:bCs/>
          <w:szCs w:val="32"/>
          <w:lang w:eastAsia="zh-CN"/>
        </w:rPr>
        <w:t>，</w:t>
      </w:r>
      <w:r>
        <w:rPr>
          <w:rFonts w:hint="eastAsia" w:ascii="仿宋_GB2312" w:hAnsi="仿宋_GB2312" w:eastAsia="仿宋_GB2312" w:cs="仿宋_GB2312"/>
          <w:szCs w:val="32"/>
        </w:rPr>
        <w:t>鼓励区内企业主动公示信用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举办信用典型案例评选活动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宣传推广各类诚信典型和诚信事迹</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解读分析联合惩戒案例</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努力营造良好营商环境和诚实守信的社会氛围</w:t>
      </w:r>
      <w:r>
        <w:rPr>
          <w:rFonts w:hint="eastAsia" w:ascii="仿宋_GB2312" w:hAnsi="仿宋_GB2312" w:eastAsia="仿宋_GB2312" w:cs="仿宋_GB2312"/>
          <w:szCs w:val="32"/>
          <w:lang w:eastAsia="zh-CN"/>
        </w:rPr>
        <w:t>。</w:t>
      </w:r>
    </w:p>
    <w:p>
      <w:pPr>
        <w:pStyle w:val="3"/>
        <w:adjustRightInd w:val="0"/>
        <w:snapToGrid w:val="0"/>
        <w:spacing w:before="0" w:after="0" w:line="600" w:lineRule="exact"/>
        <w:ind w:firstLine="640"/>
        <w:jc w:val="both"/>
        <w:rPr>
          <w:rFonts w:hint="eastAsia" w:ascii="楷体_GB2312" w:hAnsi="楷体_GB2312" w:eastAsia="楷体_GB2312" w:cs="楷体_GB2312"/>
          <w:b w:val="0"/>
          <w:bCs w:val="0"/>
        </w:rPr>
      </w:pPr>
      <w:bookmarkStart w:id="102" w:name="_Toc3202"/>
      <w:bookmarkStart w:id="103" w:name="_Toc2469"/>
      <w:bookmarkStart w:id="104" w:name="_Toc58354922"/>
      <w:r>
        <w:rPr>
          <w:rFonts w:hint="eastAsia" w:ascii="楷体_GB2312" w:hAnsi="楷体_GB2312" w:eastAsia="楷体_GB2312" w:cs="楷体_GB2312"/>
          <w:b w:val="0"/>
          <w:bCs w:val="0"/>
        </w:rPr>
        <w:t>（四）强化考核引导促进</w:t>
      </w:r>
      <w:bookmarkEnd w:id="102"/>
      <w:bookmarkEnd w:id="103"/>
      <w:bookmarkEnd w:id="104"/>
    </w:p>
    <w:p>
      <w:pPr>
        <w:adjustRightInd w:val="0"/>
        <w:snapToGrid w:val="0"/>
        <w:spacing w:line="600" w:lineRule="exact"/>
        <w:ind w:firstLine="64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将信用建设工作纳入全区绩效考核</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对照国家城市信用监测指标体系不断完善监测评价工作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建立差别化的信用工作考核制度以及绩效考评指标体系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以绩效考核倒逼各单位履职尽责</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做到规定动作与自选动作相结合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加强各项任务落实情况的督促检查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强化部门协同情况检查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把诚信建设与形式主义官僚主义</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不作为不担当问题专项整治结合起来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对工作推进不力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不负责任</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工作滞后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造成影响的要及时进行通报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约谈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逐步实施全区信用工作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清单化</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管理制度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适时引入第三方评估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社会监督评价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充分发挥考核评估的推动作用</w:t>
      </w:r>
      <w:r>
        <w:rPr>
          <w:rFonts w:hint="eastAsia" w:ascii="仿宋_GB2312" w:hAnsi="仿宋_GB2312" w:eastAsia="仿宋_GB2312" w:cs="仿宋_GB2312"/>
          <w:szCs w:val="32"/>
          <w:lang w:eastAsia="zh-CN"/>
        </w:rPr>
        <w:t>。</w:t>
      </w:r>
    </w:p>
    <w:sectPr>
      <w:footerReference r:id="rId12" w:type="default"/>
      <w:pgSz w:w="11906" w:h="16838"/>
      <w:pgMar w:top="2041" w:right="1559" w:bottom="1701" w:left="1559"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707062021"/>
                </w:sdtPr>
                <w:sdtContent>
                  <w:p>
                    <w:pPr>
                      <w:pStyle w:val="8"/>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27</w:t>
                    </w:r>
                    <w:r>
                      <w:rPr>
                        <w:rFonts w:hint="eastAsia" w:asciiTheme="minorEastAsia" w:hAnsiTheme="minorEastAsia" w:eastAsiaTheme="minorEastAsia" w:cstheme="minorEastAsia"/>
                        <w:sz w:val="28"/>
                        <w:szCs w:val="28"/>
                      </w:rPr>
                      <w:fldChar w:fldCharType="end"/>
                    </w:r>
                  </w:p>
                </w:sdtContent>
              </w:sdt>
              <w:p/>
            </w:txbxContent>
          </v:textbox>
        </v:shape>
      </w:pict>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707062021"/>
                </w:sdtPr>
                <w:sdtContent>
                  <w:p>
                    <w:pPr>
                      <w:pStyle w:val="8"/>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27</w:t>
                    </w:r>
                    <w:r>
                      <w:rPr>
                        <w:rFonts w:hint="eastAsia" w:asciiTheme="minorEastAsia" w:hAnsiTheme="minorEastAsia" w:eastAsiaTheme="minorEastAsia" w:cstheme="minorEastAsia"/>
                        <w:sz w:val="28"/>
                        <w:szCs w:val="28"/>
                      </w:rPr>
                      <w:fldChar w:fldCharType="end"/>
                    </w:r>
                  </w:p>
                </w:sdtContent>
              </w:sdt>
              <w:p/>
            </w:txbxContent>
          </v:textbox>
        </v:shape>
      </w:pict>
    </w:r>
  </w:p>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321"/>
    <w:rsid w:val="00000875"/>
    <w:rsid w:val="00002F11"/>
    <w:rsid w:val="000041CB"/>
    <w:rsid w:val="000046F1"/>
    <w:rsid w:val="00011C8F"/>
    <w:rsid w:val="000135C5"/>
    <w:rsid w:val="000135DF"/>
    <w:rsid w:val="00020EB2"/>
    <w:rsid w:val="0003040A"/>
    <w:rsid w:val="00041899"/>
    <w:rsid w:val="00041980"/>
    <w:rsid w:val="00041E67"/>
    <w:rsid w:val="00041FFD"/>
    <w:rsid w:val="00044F09"/>
    <w:rsid w:val="00046750"/>
    <w:rsid w:val="0005188C"/>
    <w:rsid w:val="00054BB1"/>
    <w:rsid w:val="000677BA"/>
    <w:rsid w:val="00070619"/>
    <w:rsid w:val="000726F3"/>
    <w:rsid w:val="00072BD7"/>
    <w:rsid w:val="00080EC7"/>
    <w:rsid w:val="00085753"/>
    <w:rsid w:val="000870E5"/>
    <w:rsid w:val="00093A1C"/>
    <w:rsid w:val="00094874"/>
    <w:rsid w:val="00095E72"/>
    <w:rsid w:val="000A0A90"/>
    <w:rsid w:val="000A3A58"/>
    <w:rsid w:val="000A468A"/>
    <w:rsid w:val="000A6931"/>
    <w:rsid w:val="000B09FA"/>
    <w:rsid w:val="000B55A5"/>
    <w:rsid w:val="000B5D93"/>
    <w:rsid w:val="000B7ED3"/>
    <w:rsid w:val="000C0A4D"/>
    <w:rsid w:val="000C2D69"/>
    <w:rsid w:val="000C3BD1"/>
    <w:rsid w:val="000C7677"/>
    <w:rsid w:val="000E2CFF"/>
    <w:rsid w:val="000E2ED5"/>
    <w:rsid w:val="000E4523"/>
    <w:rsid w:val="000F0DC8"/>
    <w:rsid w:val="001015E6"/>
    <w:rsid w:val="001016ED"/>
    <w:rsid w:val="00103FDF"/>
    <w:rsid w:val="00112171"/>
    <w:rsid w:val="00112FA7"/>
    <w:rsid w:val="00120F40"/>
    <w:rsid w:val="00126B65"/>
    <w:rsid w:val="00127380"/>
    <w:rsid w:val="00130460"/>
    <w:rsid w:val="00132530"/>
    <w:rsid w:val="00133697"/>
    <w:rsid w:val="00134CE3"/>
    <w:rsid w:val="00137B39"/>
    <w:rsid w:val="001443F5"/>
    <w:rsid w:val="00147B0C"/>
    <w:rsid w:val="00154BDD"/>
    <w:rsid w:val="00154F72"/>
    <w:rsid w:val="00157D70"/>
    <w:rsid w:val="00163336"/>
    <w:rsid w:val="00172983"/>
    <w:rsid w:val="00176E11"/>
    <w:rsid w:val="001811FA"/>
    <w:rsid w:val="00191C3E"/>
    <w:rsid w:val="00194F39"/>
    <w:rsid w:val="001A2F49"/>
    <w:rsid w:val="001A5B87"/>
    <w:rsid w:val="001B3CDC"/>
    <w:rsid w:val="001C18EC"/>
    <w:rsid w:val="001C4392"/>
    <w:rsid w:val="001C5F75"/>
    <w:rsid w:val="001D2970"/>
    <w:rsid w:val="001D4DCC"/>
    <w:rsid w:val="001D6E18"/>
    <w:rsid w:val="001D7829"/>
    <w:rsid w:val="001E6489"/>
    <w:rsid w:val="001F39C8"/>
    <w:rsid w:val="001F72B4"/>
    <w:rsid w:val="002007BE"/>
    <w:rsid w:val="002030BC"/>
    <w:rsid w:val="00204791"/>
    <w:rsid w:val="00204FE8"/>
    <w:rsid w:val="00205A7E"/>
    <w:rsid w:val="00210DA4"/>
    <w:rsid w:val="00212B0B"/>
    <w:rsid w:val="00221414"/>
    <w:rsid w:val="00224CA3"/>
    <w:rsid w:val="0022542A"/>
    <w:rsid w:val="002260A6"/>
    <w:rsid w:val="00227294"/>
    <w:rsid w:val="0022788A"/>
    <w:rsid w:val="00231C92"/>
    <w:rsid w:val="00234AD8"/>
    <w:rsid w:val="00235290"/>
    <w:rsid w:val="00236793"/>
    <w:rsid w:val="00241018"/>
    <w:rsid w:val="00241E04"/>
    <w:rsid w:val="00244F16"/>
    <w:rsid w:val="00253041"/>
    <w:rsid w:val="0025682F"/>
    <w:rsid w:val="002626A7"/>
    <w:rsid w:val="00263A83"/>
    <w:rsid w:val="002640C8"/>
    <w:rsid w:val="0028113B"/>
    <w:rsid w:val="00282251"/>
    <w:rsid w:val="00282919"/>
    <w:rsid w:val="00292577"/>
    <w:rsid w:val="00296EA0"/>
    <w:rsid w:val="002A15BB"/>
    <w:rsid w:val="002A32D6"/>
    <w:rsid w:val="002A52EB"/>
    <w:rsid w:val="002A56FC"/>
    <w:rsid w:val="002B50B7"/>
    <w:rsid w:val="002C058A"/>
    <w:rsid w:val="002C411C"/>
    <w:rsid w:val="002C4D7C"/>
    <w:rsid w:val="002D097D"/>
    <w:rsid w:val="002D0AA7"/>
    <w:rsid w:val="002D245B"/>
    <w:rsid w:val="002D4321"/>
    <w:rsid w:val="002D5C6E"/>
    <w:rsid w:val="002D6C98"/>
    <w:rsid w:val="002E6A5B"/>
    <w:rsid w:val="002F1034"/>
    <w:rsid w:val="002F31D3"/>
    <w:rsid w:val="002F523A"/>
    <w:rsid w:val="002F53E0"/>
    <w:rsid w:val="002F5CBA"/>
    <w:rsid w:val="002F6B99"/>
    <w:rsid w:val="002F7C41"/>
    <w:rsid w:val="003021F2"/>
    <w:rsid w:val="003051CE"/>
    <w:rsid w:val="003056BB"/>
    <w:rsid w:val="00307279"/>
    <w:rsid w:val="00312270"/>
    <w:rsid w:val="0031277C"/>
    <w:rsid w:val="00313605"/>
    <w:rsid w:val="003138C0"/>
    <w:rsid w:val="00313BFA"/>
    <w:rsid w:val="00314068"/>
    <w:rsid w:val="0031507C"/>
    <w:rsid w:val="00323C2F"/>
    <w:rsid w:val="003300A8"/>
    <w:rsid w:val="003311CB"/>
    <w:rsid w:val="003324A7"/>
    <w:rsid w:val="00332FF9"/>
    <w:rsid w:val="003332A2"/>
    <w:rsid w:val="00333EFF"/>
    <w:rsid w:val="00334CF9"/>
    <w:rsid w:val="003375D2"/>
    <w:rsid w:val="00342D5F"/>
    <w:rsid w:val="003433C7"/>
    <w:rsid w:val="003459F6"/>
    <w:rsid w:val="003531D0"/>
    <w:rsid w:val="00356D06"/>
    <w:rsid w:val="0036168A"/>
    <w:rsid w:val="00364374"/>
    <w:rsid w:val="0037369B"/>
    <w:rsid w:val="00381F6C"/>
    <w:rsid w:val="00382CB2"/>
    <w:rsid w:val="0038398A"/>
    <w:rsid w:val="003868E9"/>
    <w:rsid w:val="0038707F"/>
    <w:rsid w:val="003872FF"/>
    <w:rsid w:val="00387EB4"/>
    <w:rsid w:val="003904D2"/>
    <w:rsid w:val="003907BA"/>
    <w:rsid w:val="00392960"/>
    <w:rsid w:val="00393264"/>
    <w:rsid w:val="00395DA9"/>
    <w:rsid w:val="00396A2B"/>
    <w:rsid w:val="00396FAD"/>
    <w:rsid w:val="00397486"/>
    <w:rsid w:val="003A0681"/>
    <w:rsid w:val="003A40B7"/>
    <w:rsid w:val="003A561F"/>
    <w:rsid w:val="003A6989"/>
    <w:rsid w:val="003B05EA"/>
    <w:rsid w:val="003B3550"/>
    <w:rsid w:val="003B618A"/>
    <w:rsid w:val="003C2E6D"/>
    <w:rsid w:val="003C56F6"/>
    <w:rsid w:val="003C7B90"/>
    <w:rsid w:val="003D0985"/>
    <w:rsid w:val="003D15F9"/>
    <w:rsid w:val="003D1F67"/>
    <w:rsid w:val="003D5C2A"/>
    <w:rsid w:val="003E36FA"/>
    <w:rsid w:val="003E6998"/>
    <w:rsid w:val="003F0EFD"/>
    <w:rsid w:val="003F2089"/>
    <w:rsid w:val="003F2CC6"/>
    <w:rsid w:val="00402B78"/>
    <w:rsid w:val="004043B4"/>
    <w:rsid w:val="004104FA"/>
    <w:rsid w:val="004111B4"/>
    <w:rsid w:val="004124A8"/>
    <w:rsid w:val="00412912"/>
    <w:rsid w:val="00413DA1"/>
    <w:rsid w:val="004249A3"/>
    <w:rsid w:val="00427770"/>
    <w:rsid w:val="00431688"/>
    <w:rsid w:val="004336D1"/>
    <w:rsid w:val="00434BDB"/>
    <w:rsid w:val="0043723D"/>
    <w:rsid w:val="0044004D"/>
    <w:rsid w:val="00440A2F"/>
    <w:rsid w:val="00440EFA"/>
    <w:rsid w:val="004429F6"/>
    <w:rsid w:val="00443982"/>
    <w:rsid w:val="004447D1"/>
    <w:rsid w:val="004537F1"/>
    <w:rsid w:val="00461193"/>
    <w:rsid w:val="00461992"/>
    <w:rsid w:val="00463519"/>
    <w:rsid w:val="00476078"/>
    <w:rsid w:val="0048602D"/>
    <w:rsid w:val="00487B3B"/>
    <w:rsid w:val="004918AA"/>
    <w:rsid w:val="004A04C1"/>
    <w:rsid w:val="004A20DB"/>
    <w:rsid w:val="004B39D6"/>
    <w:rsid w:val="004B5383"/>
    <w:rsid w:val="004C33D2"/>
    <w:rsid w:val="004C614F"/>
    <w:rsid w:val="004C75CB"/>
    <w:rsid w:val="004D1527"/>
    <w:rsid w:val="004D3496"/>
    <w:rsid w:val="004E2546"/>
    <w:rsid w:val="004E3026"/>
    <w:rsid w:val="004E3CE1"/>
    <w:rsid w:val="004E5722"/>
    <w:rsid w:val="004E6DFB"/>
    <w:rsid w:val="004F08CB"/>
    <w:rsid w:val="004F10A1"/>
    <w:rsid w:val="004F42C8"/>
    <w:rsid w:val="004F5D22"/>
    <w:rsid w:val="00501DA0"/>
    <w:rsid w:val="0051130B"/>
    <w:rsid w:val="00516882"/>
    <w:rsid w:val="00520DB9"/>
    <w:rsid w:val="00532E2D"/>
    <w:rsid w:val="00543979"/>
    <w:rsid w:val="00547AE5"/>
    <w:rsid w:val="00547C85"/>
    <w:rsid w:val="005516F0"/>
    <w:rsid w:val="00551A30"/>
    <w:rsid w:val="00553FB7"/>
    <w:rsid w:val="00554636"/>
    <w:rsid w:val="005608A3"/>
    <w:rsid w:val="00566ED1"/>
    <w:rsid w:val="00571728"/>
    <w:rsid w:val="00574398"/>
    <w:rsid w:val="00574AE3"/>
    <w:rsid w:val="00575CB8"/>
    <w:rsid w:val="00576D4B"/>
    <w:rsid w:val="00580519"/>
    <w:rsid w:val="005808C1"/>
    <w:rsid w:val="00582EA7"/>
    <w:rsid w:val="00585A08"/>
    <w:rsid w:val="005909A2"/>
    <w:rsid w:val="00591A78"/>
    <w:rsid w:val="00593796"/>
    <w:rsid w:val="00594A41"/>
    <w:rsid w:val="00597871"/>
    <w:rsid w:val="005A2312"/>
    <w:rsid w:val="005A26E8"/>
    <w:rsid w:val="005A2BBC"/>
    <w:rsid w:val="005A39D4"/>
    <w:rsid w:val="005B1601"/>
    <w:rsid w:val="005B285E"/>
    <w:rsid w:val="005B3B3C"/>
    <w:rsid w:val="005B7B98"/>
    <w:rsid w:val="005C03C9"/>
    <w:rsid w:val="005C51E4"/>
    <w:rsid w:val="005C6E2A"/>
    <w:rsid w:val="005D0B1C"/>
    <w:rsid w:val="005D0EB5"/>
    <w:rsid w:val="005D181C"/>
    <w:rsid w:val="005D1D0E"/>
    <w:rsid w:val="005D458D"/>
    <w:rsid w:val="005D70D2"/>
    <w:rsid w:val="005F1E77"/>
    <w:rsid w:val="005F4ED9"/>
    <w:rsid w:val="005F55CB"/>
    <w:rsid w:val="005F6207"/>
    <w:rsid w:val="00600CA3"/>
    <w:rsid w:val="0060228B"/>
    <w:rsid w:val="00602782"/>
    <w:rsid w:val="00604E88"/>
    <w:rsid w:val="006123E0"/>
    <w:rsid w:val="00625C3E"/>
    <w:rsid w:val="00626EF2"/>
    <w:rsid w:val="0063128A"/>
    <w:rsid w:val="00633E7D"/>
    <w:rsid w:val="006414FF"/>
    <w:rsid w:val="0064318E"/>
    <w:rsid w:val="00657AD2"/>
    <w:rsid w:val="00661A19"/>
    <w:rsid w:val="00664757"/>
    <w:rsid w:val="00664F9C"/>
    <w:rsid w:val="006672F6"/>
    <w:rsid w:val="0067067A"/>
    <w:rsid w:val="0067135D"/>
    <w:rsid w:val="006726B8"/>
    <w:rsid w:val="00672C2E"/>
    <w:rsid w:val="006775CA"/>
    <w:rsid w:val="00682078"/>
    <w:rsid w:val="00686BB4"/>
    <w:rsid w:val="006910A2"/>
    <w:rsid w:val="006936F1"/>
    <w:rsid w:val="006A0AE9"/>
    <w:rsid w:val="006A3BFA"/>
    <w:rsid w:val="006A56E2"/>
    <w:rsid w:val="006C1523"/>
    <w:rsid w:val="006C4B87"/>
    <w:rsid w:val="006D24EB"/>
    <w:rsid w:val="006D47F7"/>
    <w:rsid w:val="006D4AE1"/>
    <w:rsid w:val="006D71C1"/>
    <w:rsid w:val="006E2533"/>
    <w:rsid w:val="006E2D0A"/>
    <w:rsid w:val="006F07A7"/>
    <w:rsid w:val="007043B1"/>
    <w:rsid w:val="007049B5"/>
    <w:rsid w:val="007102BA"/>
    <w:rsid w:val="00711C09"/>
    <w:rsid w:val="007126C5"/>
    <w:rsid w:val="007150CB"/>
    <w:rsid w:val="00715239"/>
    <w:rsid w:val="00716280"/>
    <w:rsid w:val="007166EE"/>
    <w:rsid w:val="007171AE"/>
    <w:rsid w:val="007326D1"/>
    <w:rsid w:val="0074000B"/>
    <w:rsid w:val="00740031"/>
    <w:rsid w:val="007402B0"/>
    <w:rsid w:val="007403CC"/>
    <w:rsid w:val="00741DA4"/>
    <w:rsid w:val="007528A0"/>
    <w:rsid w:val="00753F35"/>
    <w:rsid w:val="00755B6A"/>
    <w:rsid w:val="007575A4"/>
    <w:rsid w:val="00762A7B"/>
    <w:rsid w:val="007631EA"/>
    <w:rsid w:val="00763990"/>
    <w:rsid w:val="0076418C"/>
    <w:rsid w:val="00764ED4"/>
    <w:rsid w:val="00765AB7"/>
    <w:rsid w:val="0076785A"/>
    <w:rsid w:val="00780EF0"/>
    <w:rsid w:val="0078398C"/>
    <w:rsid w:val="00793D21"/>
    <w:rsid w:val="00795F66"/>
    <w:rsid w:val="007A24BD"/>
    <w:rsid w:val="007A2EDC"/>
    <w:rsid w:val="007A51E0"/>
    <w:rsid w:val="007A6361"/>
    <w:rsid w:val="007A6652"/>
    <w:rsid w:val="007A7C8A"/>
    <w:rsid w:val="007B0E77"/>
    <w:rsid w:val="007B4B40"/>
    <w:rsid w:val="007C3431"/>
    <w:rsid w:val="007C34D1"/>
    <w:rsid w:val="007C46E3"/>
    <w:rsid w:val="007D07B4"/>
    <w:rsid w:val="007D1BBE"/>
    <w:rsid w:val="007D2EB6"/>
    <w:rsid w:val="007E1524"/>
    <w:rsid w:val="007E4A51"/>
    <w:rsid w:val="007E61D5"/>
    <w:rsid w:val="007E6963"/>
    <w:rsid w:val="007F2081"/>
    <w:rsid w:val="00804CBD"/>
    <w:rsid w:val="008109F9"/>
    <w:rsid w:val="00813600"/>
    <w:rsid w:val="0081716E"/>
    <w:rsid w:val="00820A31"/>
    <w:rsid w:val="00824680"/>
    <w:rsid w:val="00832F38"/>
    <w:rsid w:val="00833ED2"/>
    <w:rsid w:val="00836DA1"/>
    <w:rsid w:val="0083734F"/>
    <w:rsid w:val="00837FA5"/>
    <w:rsid w:val="008405A5"/>
    <w:rsid w:val="008408BD"/>
    <w:rsid w:val="00845B8E"/>
    <w:rsid w:val="00845EE0"/>
    <w:rsid w:val="00846396"/>
    <w:rsid w:val="00846F00"/>
    <w:rsid w:val="00852927"/>
    <w:rsid w:val="0085461C"/>
    <w:rsid w:val="00854DA1"/>
    <w:rsid w:val="00857306"/>
    <w:rsid w:val="00860C55"/>
    <w:rsid w:val="00861455"/>
    <w:rsid w:val="00880C52"/>
    <w:rsid w:val="00882226"/>
    <w:rsid w:val="00883A07"/>
    <w:rsid w:val="008921EB"/>
    <w:rsid w:val="0089267E"/>
    <w:rsid w:val="00893411"/>
    <w:rsid w:val="008947C2"/>
    <w:rsid w:val="00896748"/>
    <w:rsid w:val="008B1F33"/>
    <w:rsid w:val="008C2BF7"/>
    <w:rsid w:val="008C4680"/>
    <w:rsid w:val="008C76E1"/>
    <w:rsid w:val="008D461D"/>
    <w:rsid w:val="008D5A5F"/>
    <w:rsid w:val="008D5FEC"/>
    <w:rsid w:val="008D650B"/>
    <w:rsid w:val="008D78A2"/>
    <w:rsid w:val="008E2A40"/>
    <w:rsid w:val="008E2BF0"/>
    <w:rsid w:val="008E4548"/>
    <w:rsid w:val="00905FAE"/>
    <w:rsid w:val="00913813"/>
    <w:rsid w:val="009147B8"/>
    <w:rsid w:val="00916EAD"/>
    <w:rsid w:val="0092287D"/>
    <w:rsid w:val="00922C8C"/>
    <w:rsid w:val="00923154"/>
    <w:rsid w:val="00924718"/>
    <w:rsid w:val="00925442"/>
    <w:rsid w:val="00931BAB"/>
    <w:rsid w:val="00935343"/>
    <w:rsid w:val="00946D67"/>
    <w:rsid w:val="00953193"/>
    <w:rsid w:val="009555A5"/>
    <w:rsid w:val="00955D89"/>
    <w:rsid w:val="0096199F"/>
    <w:rsid w:val="00963FA4"/>
    <w:rsid w:val="00971016"/>
    <w:rsid w:val="009722C2"/>
    <w:rsid w:val="00973E10"/>
    <w:rsid w:val="00980B78"/>
    <w:rsid w:val="00984750"/>
    <w:rsid w:val="00985A91"/>
    <w:rsid w:val="00987456"/>
    <w:rsid w:val="009A062A"/>
    <w:rsid w:val="009A46A6"/>
    <w:rsid w:val="009A6322"/>
    <w:rsid w:val="009B4439"/>
    <w:rsid w:val="009C19AA"/>
    <w:rsid w:val="009C6E62"/>
    <w:rsid w:val="009D0015"/>
    <w:rsid w:val="009D0EFF"/>
    <w:rsid w:val="009D1103"/>
    <w:rsid w:val="009D1244"/>
    <w:rsid w:val="009D2225"/>
    <w:rsid w:val="009D2926"/>
    <w:rsid w:val="009D4620"/>
    <w:rsid w:val="009D5F2D"/>
    <w:rsid w:val="009D7FE0"/>
    <w:rsid w:val="009E0A42"/>
    <w:rsid w:val="009E2F51"/>
    <w:rsid w:val="009E339D"/>
    <w:rsid w:val="009E4071"/>
    <w:rsid w:val="009E4080"/>
    <w:rsid w:val="009E5442"/>
    <w:rsid w:val="009E5CC8"/>
    <w:rsid w:val="009E745F"/>
    <w:rsid w:val="009E7518"/>
    <w:rsid w:val="009F064C"/>
    <w:rsid w:val="009F68FA"/>
    <w:rsid w:val="00A03BE3"/>
    <w:rsid w:val="00A04F2F"/>
    <w:rsid w:val="00A136BE"/>
    <w:rsid w:val="00A27229"/>
    <w:rsid w:val="00A2765C"/>
    <w:rsid w:val="00A277C9"/>
    <w:rsid w:val="00A33FDE"/>
    <w:rsid w:val="00A36B0F"/>
    <w:rsid w:val="00A40D7F"/>
    <w:rsid w:val="00A423D4"/>
    <w:rsid w:val="00A442C4"/>
    <w:rsid w:val="00A45126"/>
    <w:rsid w:val="00A55237"/>
    <w:rsid w:val="00A61092"/>
    <w:rsid w:val="00A64BB7"/>
    <w:rsid w:val="00A6766E"/>
    <w:rsid w:val="00A70724"/>
    <w:rsid w:val="00A71415"/>
    <w:rsid w:val="00A725F6"/>
    <w:rsid w:val="00A75FF8"/>
    <w:rsid w:val="00A77070"/>
    <w:rsid w:val="00A84A84"/>
    <w:rsid w:val="00A85054"/>
    <w:rsid w:val="00A87CD8"/>
    <w:rsid w:val="00A93358"/>
    <w:rsid w:val="00A945BD"/>
    <w:rsid w:val="00AA5F0F"/>
    <w:rsid w:val="00AB6626"/>
    <w:rsid w:val="00AC27C9"/>
    <w:rsid w:val="00AC3EC2"/>
    <w:rsid w:val="00AD0AE6"/>
    <w:rsid w:val="00AD286A"/>
    <w:rsid w:val="00AF6FF0"/>
    <w:rsid w:val="00B01594"/>
    <w:rsid w:val="00B02EC0"/>
    <w:rsid w:val="00B02EF6"/>
    <w:rsid w:val="00B0721A"/>
    <w:rsid w:val="00B07845"/>
    <w:rsid w:val="00B109D4"/>
    <w:rsid w:val="00B1124E"/>
    <w:rsid w:val="00B11BFB"/>
    <w:rsid w:val="00B12C21"/>
    <w:rsid w:val="00B132C9"/>
    <w:rsid w:val="00B13AB4"/>
    <w:rsid w:val="00B13D94"/>
    <w:rsid w:val="00B14C52"/>
    <w:rsid w:val="00B242BA"/>
    <w:rsid w:val="00B2633C"/>
    <w:rsid w:val="00B302EF"/>
    <w:rsid w:val="00B309E3"/>
    <w:rsid w:val="00B3144E"/>
    <w:rsid w:val="00B32253"/>
    <w:rsid w:val="00B32700"/>
    <w:rsid w:val="00B35085"/>
    <w:rsid w:val="00B35C55"/>
    <w:rsid w:val="00B36D35"/>
    <w:rsid w:val="00B42D44"/>
    <w:rsid w:val="00B44549"/>
    <w:rsid w:val="00B50D81"/>
    <w:rsid w:val="00B517D3"/>
    <w:rsid w:val="00B54508"/>
    <w:rsid w:val="00B6583A"/>
    <w:rsid w:val="00B72EA7"/>
    <w:rsid w:val="00B7557E"/>
    <w:rsid w:val="00B80B60"/>
    <w:rsid w:val="00B80EE6"/>
    <w:rsid w:val="00B814A4"/>
    <w:rsid w:val="00B82726"/>
    <w:rsid w:val="00B83467"/>
    <w:rsid w:val="00B84D97"/>
    <w:rsid w:val="00B878C2"/>
    <w:rsid w:val="00B9219C"/>
    <w:rsid w:val="00BA1A0C"/>
    <w:rsid w:val="00BA3295"/>
    <w:rsid w:val="00BA3B25"/>
    <w:rsid w:val="00BA4857"/>
    <w:rsid w:val="00BB19D3"/>
    <w:rsid w:val="00BB3C7C"/>
    <w:rsid w:val="00BB572C"/>
    <w:rsid w:val="00BB7224"/>
    <w:rsid w:val="00BC0749"/>
    <w:rsid w:val="00BC1A9F"/>
    <w:rsid w:val="00BC5635"/>
    <w:rsid w:val="00BC7276"/>
    <w:rsid w:val="00BD0C8F"/>
    <w:rsid w:val="00BD3B95"/>
    <w:rsid w:val="00BD3B97"/>
    <w:rsid w:val="00BD3EE4"/>
    <w:rsid w:val="00BE2EF7"/>
    <w:rsid w:val="00BE2F7B"/>
    <w:rsid w:val="00BE2FD7"/>
    <w:rsid w:val="00BE3A7F"/>
    <w:rsid w:val="00BE408E"/>
    <w:rsid w:val="00BE5D67"/>
    <w:rsid w:val="00BE7403"/>
    <w:rsid w:val="00BF5B63"/>
    <w:rsid w:val="00C0421E"/>
    <w:rsid w:val="00C06AD4"/>
    <w:rsid w:val="00C12C2D"/>
    <w:rsid w:val="00C13E63"/>
    <w:rsid w:val="00C17660"/>
    <w:rsid w:val="00C33763"/>
    <w:rsid w:val="00C4280E"/>
    <w:rsid w:val="00C50D30"/>
    <w:rsid w:val="00C546DC"/>
    <w:rsid w:val="00C56E72"/>
    <w:rsid w:val="00C61A9C"/>
    <w:rsid w:val="00C63A85"/>
    <w:rsid w:val="00C64974"/>
    <w:rsid w:val="00C6774C"/>
    <w:rsid w:val="00C72E71"/>
    <w:rsid w:val="00C73873"/>
    <w:rsid w:val="00C746CB"/>
    <w:rsid w:val="00C8019F"/>
    <w:rsid w:val="00C81B4E"/>
    <w:rsid w:val="00C86F1B"/>
    <w:rsid w:val="00C92F66"/>
    <w:rsid w:val="00C96680"/>
    <w:rsid w:val="00C9759B"/>
    <w:rsid w:val="00CA6235"/>
    <w:rsid w:val="00CA62D6"/>
    <w:rsid w:val="00CA668F"/>
    <w:rsid w:val="00CB043E"/>
    <w:rsid w:val="00CB47D3"/>
    <w:rsid w:val="00CC35CC"/>
    <w:rsid w:val="00CC439D"/>
    <w:rsid w:val="00CC6AF4"/>
    <w:rsid w:val="00CC741D"/>
    <w:rsid w:val="00CD200C"/>
    <w:rsid w:val="00CE040C"/>
    <w:rsid w:val="00CE2352"/>
    <w:rsid w:val="00CE39E2"/>
    <w:rsid w:val="00CE3EA2"/>
    <w:rsid w:val="00CE411A"/>
    <w:rsid w:val="00CE6F3E"/>
    <w:rsid w:val="00CF18C6"/>
    <w:rsid w:val="00CF5572"/>
    <w:rsid w:val="00CF6150"/>
    <w:rsid w:val="00D02569"/>
    <w:rsid w:val="00D040A2"/>
    <w:rsid w:val="00D04262"/>
    <w:rsid w:val="00D11DEF"/>
    <w:rsid w:val="00D15A31"/>
    <w:rsid w:val="00D219F7"/>
    <w:rsid w:val="00D2794F"/>
    <w:rsid w:val="00D33332"/>
    <w:rsid w:val="00D33B89"/>
    <w:rsid w:val="00D33BDC"/>
    <w:rsid w:val="00D34503"/>
    <w:rsid w:val="00D35DF8"/>
    <w:rsid w:val="00D424B6"/>
    <w:rsid w:val="00D4380E"/>
    <w:rsid w:val="00D44256"/>
    <w:rsid w:val="00D46784"/>
    <w:rsid w:val="00D5203D"/>
    <w:rsid w:val="00D53D92"/>
    <w:rsid w:val="00D540F9"/>
    <w:rsid w:val="00D54306"/>
    <w:rsid w:val="00D549A9"/>
    <w:rsid w:val="00D54E40"/>
    <w:rsid w:val="00D61D7E"/>
    <w:rsid w:val="00D71CA0"/>
    <w:rsid w:val="00D721F0"/>
    <w:rsid w:val="00D723AC"/>
    <w:rsid w:val="00D734F1"/>
    <w:rsid w:val="00D74541"/>
    <w:rsid w:val="00D9005F"/>
    <w:rsid w:val="00D92197"/>
    <w:rsid w:val="00DA0977"/>
    <w:rsid w:val="00DA3314"/>
    <w:rsid w:val="00DA6391"/>
    <w:rsid w:val="00DB33C4"/>
    <w:rsid w:val="00DB41C6"/>
    <w:rsid w:val="00DB4C3E"/>
    <w:rsid w:val="00DC0111"/>
    <w:rsid w:val="00DC7E8D"/>
    <w:rsid w:val="00DD470D"/>
    <w:rsid w:val="00DD5585"/>
    <w:rsid w:val="00DE2269"/>
    <w:rsid w:val="00DE3EA0"/>
    <w:rsid w:val="00DE4F32"/>
    <w:rsid w:val="00DE7C79"/>
    <w:rsid w:val="00DE7F80"/>
    <w:rsid w:val="00E03BAD"/>
    <w:rsid w:val="00E03C36"/>
    <w:rsid w:val="00E1524B"/>
    <w:rsid w:val="00E301D5"/>
    <w:rsid w:val="00E37173"/>
    <w:rsid w:val="00E41130"/>
    <w:rsid w:val="00E5193E"/>
    <w:rsid w:val="00E520A2"/>
    <w:rsid w:val="00E538B3"/>
    <w:rsid w:val="00E57EEB"/>
    <w:rsid w:val="00E61185"/>
    <w:rsid w:val="00E6425A"/>
    <w:rsid w:val="00E719EA"/>
    <w:rsid w:val="00E71F48"/>
    <w:rsid w:val="00E744C2"/>
    <w:rsid w:val="00E75A1C"/>
    <w:rsid w:val="00E777E8"/>
    <w:rsid w:val="00E8072B"/>
    <w:rsid w:val="00E81C64"/>
    <w:rsid w:val="00E97448"/>
    <w:rsid w:val="00EB0132"/>
    <w:rsid w:val="00EB72CF"/>
    <w:rsid w:val="00EC28F4"/>
    <w:rsid w:val="00EC386B"/>
    <w:rsid w:val="00EC7CDD"/>
    <w:rsid w:val="00ED092D"/>
    <w:rsid w:val="00ED4327"/>
    <w:rsid w:val="00ED46C3"/>
    <w:rsid w:val="00ED6FBC"/>
    <w:rsid w:val="00EE10EE"/>
    <w:rsid w:val="00EE1AA5"/>
    <w:rsid w:val="00EE3ADF"/>
    <w:rsid w:val="00EE54FF"/>
    <w:rsid w:val="00EE6155"/>
    <w:rsid w:val="00EF0935"/>
    <w:rsid w:val="00EF7702"/>
    <w:rsid w:val="00F00013"/>
    <w:rsid w:val="00F02733"/>
    <w:rsid w:val="00F07B87"/>
    <w:rsid w:val="00F1030F"/>
    <w:rsid w:val="00F12D61"/>
    <w:rsid w:val="00F13070"/>
    <w:rsid w:val="00F17C1B"/>
    <w:rsid w:val="00F246AF"/>
    <w:rsid w:val="00F27A8F"/>
    <w:rsid w:val="00F30FE1"/>
    <w:rsid w:val="00F35B47"/>
    <w:rsid w:val="00F40163"/>
    <w:rsid w:val="00F4019A"/>
    <w:rsid w:val="00F4116A"/>
    <w:rsid w:val="00F41366"/>
    <w:rsid w:val="00F43EB9"/>
    <w:rsid w:val="00F4432C"/>
    <w:rsid w:val="00F44D25"/>
    <w:rsid w:val="00F46FA9"/>
    <w:rsid w:val="00F54F98"/>
    <w:rsid w:val="00F55C84"/>
    <w:rsid w:val="00F56A60"/>
    <w:rsid w:val="00F612F2"/>
    <w:rsid w:val="00F633E2"/>
    <w:rsid w:val="00F7149E"/>
    <w:rsid w:val="00F74B78"/>
    <w:rsid w:val="00F80FB2"/>
    <w:rsid w:val="00F821B7"/>
    <w:rsid w:val="00F847DE"/>
    <w:rsid w:val="00F86E73"/>
    <w:rsid w:val="00F91FCF"/>
    <w:rsid w:val="00F92483"/>
    <w:rsid w:val="00F92EBE"/>
    <w:rsid w:val="00FA043B"/>
    <w:rsid w:val="00FA1A11"/>
    <w:rsid w:val="00FA1BF5"/>
    <w:rsid w:val="00FA6A8F"/>
    <w:rsid w:val="00FB1F5C"/>
    <w:rsid w:val="00FB26CF"/>
    <w:rsid w:val="00FB46EF"/>
    <w:rsid w:val="00FB523A"/>
    <w:rsid w:val="00FB63C3"/>
    <w:rsid w:val="00FC15EE"/>
    <w:rsid w:val="00FD28FE"/>
    <w:rsid w:val="00FD365F"/>
    <w:rsid w:val="00FD5233"/>
    <w:rsid w:val="00FE0F51"/>
    <w:rsid w:val="00FE4190"/>
    <w:rsid w:val="00FE4E1C"/>
    <w:rsid w:val="00FE5CE2"/>
    <w:rsid w:val="00FF3BB6"/>
    <w:rsid w:val="05FF4EB3"/>
    <w:rsid w:val="06DF79F4"/>
    <w:rsid w:val="09476AD0"/>
    <w:rsid w:val="09A23752"/>
    <w:rsid w:val="0B7D5DD2"/>
    <w:rsid w:val="0C582C6B"/>
    <w:rsid w:val="0CB03764"/>
    <w:rsid w:val="0D344D46"/>
    <w:rsid w:val="0F2553D5"/>
    <w:rsid w:val="130D73E0"/>
    <w:rsid w:val="18937234"/>
    <w:rsid w:val="1D544AFE"/>
    <w:rsid w:val="213F4716"/>
    <w:rsid w:val="24005E63"/>
    <w:rsid w:val="26DB3136"/>
    <w:rsid w:val="2C3A6862"/>
    <w:rsid w:val="2F9A5ADF"/>
    <w:rsid w:val="30B566D2"/>
    <w:rsid w:val="31D54F1B"/>
    <w:rsid w:val="33FD6C5F"/>
    <w:rsid w:val="37365277"/>
    <w:rsid w:val="388256E2"/>
    <w:rsid w:val="38DC6FA8"/>
    <w:rsid w:val="38EE35CF"/>
    <w:rsid w:val="3ADE1058"/>
    <w:rsid w:val="3AE33699"/>
    <w:rsid w:val="3C1F226D"/>
    <w:rsid w:val="3C1F394E"/>
    <w:rsid w:val="3D070DF7"/>
    <w:rsid w:val="3EBE05AC"/>
    <w:rsid w:val="3F8603CB"/>
    <w:rsid w:val="42E927F5"/>
    <w:rsid w:val="448556DA"/>
    <w:rsid w:val="46AD12A2"/>
    <w:rsid w:val="479A37B4"/>
    <w:rsid w:val="47ED5CF2"/>
    <w:rsid w:val="49793CC9"/>
    <w:rsid w:val="4D1059AA"/>
    <w:rsid w:val="4F6120DA"/>
    <w:rsid w:val="4FC30550"/>
    <w:rsid w:val="4FEA3601"/>
    <w:rsid w:val="54395CCE"/>
    <w:rsid w:val="5843128F"/>
    <w:rsid w:val="58DD38AD"/>
    <w:rsid w:val="5ADA63E5"/>
    <w:rsid w:val="5BF543F3"/>
    <w:rsid w:val="5C2B7516"/>
    <w:rsid w:val="5CE654F9"/>
    <w:rsid w:val="5CE95E4B"/>
    <w:rsid w:val="5EAB3003"/>
    <w:rsid w:val="5FFA6467"/>
    <w:rsid w:val="62B91764"/>
    <w:rsid w:val="63B919D2"/>
    <w:rsid w:val="65E61E72"/>
    <w:rsid w:val="687A63D9"/>
    <w:rsid w:val="688E7F85"/>
    <w:rsid w:val="68B265C9"/>
    <w:rsid w:val="68D70E99"/>
    <w:rsid w:val="695B7C8D"/>
    <w:rsid w:val="69F616C1"/>
    <w:rsid w:val="6CCA342F"/>
    <w:rsid w:val="6D414344"/>
    <w:rsid w:val="6F410E3C"/>
    <w:rsid w:val="73495504"/>
    <w:rsid w:val="73B553B0"/>
    <w:rsid w:val="73EDEAE8"/>
    <w:rsid w:val="784F257A"/>
    <w:rsid w:val="78BA77E2"/>
    <w:rsid w:val="7B31529E"/>
    <w:rsid w:val="7F3D1755"/>
    <w:rsid w:val="FBBF7AE6"/>
    <w:rsid w:val="FECF5E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22"/>
    <w:qFormat/>
    <w:uiPriority w:val="9"/>
    <w:pPr>
      <w:keepNext/>
      <w:keepLines/>
      <w:spacing w:before="120" w:after="120" w:line="578" w:lineRule="auto"/>
      <w:ind w:firstLine="640"/>
      <w:outlineLvl w:val="0"/>
    </w:pPr>
    <w:rPr>
      <w:rFonts w:ascii="黑体" w:hAnsi="黑体" w:eastAsia="黑体"/>
      <w:bCs/>
      <w:kern w:val="44"/>
      <w:szCs w:val="32"/>
    </w:rPr>
  </w:style>
  <w:style w:type="paragraph" w:styleId="3">
    <w:name w:val="heading 2"/>
    <w:basedOn w:val="4"/>
    <w:next w:val="1"/>
    <w:link w:val="21"/>
    <w:unhideWhenUsed/>
    <w:qFormat/>
    <w:uiPriority w:val="9"/>
    <w:pPr>
      <w:spacing w:before="120" w:after="120" w:line="415" w:lineRule="auto"/>
      <w:ind w:firstLine="643"/>
      <w:outlineLvl w:val="1"/>
    </w:pPr>
    <w:rPr>
      <w:rFonts w:ascii="楷体" w:hAnsi="楷体" w:eastAsia="楷体"/>
    </w:rPr>
  </w:style>
  <w:style w:type="paragraph" w:styleId="4">
    <w:name w:val="heading 3"/>
    <w:basedOn w:val="1"/>
    <w:next w:val="1"/>
    <w:link w:val="23"/>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nhideWhenUsed/>
    <w:qFormat/>
    <w:uiPriority w:val="99"/>
    <w:rPr>
      <w:rFonts w:ascii="宋体" w:eastAsia="宋体"/>
      <w:sz w:val="18"/>
      <w:szCs w:val="18"/>
    </w:rPr>
  </w:style>
  <w:style w:type="paragraph" w:styleId="6">
    <w:name w:val="annotation text"/>
    <w:basedOn w:val="1"/>
    <w:link w:val="27"/>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ind w:firstLine="640"/>
    </w:pPr>
    <w:rPr>
      <w:rFonts w:ascii="黑体" w:hAnsi="黑体" w:eastAsia="黑体"/>
    </w:rPr>
  </w:style>
  <w:style w:type="paragraph" w:styleId="11">
    <w:name w:val="toc 2"/>
    <w:basedOn w:val="1"/>
    <w:next w:val="1"/>
    <w:unhideWhenUsed/>
    <w:qFormat/>
    <w:uiPriority w:val="39"/>
    <w:pPr>
      <w:ind w:left="420" w:leftChars="200"/>
    </w:pPr>
  </w:style>
  <w:style w:type="paragraph" w:styleId="12">
    <w:name w:val="annotation subject"/>
    <w:basedOn w:val="6"/>
    <w:next w:val="6"/>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paragraph" w:styleId="18">
    <w:name w:val="List Paragraph"/>
    <w:basedOn w:val="1"/>
    <w:qFormat/>
    <w:uiPriority w:val="34"/>
    <w:pPr>
      <w:ind w:firstLine="420"/>
    </w:p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2 Char"/>
    <w:basedOn w:val="15"/>
    <w:link w:val="3"/>
    <w:qFormat/>
    <w:uiPriority w:val="9"/>
    <w:rPr>
      <w:rFonts w:ascii="楷体" w:hAnsi="楷体" w:eastAsia="楷体"/>
      <w:b/>
      <w:bCs/>
      <w:sz w:val="32"/>
      <w:szCs w:val="32"/>
    </w:rPr>
  </w:style>
  <w:style w:type="character" w:customStyle="1" w:styleId="22">
    <w:name w:val="标题 1 Char"/>
    <w:basedOn w:val="15"/>
    <w:link w:val="2"/>
    <w:qFormat/>
    <w:uiPriority w:val="9"/>
    <w:rPr>
      <w:rFonts w:ascii="黑体" w:hAnsi="黑体" w:eastAsia="黑体"/>
      <w:bCs/>
      <w:kern w:val="44"/>
      <w:sz w:val="32"/>
      <w:szCs w:val="32"/>
    </w:rPr>
  </w:style>
  <w:style w:type="character" w:customStyle="1" w:styleId="23">
    <w:name w:val="标题 3 Char"/>
    <w:basedOn w:val="15"/>
    <w:link w:val="4"/>
    <w:qFormat/>
    <w:uiPriority w:val="9"/>
    <w:rPr>
      <w:b/>
      <w:bCs/>
      <w:sz w:val="32"/>
      <w:szCs w:val="32"/>
    </w:rPr>
  </w:style>
  <w:style w:type="character" w:customStyle="1" w:styleId="24">
    <w:name w:val="批注框文本 Char"/>
    <w:basedOn w:val="15"/>
    <w:link w:val="7"/>
    <w:semiHidden/>
    <w:qFormat/>
    <w:uiPriority w:val="99"/>
    <w:rPr>
      <w:rFonts w:eastAsia="仿宋"/>
      <w:sz w:val="18"/>
      <w:szCs w:val="18"/>
    </w:rPr>
  </w:style>
  <w:style w:type="character" w:customStyle="1" w:styleId="25">
    <w:name w:val="文档结构图 Char"/>
    <w:basedOn w:val="15"/>
    <w:link w:val="5"/>
    <w:semiHidden/>
    <w:qFormat/>
    <w:uiPriority w:val="99"/>
    <w:rPr>
      <w:rFonts w:ascii="宋体" w:eastAsia="宋体"/>
      <w:sz w:val="18"/>
      <w:szCs w:val="18"/>
    </w:rPr>
  </w:style>
  <w:style w:type="paragraph" w:customStyle="1" w:styleId="26">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E75B5" w:themeColor="accent1" w:themeShade="BF"/>
      <w:kern w:val="0"/>
    </w:rPr>
  </w:style>
  <w:style w:type="character" w:customStyle="1" w:styleId="27">
    <w:name w:val="批注文字 Char"/>
    <w:basedOn w:val="15"/>
    <w:link w:val="6"/>
    <w:semiHidden/>
    <w:qFormat/>
    <w:uiPriority w:val="99"/>
    <w:rPr>
      <w:rFonts w:eastAsia="仿宋"/>
      <w:kern w:val="2"/>
      <w:sz w:val="32"/>
      <w:szCs w:val="22"/>
    </w:rPr>
  </w:style>
  <w:style w:type="character" w:customStyle="1" w:styleId="28">
    <w:name w:val="批注主题 Char"/>
    <w:basedOn w:val="27"/>
    <w:link w:val="12"/>
    <w:semiHidden/>
    <w:qFormat/>
    <w:uiPriority w:val="99"/>
    <w:rPr>
      <w:rFonts w:eastAsia="仿宋"/>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宋立义</Company>
  <Pages>30</Pages>
  <Words>2494</Words>
  <Characters>14216</Characters>
  <Lines>118</Lines>
  <Paragraphs>33</Paragraphs>
  <TotalTime>6</TotalTime>
  <ScaleCrop>false</ScaleCrop>
  <LinksUpToDate>false</LinksUpToDate>
  <CharactersWithSpaces>16677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2020-12-13T04:31:00Z</dcterms:created>
  <dc:creator>liyi song</dc:creator>
  <cp:lastModifiedBy>greatwall</cp:lastModifiedBy>
  <dcterms:modified xsi:type="dcterms:W3CDTF">2021-07-16T08:07:46Z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