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utoSpaceDE w:val="0"/>
        <w:autoSpaceDN w:val="0"/>
        <w:spacing w:line="600" w:lineRule="exact"/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北辰区202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3</w:t>
      </w:r>
      <w:r>
        <w:rPr>
          <w:rFonts w:hint="eastAsia" w:ascii="黑体" w:hAnsi="黑体" w:eastAsia="黑体" w:cs="黑体"/>
          <w:sz w:val="40"/>
          <w:szCs w:val="40"/>
        </w:rPr>
        <w:t>年举借政府债务情况说明</w:t>
      </w:r>
    </w:p>
    <w:p>
      <w:pP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ascii="仿宋" w:hAnsi="仿宋" w:eastAsia="仿宋"/>
          <w:sz w:val="32"/>
          <w:szCs w:val="32"/>
        </w:rPr>
      </w:pPr>
    </w:p>
    <w:p>
      <w:pP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一、北辰区20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年末政府债务限额和</w:t>
      </w:r>
      <w:r>
        <w:rPr>
          <w:rFonts w:ascii="黑体" w:hAnsi="黑体" w:eastAsia="黑体"/>
          <w:sz w:val="32"/>
          <w:szCs w:val="32"/>
        </w:rPr>
        <w:t>余额</w:t>
      </w:r>
      <w:r>
        <w:rPr>
          <w:rFonts w:hint="eastAsia" w:ascii="黑体" w:hAnsi="黑体" w:eastAsia="黑体"/>
          <w:sz w:val="32"/>
          <w:szCs w:val="32"/>
        </w:rPr>
        <w:t>决算情况</w:t>
      </w:r>
    </w:p>
    <w:p>
      <w:pP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根据《中华人民共和国预算法》和《国务院关于加强地方政府性债务管理的意见》（国发[2014]43号）规定，地方政府债务规模实行限额管理，地方政府举债不得突破批准的限额；省、自治区、直辖市依照国务院下达限额举借的债务，列入本级预算调整方案，报本级人民代表大会常务委员会批准。</w:t>
      </w:r>
    </w:p>
    <w:p>
      <w:pPr>
        <w:shd w:val="clear" w:color="auto" w:fill="FFFFFF"/>
        <w:autoSpaceDE w:val="0"/>
        <w:autoSpaceDN w:val="0"/>
        <w:spacing w:line="60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年，市财政局下达我区政府债务限额419.63亿元。</w:t>
      </w:r>
    </w:p>
    <w:p>
      <w:pPr>
        <w:shd w:val="clear" w:color="auto" w:fill="FFFFFF"/>
        <w:autoSpaceDE w:val="0"/>
        <w:autoSpaceDN w:val="0"/>
        <w:spacing w:line="60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年底，北辰区政府债务余额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327.45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元。202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年举借政府债务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163.42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亿元（新增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92.03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亿元，再融资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71.39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亿元），偿还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71.66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亿元，截至202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年底我区政府债务余额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419.21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亿元。</w:t>
      </w:r>
    </w:p>
    <w:p>
      <w:pP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北辰区</w:t>
      </w:r>
      <w:r>
        <w:rPr>
          <w:rFonts w:hint="eastAsia" w:ascii="黑体" w:hAnsi="黑体" w:eastAsia="黑体"/>
          <w:sz w:val="32"/>
          <w:szCs w:val="32"/>
        </w:rPr>
        <w:t>20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年末</w:t>
      </w:r>
      <w:r>
        <w:rPr>
          <w:rFonts w:ascii="黑体" w:hAnsi="黑体" w:eastAsia="黑体"/>
          <w:sz w:val="32"/>
          <w:szCs w:val="32"/>
        </w:rPr>
        <w:t>地方</w:t>
      </w:r>
      <w:r>
        <w:rPr>
          <w:rFonts w:hint="eastAsia" w:ascii="黑体" w:hAnsi="黑体" w:eastAsia="黑体"/>
          <w:sz w:val="32"/>
          <w:szCs w:val="32"/>
        </w:rPr>
        <w:t>政府</w:t>
      </w:r>
      <w:r>
        <w:rPr>
          <w:rFonts w:ascii="黑体" w:hAnsi="黑体" w:eastAsia="黑体"/>
          <w:sz w:val="32"/>
          <w:szCs w:val="32"/>
        </w:rPr>
        <w:t>债务发行决算情况</w:t>
      </w:r>
    </w:p>
    <w:p>
      <w:pP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年市财政局转贷我区新增政府债券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92.03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亿元,再融资债券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71.39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亿元。按照债务管理有关规定,新增政府债券主要用于：支持城中村改造、基础设施建设、供水管网改造等项目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天穆老村居民安置、京津医药谷起步区园区一期建设、中东欧特色小镇产业园区建设、杨咀1号地养老院、乡村振兴等项目。</w:t>
      </w:r>
    </w:p>
    <w:p>
      <w:pP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、北辰区</w:t>
      </w:r>
      <w:r>
        <w:rPr>
          <w:rFonts w:hint="eastAsia" w:ascii="黑体" w:hAnsi="黑体" w:eastAsia="黑体"/>
          <w:sz w:val="32"/>
          <w:szCs w:val="32"/>
        </w:rPr>
        <w:t>20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年末</w:t>
      </w:r>
      <w:r>
        <w:rPr>
          <w:rFonts w:ascii="黑体" w:hAnsi="黑体" w:eastAsia="黑体"/>
          <w:sz w:val="32"/>
          <w:szCs w:val="32"/>
        </w:rPr>
        <w:t>地方政府</w:t>
      </w:r>
      <w:r>
        <w:rPr>
          <w:rFonts w:hint="eastAsia" w:ascii="黑体" w:hAnsi="黑体" w:eastAsia="黑体"/>
          <w:sz w:val="32"/>
          <w:szCs w:val="32"/>
        </w:rPr>
        <w:t>债务</w:t>
      </w:r>
      <w:r>
        <w:rPr>
          <w:rFonts w:ascii="黑体" w:hAnsi="黑体" w:eastAsia="黑体"/>
          <w:sz w:val="32"/>
          <w:szCs w:val="32"/>
        </w:rPr>
        <w:t>还本</w:t>
      </w: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付息决算情况</w:t>
      </w:r>
    </w:p>
    <w:p>
      <w:pP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根据天津市政府债务转贷协议约定，202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年偿还政府债务本息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82.31亿元，其中偿还本金71.66亿元（一般债务还本2亿元，专项债务还本69.66亿元），支付利息10.65亿元（一般债务付息1.49亿元，专项债务付息9.16亿元）。</w:t>
      </w:r>
    </w:p>
    <w:p/>
    <w:p>
      <w:pPr>
        <w:shd w:val="clear" w:color="auto" w:fill="FFFFFF"/>
        <w:tabs>
          <w:tab w:val="left" w:pos="5090"/>
        </w:tabs>
        <w:autoSpaceDE w:val="0"/>
        <w:autoSpaceDN w:val="0"/>
        <w:spacing w:line="600" w:lineRule="exact"/>
        <w:ind w:firstLine="627" w:firstLineChars="196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年7月26日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3C22"/>
    <w:rsid w:val="00025C67"/>
    <w:rsid w:val="00033201"/>
    <w:rsid w:val="00091A57"/>
    <w:rsid w:val="0009603A"/>
    <w:rsid w:val="000E09CA"/>
    <w:rsid w:val="000F3F71"/>
    <w:rsid w:val="00114C5C"/>
    <w:rsid w:val="00156BB2"/>
    <w:rsid w:val="00187AC0"/>
    <w:rsid w:val="00190654"/>
    <w:rsid w:val="001B7263"/>
    <w:rsid w:val="001F54EA"/>
    <w:rsid w:val="00224F0F"/>
    <w:rsid w:val="0023706E"/>
    <w:rsid w:val="00260A9B"/>
    <w:rsid w:val="002725A5"/>
    <w:rsid w:val="0031761E"/>
    <w:rsid w:val="00354B4B"/>
    <w:rsid w:val="003B0F9C"/>
    <w:rsid w:val="003E7B60"/>
    <w:rsid w:val="004418F5"/>
    <w:rsid w:val="004E7F5B"/>
    <w:rsid w:val="004F7F6B"/>
    <w:rsid w:val="0052488F"/>
    <w:rsid w:val="0053065D"/>
    <w:rsid w:val="00532EAC"/>
    <w:rsid w:val="00693C8C"/>
    <w:rsid w:val="006F236F"/>
    <w:rsid w:val="008F0461"/>
    <w:rsid w:val="00910F97"/>
    <w:rsid w:val="00924E7B"/>
    <w:rsid w:val="009C5114"/>
    <w:rsid w:val="009D36E0"/>
    <w:rsid w:val="009D452B"/>
    <w:rsid w:val="00A03C22"/>
    <w:rsid w:val="00A46CBF"/>
    <w:rsid w:val="00A75BEF"/>
    <w:rsid w:val="00AE3CFB"/>
    <w:rsid w:val="00B069E1"/>
    <w:rsid w:val="00B4114E"/>
    <w:rsid w:val="00B543EA"/>
    <w:rsid w:val="00B706BA"/>
    <w:rsid w:val="00BA0080"/>
    <w:rsid w:val="00C1171D"/>
    <w:rsid w:val="00C11726"/>
    <w:rsid w:val="00C15E81"/>
    <w:rsid w:val="00C51AF4"/>
    <w:rsid w:val="00CA074E"/>
    <w:rsid w:val="00CA49DA"/>
    <w:rsid w:val="00D3431E"/>
    <w:rsid w:val="00E23F49"/>
    <w:rsid w:val="00E26313"/>
    <w:rsid w:val="00EC4B64"/>
    <w:rsid w:val="00EF75D1"/>
    <w:rsid w:val="00F47842"/>
    <w:rsid w:val="00F56211"/>
    <w:rsid w:val="00F73A21"/>
    <w:rsid w:val="2DB11145"/>
    <w:rsid w:val="39816398"/>
    <w:rsid w:val="510A607F"/>
    <w:rsid w:val="61F30744"/>
    <w:rsid w:val="653854BB"/>
    <w:rsid w:val="6FC4143D"/>
    <w:rsid w:val="75BB7EB9"/>
    <w:rsid w:val="7790051A"/>
    <w:rsid w:val="7E12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120</Words>
  <Characters>688</Characters>
  <Lines>5</Lines>
  <Paragraphs>1</Paragraphs>
  <TotalTime>10</TotalTime>
  <ScaleCrop>false</ScaleCrop>
  <LinksUpToDate>false</LinksUpToDate>
  <CharactersWithSpaces>807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2021-05-20T07:00:00Z</dcterms:created>
  <dc:creator>债务科</dc:creator>
  <cp:lastModifiedBy>Administrator</cp:lastModifiedBy>
  <dcterms:modified xsi:type="dcterms:W3CDTF">2024-08-27T07:46:21Z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