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0"/>
        </w:rPr>
      </w:pPr>
      <w:r>
        <w:rPr>
          <w:rFonts w:hint="eastAsia" w:ascii="黑体" w:hAnsi="黑体" w:eastAsia="黑体"/>
          <w:sz w:val="40"/>
        </w:rPr>
        <w:t>关于北辰区20</w:t>
      </w:r>
      <w:r>
        <w:rPr>
          <w:rFonts w:ascii="黑体" w:hAnsi="黑体" w:eastAsia="黑体"/>
          <w:sz w:val="40"/>
        </w:rPr>
        <w:t>2</w:t>
      </w:r>
      <w:r>
        <w:rPr>
          <w:rFonts w:hint="eastAsia" w:ascii="黑体" w:hAnsi="黑体" w:eastAsia="黑体"/>
          <w:sz w:val="40"/>
          <w:lang w:val="en-US" w:eastAsia="zh-CN"/>
        </w:rPr>
        <w:t>4</w:t>
      </w:r>
      <w:r>
        <w:rPr>
          <w:rFonts w:hint="eastAsia" w:ascii="黑体" w:hAnsi="黑体" w:eastAsia="黑体"/>
          <w:sz w:val="40"/>
        </w:rPr>
        <w:t>年政府决算转移支付</w:t>
      </w:r>
    </w:p>
    <w:p>
      <w:pPr>
        <w:jc w:val="center"/>
        <w:rPr>
          <w:rFonts w:asciiTheme="minorEastAsia" w:hAnsiTheme="minorEastAsia"/>
          <w:sz w:val="36"/>
        </w:rPr>
      </w:pPr>
      <w:r>
        <w:rPr>
          <w:rFonts w:hint="eastAsia" w:ascii="黑体" w:hAnsi="黑体" w:eastAsia="黑体"/>
          <w:sz w:val="40"/>
        </w:rPr>
        <w:t>执行情况的说明</w:t>
      </w:r>
    </w:p>
    <w:p>
      <w:pPr>
        <w:pBdr>
          <w:top w:val="dashed" w:color="FFFFFF" w:sz="8" w:space="1"/>
          <w:left w:val="dashed" w:color="FFFFFF" w:sz="8" w:space="0"/>
          <w:bottom w:val="dashed" w:color="FFFFFF" w:sz="8" w:space="31"/>
          <w:right w:val="dashed" w:color="FFFFFF" w:sz="8" w:space="6"/>
        </w:pBdr>
        <w:shd w:val="clear" w:color="auto" w:fill="FFFFFF"/>
        <w:autoSpaceDE w:val="0"/>
        <w:autoSpaceDN w:val="0"/>
        <w:spacing w:line="600" w:lineRule="exact"/>
        <w:ind w:firstLine="630" w:firstLineChars="196"/>
        <w:rPr>
          <w:rFonts w:hAnsi="仿宋"/>
          <w:b/>
          <w:sz w:val="32"/>
          <w:szCs w:val="32"/>
        </w:rPr>
      </w:pPr>
    </w:p>
    <w:p>
      <w:pPr>
        <w:pBdr>
          <w:top w:val="dashed" w:color="FFFFFF" w:sz="8" w:space="1"/>
          <w:left w:val="dashed" w:color="FFFFFF" w:sz="8" w:space="0"/>
          <w:bottom w:val="dashed" w:color="FFFFFF" w:sz="8" w:space="31"/>
          <w:right w:val="dashed" w:color="FFFFFF" w:sz="8" w:space="6"/>
        </w:pBdr>
        <w:shd w:val="clear" w:color="auto" w:fill="FFFFFF"/>
        <w:autoSpaceDE w:val="0"/>
        <w:autoSpaceDN w:val="0"/>
        <w:spacing w:line="600" w:lineRule="exact"/>
        <w:ind w:firstLine="630" w:firstLineChars="196"/>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市对我区转移支付资金42.89亿元</w:t>
      </w:r>
      <w:r>
        <w:rPr>
          <w:rFonts w:ascii="Times New Roman" w:hAnsi="Times New Roman" w:cs="Times New Roman"/>
          <w:color w:val="000000" w:themeColor="text1"/>
          <w:sz w:val="32"/>
          <w:szCs w:val="32"/>
          <w14:textFill>
            <w14:solidFill>
              <w14:schemeClr w14:val="tx1"/>
            </w14:solidFill>
          </w14:textFill>
        </w:rPr>
        <w:t>，</w:t>
      </w:r>
      <w:r>
        <w:rPr>
          <w:rFonts w:hint="eastAsia" w:ascii="Times New Roman" w:hAnsi="Times New Roman" w:cs="Times New Roman"/>
          <w:color w:val="000000" w:themeColor="text1"/>
          <w:sz w:val="32"/>
          <w:szCs w:val="32"/>
          <w14:textFill>
            <w14:solidFill>
              <w14:schemeClr w14:val="tx1"/>
            </w14:solidFill>
          </w14:textFill>
        </w:rPr>
        <w:t>主要是</w:t>
      </w:r>
      <w:r>
        <w:rPr>
          <w:rFonts w:ascii="Times New Roman" w:hAnsi="Times New Roman" w:cs="Times New Roman"/>
          <w:color w:val="000000" w:themeColor="text1"/>
          <w:sz w:val="32"/>
          <w:szCs w:val="32"/>
          <w14:textFill>
            <w14:solidFill>
              <w14:schemeClr w14:val="tx1"/>
            </w14:solidFill>
          </w14:textFill>
        </w:rPr>
        <w:t>一般公共预算25.21亿元，政府性基金预算17.67亿元，国有资本经营预算0.01亿元。</w:t>
      </w:r>
      <w:r>
        <w:rPr>
          <w:rFonts w:hint="eastAsia" w:ascii="Times New Roman" w:hAnsi="Times New Roman" w:cs="Times New Roman"/>
          <w:color w:val="000000" w:themeColor="text1"/>
          <w:sz w:val="32"/>
          <w:szCs w:val="32"/>
          <w14:textFill>
            <w14:solidFill>
              <w14:schemeClr w14:val="tx1"/>
            </w14:solidFill>
          </w14:textFill>
        </w:rPr>
        <w:t>当年拨付</w:t>
      </w:r>
      <w:r>
        <w:rPr>
          <w:rFonts w:ascii="Times New Roman" w:hAnsi="Times New Roman" w:cs="Times New Roman"/>
          <w:color w:val="000000" w:themeColor="text1"/>
          <w:sz w:val="32"/>
          <w:szCs w:val="32"/>
          <w14:textFill>
            <w14:solidFill>
              <w14:schemeClr w14:val="tx1"/>
            </w14:solidFill>
          </w14:textFill>
        </w:rPr>
        <w:t>28.95</w:t>
      </w:r>
      <w:r>
        <w:rPr>
          <w:rFonts w:hint="eastAsia" w:ascii="Times New Roman" w:hAnsi="Times New Roman" w:cs="Times New Roman"/>
          <w:color w:val="000000" w:themeColor="text1"/>
          <w:sz w:val="32"/>
          <w:szCs w:val="32"/>
          <w14:textFill>
            <w14:solidFill>
              <w14:schemeClr w14:val="tx1"/>
            </w14:solidFill>
          </w14:textFill>
        </w:rPr>
        <w:t>亿元，主要用于教育、科技、文化体育、社会保障、医疗卫生、养老服务、节</w:t>
      </w:r>
      <w:r>
        <w:rPr>
          <w:rFonts w:ascii="Times New Roman" w:hAnsi="Times New Roman" w:cs="Times New Roman"/>
          <w:color w:val="000000" w:themeColor="text1"/>
          <w:sz w:val="32"/>
          <w:szCs w:val="32"/>
          <w14:textFill>
            <w14:solidFill>
              <w14:schemeClr w14:val="tx1"/>
            </w14:solidFill>
          </w14:textFill>
        </w:rPr>
        <w:t>能环保、农业农村、基础设施建设等民计民生支出。</w:t>
      </w:r>
      <w:r>
        <w:rPr>
          <w:rFonts w:hint="eastAsia" w:ascii="Times New Roman" w:hAnsi="Times New Roman" w:cs="Times New Roman"/>
          <w:color w:val="000000" w:themeColor="text1"/>
          <w:sz w:val="32"/>
          <w:szCs w:val="32"/>
          <w14:textFill>
            <w14:solidFill>
              <w14:schemeClr w14:val="tx1"/>
            </w14:solidFill>
          </w14:textFill>
        </w:rPr>
        <w:t>其中：2024年中央转移支付15.95亿元，当年拨付12.32亿元，拨付率77.2%。</w:t>
      </w:r>
    </w:p>
    <w:p>
      <w:pPr>
        <w:pBdr>
          <w:top w:val="dashed" w:color="FFFFFF" w:sz="8" w:space="1"/>
          <w:left w:val="dashed" w:color="FFFFFF" w:sz="8" w:space="0"/>
          <w:bottom w:val="dashed" w:color="FFFFFF" w:sz="8" w:space="31"/>
          <w:right w:val="dashed" w:color="FFFFFF" w:sz="8" w:space="6"/>
        </w:pBdr>
        <w:shd w:val="clear" w:color="auto" w:fill="FFFFFF"/>
        <w:autoSpaceDE w:val="0"/>
        <w:autoSpaceDN w:val="0"/>
        <w:spacing w:line="600" w:lineRule="exact"/>
        <w:ind w:firstLine="630" w:firstLineChars="196"/>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区对镇及开发区转移支付22.51亿元</w:t>
      </w:r>
      <w:r>
        <w:rPr>
          <w:rFonts w:ascii="Times New Roman" w:hAnsi="Times New Roman" w:cs="Times New Roman"/>
          <w:color w:val="000000" w:themeColor="text1"/>
          <w:sz w:val="32"/>
          <w:szCs w:val="32"/>
          <w14:textFill>
            <w14:solidFill>
              <w14:schemeClr w14:val="tx1"/>
            </w14:solidFill>
          </w14:textFill>
        </w:rPr>
        <w:t>。其中：一般公共预算补助支出6.98亿元，主要用于村级组织运转经费、自然灾害救灾、示范工业园区补助、乡村振兴等支出。政府性基金预算补助支出15.53亿元，主要用于示范镇和开发区工业地块土地出让成本及净收益返还等支出。</w:t>
      </w:r>
    </w:p>
    <w:p>
      <w:pPr>
        <w:pBdr>
          <w:top w:val="dashed" w:color="FFFFFF" w:sz="8" w:space="1"/>
          <w:left w:val="dashed" w:color="FFFFFF" w:sz="8" w:space="0"/>
          <w:bottom w:val="dashed" w:color="FFFFFF" w:sz="8" w:space="31"/>
          <w:right w:val="dashed" w:color="FFFFFF" w:sz="8" w:space="6"/>
        </w:pBdr>
        <w:shd w:val="clear" w:color="auto" w:fill="FFFFFF"/>
        <w:autoSpaceDE w:val="0"/>
        <w:autoSpaceDN w:val="0"/>
        <w:spacing w:line="600" w:lineRule="exact"/>
        <w:ind w:firstLine="411" w:firstLineChars="196"/>
        <w:rPr>
          <w:rFonts w:ascii="仿宋_GB2312" w:eastAsia="仿宋_GB2312"/>
        </w:rPr>
      </w:pPr>
      <w:r>
        <w:rPr>
          <w:rFonts w:ascii="仿宋_GB2312" w:eastAsia="仿宋_GB2312"/>
        </w:rPr>
        <w:tab/>
      </w:r>
      <w:r>
        <w:rPr>
          <w:rFonts w:ascii="仿宋_GB2312" w:eastAsia="仿宋_GB2312"/>
        </w:rPr>
        <w:t xml:space="preserve">  </w:t>
      </w:r>
    </w:p>
    <w:p>
      <w:pPr>
        <w:pBdr>
          <w:top w:val="dashed" w:color="FFFFFF" w:sz="8" w:space="1"/>
          <w:left w:val="dashed" w:color="FFFFFF" w:sz="8" w:space="0"/>
          <w:bottom w:val="dashed" w:color="FFFFFF" w:sz="8" w:space="31"/>
          <w:right w:val="dashed" w:color="FFFFFF" w:sz="8" w:space="6"/>
        </w:pBdr>
        <w:shd w:val="clear" w:color="auto" w:fill="FFFFFF"/>
        <w:autoSpaceDE w:val="0"/>
        <w:autoSpaceDN w:val="0"/>
        <w:spacing w:line="600" w:lineRule="exact"/>
        <w:ind w:firstLine="411" w:firstLineChars="196"/>
        <w:rPr>
          <w:rFonts w:ascii="仿宋_GB2312" w:eastAsia="仿宋_GB2312"/>
        </w:rPr>
      </w:pPr>
    </w:p>
    <w:p>
      <w:pPr>
        <w:pBdr>
          <w:top w:val="dashed" w:color="FFFFFF" w:sz="8" w:space="1"/>
          <w:left w:val="dashed" w:color="FFFFFF" w:sz="8" w:space="0"/>
          <w:bottom w:val="dashed" w:color="FFFFFF" w:sz="8" w:space="31"/>
          <w:right w:val="dashed" w:color="FFFFFF" w:sz="8" w:space="6"/>
        </w:pBdr>
        <w:shd w:val="clear" w:color="auto" w:fill="FFFFFF"/>
        <w:autoSpaceDE w:val="0"/>
        <w:autoSpaceDN w:val="0"/>
        <w:spacing w:line="600" w:lineRule="exact"/>
        <w:ind w:firstLine="411" w:firstLineChars="196"/>
        <w:rPr>
          <w:rFonts w:ascii="仿宋_GB2312" w:eastAsia="仿宋_GB2312"/>
        </w:rPr>
      </w:pPr>
      <w:bookmarkStart w:id="0" w:name="_GoBack"/>
      <w:bookmarkEnd w:id="0"/>
    </w:p>
    <w:p>
      <w:pPr>
        <w:pBdr>
          <w:top w:val="dashed" w:color="FFFFFF" w:sz="8" w:space="1"/>
          <w:left w:val="dashed" w:color="FFFFFF" w:sz="8" w:space="0"/>
          <w:bottom w:val="dashed" w:color="FFFFFF" w:sz="8" w:space="31"/>
          <w:right w:val="dashed" w:color="FFFFFF" w:sz="8" w:space="6"/>
        </w:pBdr>
        <w:shd w:val="clear" w:color="auto" w:fill="FFFFFF"/>
        <w:autoSpaceDE w:val="0"/>
        <w:autoSpaceDN w:val="0"/>
        <w:spacing w:line="600" w:lineRule="exact"/>
        <w:ind w:firstLine="5424" w:firstLineChars="1695"/>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w:t>
      </w:r>
      <w:r>
        <w:rPr>
          <w:rFonts w:hint="eastAsia" w:asciiTheme="minorEastAsia" w:hAnsiTheme="minorEastAsia" w:cstheme="minorEastAsia"/>
          <w:sz w:val="32"/>
          <w:szCs w:val="32"/>
          <w:lang w:val="en-US" w:eastAsia="zh-CN"/>
        </w:rPr>
        <w:t>5</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val="en-US" w:eastAsia="zh-CN"/>
        </w:rPr>
        <w:t>7</w:t>
      </w:r>
      <w:r>
        <w:rPr>
          <w:rFonts w:hint="eastAsia" w:asciiTheme="minorEastAsia" w:hAnsiTheme="minorEastAsia" w:eastAsiaTheme="minorEastAsia" w:cstheme="minorEastAsia"/>
          <w:sz w:val="32"/>
          <w:szCs w:val="32"/>
        </w:rPr>
        <w:t>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246"/>
    <w:rsid w:val="00032A76"/>
    <w:rsid w:val="00107B15"/>
    <w:rsid w:val="00216196"/>
    <w:rsid w:val="00257919"/>
    <w:rsid w:val="00283557"/>
    <w:rsid w:val="00305246"/>
    <w:rsid w:val="004A0FCE"/>
    <w:rsid w:val="004F406D"/>
    <w:rsid w:val="00502194"/>
    <w:rsid w:val="005250C3"/>
    <w:rsid w:val="006042D5"/>
    <w:rsid w:val="00633BB5"/>
    <w:rsid w:val="007162B2"/>
    <w:rsid w:val="00722C2A"/>
    <w:rsid w:val="0078727D"/>
    <w:rsid w:val="008115AE"/>
    <w:rsid w:val="009134E5"/>
    <w:rsid w:val="00960480"/>
    <w:rsid w:val="00973BBE"/>
    <w:rsid w:val="009A77B0"/>
    <w:rsid w:val="009E49B0"/>
    <w:rsid w:val="00A27B1B"/>
    <w:rsid w:val="00A55E1D"/>
    <w:rsid w:val="00B8635D"/>
    <w:rsid w:val="00C12533"/>
    <w:rsid w:val="00C54AD3"/>
    <w:rsid w:val="00C558B1"/>
    <w:rsid w:val="00D87DD2"/>
    <w:rsid w:val="00DE7B30"/>
    <w:rsid w:val="00E03271"/>
    <w:rsid w:val="15F205EA"/>
    <w:rsid w:val="6A8154A8"/>
    <w:rsid w:val="6FCF3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toc 2"/>
    <w:basedOn w:val="1"/>
    <w:next w:val="1"/>
    <w:unhideWhenUsed/>
    <w:qFormat/>
    <w:uiPriority w:val="0"/>
    <w:pPr>
      <w:ind w:left="420" w:leftChars="200"/>
    </w:pPr>
    <w:rPr>
      <w:szCs w:val="2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46</Words>
  <Characters>267</Characters>
  <Lines>2</Lines>
  <Paragraphs>1</Paragraphs>
  <TotalTime>0</TotalTime>
  <ScaleCrop>false</ScaleCrop>
  <LinksUpToDate>false</LinksUpToDate>
  <CharactersWithSpaces>312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2021-05-20T09:47:00Z</dcterms:created>
  <dc:creator>何倩</dc:creator>
  <cp:lastModifiedBy>Administrator</cp:lastModifiedBy>
  <dcterms:modified xsi:type="dcterms:W3CDTF">2025-09-04T03:18:45Z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