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utoSpaceDE w:val="0"/>
        <w:autoSpaceDN w:val="0"/>
        <w:spacing w:line="60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北辰区202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sz w:val="40"/>
          <w:szCs w:val="40"/>
        </w:rPr>
        <w:t>年举借政府债务情况说明</w:t>
      </w:r>
    </w:p>
    <w:p>
      <w:pPr>
        <w:shd w:val="clear" w:color="auto" w:fill="FFFFFF"/>
        <w:autoSpaceDE w:val="0"/>
        <w:autoSpaceDN w:val="0"/>
        <w:spacing w:line="600" w:lineRule="exact"/>
        <w:ind w:firstLine="627" w:firstLineChars="196"/>
        <w:rPr>
          <w:rFonts w:ascii="仿宋" w:hAnsi="仿宋" w:eastAsia="仿宋"/>
          <w:sz w:val="32"/>
          <w:szCs w:val="32"/>
        </w:rPr>
      </w:pPr>
    </w:p>
    <w:p>
      <w:pPr>
        <w:shd w:val="clear" w:color="auto" w:fill="FFFFFF"/>
        <w:autoSpaceDE w:val="0"/>
        <w:autoSpaceDN w:val="0"/>
        <w:spacing w:line="60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一、北辰区20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年末政府债务限额和</w:t>
      </w:r>
      <w:r>
        <w:rPr>
          <w:rFonts w:ascii="黑体" w:hAnsi="黑体" w:eastAsia="黑体"/>
          <w:sz w:val="32"/>
          <w:szCs w:val="32"/>
        </w:rPr>
        <w:t>余额</w:t>
      </w:r>
      <w:r>
        <w:rPr>
          <w:rFonts w:hint="eastAsia" w:ascii="黑体" w:hAnsi="黑体" w:eastAsia="黑体"/>
          <w:sz w:val="32"/>
          <w:szCs w:val="32"/>
        </w:rPr>
        <w:t>决算情况</w:t>
      </w:r>
    </w:p>
    <w:p>
      <w:pPr>
        <w:shd w:val="clear" w:color="auto" w:fill="FFFFFF"/>
        <w:autoSpaceDE w:val="0"/>
        <w:autoSpaceDN w:val="0"/>
        <w:spacing w:line="600" w:lineRule="exact"/>
        <w:ind w:firstLine="627" w:firstLineChars="196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根据《中华人民共和国预算法》和《国务院关于加强地方政府性债务管理的意见》（国发[2014]43号）规定，地方政府债务规模实行限额管理，地方政府举债不得突破批准的限额；省、自治区、直辖市依照国务院下达限额举借的债务，列入本级预算调整方案，报本级人民代表大会常务委员会批准。</w:t>
      </w:r>
    </w:p>
    <w:p>
      <w:pPr>
        <w:pBdr>
          <w:top w:val="dashed" w:color="FFFFFF" w:sz="8" w:space="1"/>
          <w:left w:val="dashed" w:color="FFFFFF" w:sz="8" w:space="0"/>
          <w:bottom w:val="dashed" w:color="FFFFFF" w:sz="8" w:space="31"/>
          <w:right w:val="dashed" w:color="FFFFFF" w:sz="8" w:space="6"/>
        </w:pBdr>
        <w:shd w:val="clear" w:color="auto" w:fill="FFFFFF"/>
        <w:autoSpaceDE w:val="0"/>
        <w:autoSpaceDN w:val="0"/>
        <w:spacing w:line="600" w:lineRule="exact"/>
        <w:ind w:firstLine="627" w:firstLineChars="196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2024年，</w:t>
      </w:r>
      <w:r>
        <w:rPr>
          <w:rFonts w:hint="eastAsia" w:ascii="Times New Roman" w:hAnsi="Times New Roman" w:cs="Times New Roman"/>
          <w:sz w:val="32"/>
          <w:szCs w:val="32"/>
        </w:rPr>
        <w:t>市下达我区政府债务限额累计</w:t>
      </w:r>
      <w:r>
        <w:rPr>
          <w:rFonts w:ascii="Times New Roman" w:hAnsi="Times New Roman" w:cs="Times New Roman"/>
          <w:sz w:val="32"/>
          <w:szCs w:val="32"/>
        </w:rPr>
        <w:t>476.32</w:t>
      </w:r>
      <w:r>
        <w:rPr>
          <w:rFonts w:hint="eastAsia" w:ascii="Times New Roman" w:hAnsi="Times New Roman" w:cs="Times New Roman"/>
          <w:sz w:val="32"/>
          <w:szCs w:val="32"/>
        </w:rPr>
        <w:t>亿元</w:t>
      </w:r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hint="eastAsia" w:ascii="Times New Roman" w:hAnsi="Times New Roman" w:cs="Times New Roman"/>
          <w:sz w:val="32"/>
          <w:szCs w:val="32"/>
        </w:rPr>
        <w:t>其中：一般债务</w:t>
      </w:r>
      <w:r>
        <w:rPr>
          <w:rFonts w:ascii="Times New Roman" w:hAnsi="Times New Roman" w:cs="Times New Roman"/>
          <w:sz w:val="32"/>
          <w:szCs w:val="32"/>
        </w:rPr>
        <w:t>119.72</w:t>
      </w:r>
      <w:r>
        <w:rPr>
          <w:rFonts w:hint="eastAsia" w:ascii="Times New Roman" w:hAnsi="Times New Roman" w:cs="Times New Roman"/>
          <w:sz w:val="32"/>
          <w:szCs w:val="32"/>
        </w:rPr>
        <w:t>亿元，专项债务</w:t>
      </w:r>
      <w:r>
        <w:rPr>
          <w:rFonts w:ascii="Times New Roman" w:hAnsi="Times New Roman" w:cs="Times New Roman"/>
          <w:sz w:val="32"/>
          <w:szCs w:val="32"/>
        </w:rPr>
        <w:t>356.60</w:t>
      </w:r>
      <w:r>
        <w:rPr>
          <w:rFonts w:hint="eastAsia" w:ascii="Times New Roman" w:hAnsi="Times New Roman" w:cs="Times New Roman"/>
          <w:sz w:val="32"/>
          <w:szCs w:val="32"/>
        </w:rPr>
        <w:t>亿元。</w:t>
      </w:r>
      <w:bookmarkStart w:id="0" w:name="_GoBack"/>
      <w:bookmarkEnd w:id="0"/>
    </w:p>
    <w:p>
      <w:pPr>
        <w:pBdr>
          <w:top w:val="dashed" w:color="FFFFFF" w:sz="8" w:space="1"/>
          <w:left w:val="dashed" w:color="FFFFFF" w:sz="8" w:space="0"/>
          <w:bottom w:val="dashed" w:color="FFFFFF" w:sz="8" w:space="31"/>
          <w:right w:val="dashed" w:color="FFFFFF" w:sz="8" w:space="6"/>
        </w:pBdr>
        <w:shd w:val="clear" w:color="auto" w:fill="FFFFFF"/>
        <w:autoSpaceDE w:val="0"/>
        <w:autoSpaceDN w:val="0"/>
        <w:spacing w:line="600" w:lineRule="exact"/>
        <w:ind w:firstLine="627" w:firstLineChars="196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截至</w:t>
      </w:r>
      <w:r>
        <w:rPr>
          <w:rFonts w:ascii="Times New Roman" w:hAnsi="Times New Roman" w:cs="Times New Roman"/>
          <w:sz w:val="32"/>
          <w:szCs w:val="32"/>
        </w:rPr>
        <w:t>2024</w:t>
      </w:r>
      <w:r>
        <w:rPr>
          <w:rFonts w:hint="eastAsia" w:ascii="Times New Roman" w:hAnsi="Times New Roman" w:cs="Times New Roman"/>
          <w:sz w:val="32"/>
          <w:szCs w:val="32"/>
        </w:rPr>
        <w:t>年底，我区政府债务余额</w:t>
      </w:r>
      <w:r>
        <w:rPr>
          <w:rFonts w:ascii="Times New Roman" w:hAnsi="Times New Roman" w:cs="Times New Roman"/>
          <w:sz w:val="32"/>
          <w:szCs w:val="32"/>
        </w:rPr>
        <w:t>472.04</w:t>
      </w:r>
      <w:r>
        <w:rPr>
          <w:rFonts w:hint="eastAsia" w:ascii="Times New Roman" w:hAnsi="Times New Roman" w:cs="Times New Roman"/>
          <w:sz w:val="32"/>
          <w:szCs w:val="32"/>
        </w:rPr>
        <w:t>亿元，其中：一般政府债务</w:t>
      </w:r>
      <w:r>
        <w:rPr>
          <w:rFonts w:ascii="Times New Roman" w:hAnsi="Times New Roman" w:cs="Times New Roman"/>
          <w:sz w:val="32"/>
          <w:szCs w:val="32"/>
        </w:rPr>
        <w:t>118.22</w:t>
      </w:r>
      <w:r>
        <w:rPr>
          <w:rFonts w:hint="eastAsia" w:ascii="Times New Roman" w:hAnsi="Times New Roman" w:cs="Times New Roman"/>
          <w:sz w:val="32"/>
          <w:szCs w:val="32"/>
        </w:rPr>
        <w:t>亿元，专项政府债务</w:t>
      </w:r>
      <w:r>
        <w:rPr>
          <w:rFonts w:ascii="Times New Roman" w:hAnsi="Times New Roman" w:cs="Times New Roman"/>
          <w:sz w:val="32"/>
          <w:szCs w:val="32"/>
        </w:rPr>
        <w:t>353.82</w:t>
      </w:r>
      <w:r>
        <w:rPr>
          <w:rFonts w:hint="eastAsia" w:ascii="Times New Roman" w:hAnsi="Times New Roman" w:cs="Times New Roman"/>
          <w:sz w:val="32"/>
          <w:szCs w:val="32"/>
        </w:rPr>
        <w:t>亿元，我区政府一般债券及专项债券余额均在法定政府债务限额之内，符合财政部相关规定。</w:t>
      </w:r>
    </w:p>
    <w:p>
      <w:pPr>
        <w:numPr>
          <w:ilvl w:val="0"/>
          <w:numId w:val="1"/>
        </w:numPr>
        <w:pBdr>
          <w:top w:val="dashed" w:color="FFFFFF" w:sz="8" w:space="1"/>
          <w:left w:val="dashed" w:color="FFFFFF" w:sz="8" w:space="0"/>
          <w:bottom w:val="dashed" w:color="FFFFFF" w:sz="8" w:space="31"/>
          <w:right w:val="dashed" w:color="FFFFFF" w:sz="8" w:space="6"/>
        </w:pBdr>
        <w:shd w:val="clear" w:color="auto" w:fill="FFFFFF"/>
        <w:autoSpaceDE w:val="0"/>
        <w:autoSpaceDN w:val="0"/>
        <w:spacing w:line="60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北辰区</w:t>
      </w: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年末</w:t>
      </w:r>
      <w:r>
        <w:rPr>
          <w:rFonts w:ascii="黑体" w:hAnsi="黑体" w:eastAsia="黑体"/>
          <w:sz w:val="32"/>
          <w:szCs w:val="32"/>
        </w:rPr>
        <w:t>地方</w:t>
      </w:r>
      <w:r>
        <w:rPr>
          <w:rFonts w:hint="eastAsia" w:ascii="黑体" w:hAnsi="黑体" w:eastAsia="黑体"/>
          <w:sz w:val="32"/>
          <w:szCs w:val="32"/>
        </w:rPr>
        <w:t>政府</w:t>
      </w:r>
      <w:r>
        <w:rPr>
          <w:rFonts w:ascii="黑体" w:hAnsi="黑体" w:eastAsia="黑体"/>
          <w:sz w:val="32"/>
          <w:szCs w:val="32"/>
        </w:rPr>
        <w:t>债务发行决算情况</w:t>
      </w:r>
    </w:p>
    <w:p>
      <w:pPr>
        <w:pBdr>
          <w:top w:val="dashed" w:color="FFFFFF" w:sz="8" w:space="1"/>
          <w:left w:val="dashed" w:color="FFFFFF" w:sz="8" w:space="0"/>
          <w:bottom w:val="dashed" w:color="FFFFFF" w:sz="8" w:space="31"/>
          <w:right w:val="dashed" w:color="FFFFFF" w:sz="8" w:space="6"/>
        </w:pBdr>
        <w:shd w:val="clear" w:color="auto" w:fill="FFFFFF"/>
        <w:autoSpaceDE w:val="0"/>
        <w:autoSpaceDN w:val="0"/>
        <w:spacing w:line="600" w:lineRule="exact"/>
        <w:ind w:firstLine="627" w:firstLineChars="196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2024年我区共发行地方政府债券104.14亿元（一般债务43.81亿元，专项债务60.33亿元），包括新增债券56.69亿元（一般债务30.36亿元，专项债务26.33亿元），再融资债券47.45亿元（一般债务13.45亿元，专项债务34亿元）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Bdr>
          <w:top w:val="dashed" w:color="FFFFFF" w:sz="8" w:space="1"/>
          <w:left w:val="dashed" w:color="FFFFFF" w:sz="8" w:space="0"/>
          <w:bottom w:val="dashed" w:color="FFFFFF" w:sz="8" w:space="31"/>
          <w:right w:val="dashed" w:color="FFFFFF" w:sz="8" w:space="6"/>
        </w:pBdr>
        <w:shd w:val="clear" w:color="auto" w:fill="FFFFFF"/>
        <w:autoSpaceDE w:val="0"/>
        <w:autoSpaceDN w:val="0"/>
        <w:spacing w:line="600" w:lineRule="exact"/>
        <w:ind w:firstLine="627" w:firstLineChars="196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按照债务管理有关规定,</w:t>
      </w:r>
      <w:r>
        <w:rPr>
          <w:rFonts w:ascii="Times New Roman" w:hAnsi="Times New Roman" w:cs="Times New Roman"/>
          <w:sz w:val="32"/>
          <w:szCs w:val="32"/>
        </w:rPr>
        <w:t>我区发行新增债券56.69亿元。其中：一般债券30.36亿元，用于支持基层能力防灾提升、城中村改造、道路及基础设施建设等项目；专项债券26.33亿元，用于双街镇庞咀片区乡村振兴提升改造、西堤头镇蓄洪区提升水利工程、大张庄示范小城镇农民还迁住宅建设、京津路周边基础设施改造等项目。</w:t>
      </w:r>
    </w:p>
    <w:p>
      <w:pPr>
        <w:numPr>
          <w:ilvl w:val="0"/>
          <w:numId w:val="1"/>
        </w:numPr>
        <w:pBdr>
          <w:top w:val="dashed" w:color="FFFFFF" w:sz="8" w:space="1"/>
          <w:left w:val="dashed" w:color="FFFFFF" w:sz="8" w:space="0"/>
          <w:bottom w:val="dashed" w:color="FFFFFF" w:sz="8" w:space="31"/>
          <w:right w:val="dashed" w:color="FFFFFF" w:sz="8" w:space="6"/>
        </w:pBdr>
        <w:shd w:val="clear" w:color="auto" w:fill="FFFFFF"/>
        <w:autoSpaceDE w:val="0"/>
        <w:autoSpaceDN w:val="0"/>
        <w:spacing w:line="600" w:lineRule="exact"/>
        <w:ind w:left="0" w:leftChars="0" w:firstLine="627" w:firstLineChars="196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北辰区</w:t>
      </w: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年末</w:t>
      </w:r>
      <w:r>
        <w:rPr>
          <w:rFonts w:ascii="黑体" w:hAnsi="黑体" w:eastAsia="黑体"/>
          <w:sz w:val="32"/>
          <w:szCs w:val="32"/>
        </w:rPr>
        <w:t>地方政府</w:t>
      </w:r>
      <w:r>
        <w:rPr>
          <w:rFonts w:hint="eastAsia" w:ascii="黑体" w:hAnsi="黑体" w:eastAsia="黑体"/>
          <w:sz w:val="32"/>
          <w:szCs w:val="32"/>
        </w:rPr>
        <w:t>债务</w:t>
      </w:r>
      <w:r>
        <w:rPr>
          <w:rFonts w:ascii="黑体" w:hAnsi="黑体" w:eastAsia="黑体"/>
          <w:sz w:val="32"/>
          <w:szCs w:val="32"/>
        </w:rPr>
        <w:t>还本付息决算情况</w:t>
      </w:r>
    </w:p>
    <w:p>
      <w:pPr>
        <w:pBdr>
          <w:top w:val="dashed" w:color="FFFFFF" w:sz="8" w:space="1"/>
          <w:left w:val="dashed" w:color="FFFFFF" w:sz="8" w:space="0"/>
          <w:bottom w:val="dashed" w:color="FFFFFF" w:sz="8" w:space="31"/>
          <w:right w:val="dashed" w:color="FFFFFF" w:sz="8" w:space="6"/>
        </w:pBdr>
        <w:shd w:val="clear" w:color="auto" w:fill="FFFFFF"/>
        <w:autoSpaceDE w:val="0"/>
        <w:autoSpaceDN w:val="0"/>
        <w:spacing w:line="600" w:lineRule="exact"/>
        <w:ind w:firstLine="627" w:firstLineChars="196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根据天津市政府债务转贷协议约定，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2024</w:t>
      </w:r>
      <w:r>
        <w:rPr>
          <w:rFonts w:ascii="Times New Roman" w:hAnsi="Times New Roman" w:cs="Times New Roman"/>
          <w:sz w:val="32"/>
          <w:szCs w:val="32"/>
        </w:rPr>
        <w:t>年全区偿还地方政府债务本息63.77亿元，其中偿还本金51.31亿元（一般债务还本14.91亿元，专项债务还本36.40亿元），支付利息12.46亿元（一般债务付息2.65亿元，专项债务付息9.81亿元）。</w:t>
      </w:r>
    </w:p>
    <w:p>
      <w:pPr>
        <w:numPr>
          <w:numId w:val="0"/>
        </w:numPr>
        <w:pBdr>
          <w:top w:val="dashed" w:color="FFFFFF" w:sz="8" w:space="1"/>
          <w:left w:val="dashed" w:color="FFFFFF" w:sz="8" w:space="0"/>
          <w:bottom w:val="dashed" w:color="FFFFFF" w:sz="8" w:space="31"/>
          <w:right w:val="dashed" w:color="FFFFFF" w:sz="8" w:space="6"/>
        </w:pBdr>
        <w:shd w:val="clear" w:color="auto" w:fill="FFFFFF"/>
        <w:autoSpaceDE w:val="0"/>
        <w:autoSpaceDN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/>
    <w:p>
      <w:pPr>
        <w:shd w:val="clear" w:color="auto" w:fill="FFFFFF"/>
        <w:tabs>
          <w:tab w:val="left" w:pos="5090"/>
        </w:tabs>
        <w:autoSpaceDE w:val="0"/>
        <w:autoSpaceDN w:val="0"/>
        <w:spacing w:line="600" w:lineRule="exact"/>
        <w:ind w:firstLine="627" w:firstLineChars="196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年7月26日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1722"/>
    <w:multiLevelType w:val="singleLevel"/>
    <w:tmpl w:val="3A7A172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C22"/>
    <w:rsid w:val="00025C67"/>
    <w:rsid w:val="00033201"/>
    <w:rsid w:val="00091A57"/>
    <w:rsid w:val="0009603A"/>
    <w:rsid w:val="000E09CA"/>
    <w:rsid w:val="000F3F71"/>
    <w:rsid w:val="00114C5C"/>
    <w:rsid w:val="00156BB2"/>
    <w:rsid w:val="00187AC0"/>
    <w:rsid w:val="00190654"/>
    <w:rsid w:val="001B7263"/>
    <w:rsid w:val="001F54EA"/>
    <w:rsid w:val="00224F0F"/>
    <w:rsid w:val="0023706E"/>
    <w:rsid w:val="00260A9B"/>
    <w:rsid w:val="002725A5"/>
    <w:rsid w:val="0031761E"/>
    <w:rsid w:val="00354B4B"/>
    <w:rsid w:val="003B0F9C"/>
    <w:rsid w:val="003E7B60"/>
    <w:rsid w:val="004418F5"/>
    <w:rsid w:val="004E7F5B"/>
    <w:rsid w:val="004F7F6B"/>
    <w:rsid w:val="0052488F"/>
    <w:rsid w:val="0053065D"/>
    <w:rsid w:val="00532EAC"/>
    <w:rsid w:val="00693C8C"/>
    <w:rsid w:val="006F236F"/>
    <w:rsid w:val="008F0461"/>
    <w:rsid w:val="00910F97"/>
    <w:rsid w:val="00924E7B"/>
    <w:rsid w:val="009C5114"/>
    <w:rsid w:val="009D36E0"/>
    <w:rsid w:val="009D452B"/>
    <w:rsid w:val="00A03C22"/>
    <w:rsid w:val="00A46CBF"/>
    <w:rsid w:val="00A75BEF"/>
    <w:rsid w:val="00AE3CFB"/>
    <w:rsid w:val="00B069E1"/>
    <w:rsid w:val="00B4114E"/>
    <w:rsid w:val="00B543EA"/>
    <w:rsid w:val="00B706BA"/>
    <w:rsid w:val="00BA0080"/>
    <w:rsid w:val="00C1171D"/>
    <w:rsid w:val="00C11726"/>
    <w:rsid w:val="00C15E81"/>
    <w:rsid w:val="00C51AF4"/>
    <w:rsid w:val="00CA074E"/>
    <w:rsid w:val="00CA49DA"/>
    <w:rsid w:val="00D3431E"/>
    <w:rsid w:val="00E23F49"/>
    <w:rsid w:val="00E26313"/>
    <w:rsid w:val="00EC4B64"/>
    <w:rsid w:val="00EF75D1"/>
    <w:rsid w:val="00F47842"/>
    <w:rsid w:val="00F56211"/>
    <w:rsid w:val="00F73A21"/>
    <w:rsid w:val="1B0E2660"/>
    <w:rsid w:val="20AD7AB0"/>
    <w:rsid w:val="2DB11145"/>
    <w:rsid w:val="30FE0DAD"/>
    <w:rsid w:val="343F4414"/>
    <w:rsid w:val="39816398"/>
    <w:rsid w:val="510A607F"/>
    <w:rsid w:val="61F30744"/>
    <w:rsid w:val="62EC3595"/>
    <w:rsid w:val="653854BB"/>
    <w:rsid w:val="6FC4143D"/>
    <w:rsid w:val="75BB7EB9"/>
    <w:rsid w:val="7790051A"/>
    <w:rsid w:val="7E12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0"/>
    <w:pPr>
      <w:ind w:left="420" w:leftChars="200"/>
    </w:pPr>
    <w:rPr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688</Characters>
  <Lines>5</Lines>
  <Paragraphs>1</Paragraphs>
  <TotalTime>1</TotalTime>
  <ScaleCrop>false</ScaleCrop>
  <LinksUpToDate>false</LinksUpToDate>
  <CharactersWithSpaces>807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2021-05-20T07:00:00Z</dcterms:created>
  <dc:creator>债务科</dc:creator>
  <cp:lastModifiedBy>Administrator</cp:lastModifiedBy>
  <dcterms:modified xsi:type="dcterms:W3CDTF">2025-09-04T03:34:43Z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