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360" w:lineRule="auto"/>
        <w:jc w:val="center"/>
        <w:rPr>
          <w:rFonts w:ascii="黑体" w:hAnsi="黑体" w:eastAsia="黑体"/>
          <w:sz w:val="40"/>
          <w:szCs w:val="36"/>
        </w:rPr>
      </w:pPr>
      <w:r>
        <w:rPr>
          <w:rFonts w:hint="eastAsia" w:ascii="黑体" w:hAnsi="黑体" w:eastAsia="黑体"/>
          <w:sz w:val="40"/>
          <w:szCs w:val="36"/>
        </w:rPr>
        <w:t>关于</w:t>
      </w:r>
      <w:r>
        <w:rPr>
          <w:rFonts w:ascii="黑体" w:hAnsi="黑体" w:eastAsia="黑体"/>
          <w:sz w:val="40"/>
          <w:szCs w:val="36"/>
        </w:rPr>
        <w:t>北辰区</w:t>
      </w:r>
      <w:r>
        <w:rPr>
          <w:rFonts w:hint="eastAsia" w:ascii="黑体" w:hAnsi="黑体" w:eastAsia="黑体"/>
          <w:sz w:val="40"/>
          <w:szCs w:val="36"/>
        </w:rPr>
        <w:t>20</w:t>
      </w:r>
      <w:r>
        <w:rPr>
          <w:rFonts w:ascii="黑体" w:hAnsi="黑体" w:eastAsia="黑体"/>
          <w:sz w:val="40"/>
          <w:szCs w:val="36"/>
        </w:rPr>
        <w:t>2</w:t>
      </w:r>
      <w:r>
        <w:rPr>
          <w:rFonts w:hint="eastAsia" w:ascii="黑体" w:hAnsi="黑体" w:eastAsia="黑体"/>
          <w:sz w:val="40"/>
          <w:szCs w:val="36"/>
          <w:lang w:val="en-US" w:eastAsia="zh-CN"/>
        </w:rPr>
        <w:t>4</w:t>
      </w:r>
      <w:r>
        <w:rPr>
          <w:rFonts w:hint="eastAsia" w:ascii="黑体" w:hAnsi="黑体" w:eastAsia="黑体"/>
          <w:sz w:val="40"/>
          <w:szCs w:val="36"/>
        </w:rPr>
        <w:t>年</w:t>
      </w:r>
      <w:r>
        <w:rPr>
          <w:rFonts w:ascii="黑体" w:hAnsi="黑体" w:eastAsia="黑体"/>
          <w:sz w:val="40"/>
          <w:szCs w:val="36"/>
        </w:rPr>
        <w:t>预算绩效工作开展情况说明</w:t>
      </w: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627" w:firstLineChars="196"/>
        <w:rPr>
          <w:rFonts w:ascii="Times New Roman" w:hAnsi="仿宋_GB2312" w:cs="Times New Roman"/>
          <w:bCs/>
          <w:color w:val="000000"/>
          <w:sz w:val="32"/>
          <w:szCs w:val="32"/>
        </w:rPr>
      </w:pP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627" w:firstLineChars="196"/>
        <w:rPr>
          <w:rFonts w:ascii="Times New Roman" w:hAnsi="Times New Roman" w:cs="Times New Roman"/>
          <w:sz w:val="32"/>
          <w:szCs w:val="32"/>
        </w:rPr>
      </w:pPr>
      <w:bookmarkStart w:id="0" w:name="_GoBack"/>
      <w:bookmarkEnd w:id="0"/>
      <w:r>
        <w:rPr>
          <w:rFonts w:ascii="Times New Roman" w:hAnsi="仿宋_GB2312" w:cs="Times New Roman"/>
          <w:bCs/>
          <w:color w:val="000000"/>
          <w:sz w:val="32"/>
          <w:szCs w:val="32"/>
        </w:rPr>
        <w:t>深化预算与绩效管理全链条融合，让有限的财政资金发挥更大效益。</w:t>
      </w:r>
      <w:r>
        <w:rPr>
          <w:rFonts w:ascii="Times New Roman" w:hAnsi="仿宋_GB2312" w:cs="Times New Roman"/>
          <w:sz w:val="32"/>
          <w:szCs w:val="32"/>
        </w:rPr>
        <w:t>将事前绩效评估结果作为预算安排的重要参考，把绩效目标设置和审核情况作为纳入项目库管理和预算安排的前置条件，对绩效目标实现程度和预算执行情况实行</w:t>
      </w:r>
      <w:r>
        <w:rPr>
          <w:rFonts w:ascii="Times New Roman" w:hAnsi="Times New Roman" w:cs="Times New Roman"/>
          <w:sz w:val="32"/>
          <w:szCs w:val="32"/>
        </w:rPr>
        <w:t>“</w:t>
      </w:r>
      <w:r>
        <w:rPr>
          <w:rFonts w:ascii="Times New Roman" w:hAnsi="仿宋_GB2312" w:cs="Times New Roman"/>
          <w:sz w:val="32"/>
          <w:szCs w:val="32"/>
        </w:rPr>
        <w:t>双监控</w:t>
      </w:r>
      <w:r>
        <w:rPr>
          <w:rFonts w:ascii="Times New Roman" w:hAnsi="Times New Roman" w:cs="Times New Roman"/>
          <w:sz w:val="32"/>
          <w:szCs w:val="32"/>
        </w:rPr>
        <w:t>”</w:t>
      </w:r>
      <w:r>
        <w:rPr>
          <w:rFonts w:ascii="Times New Roman" w:hAnsi="仿宋_GB2312" w:cs="Times New Roman"/>
          <w:sz w:val="32"/>
          <w:szCs w:val="32"/>
        </w:rPr>
        <w:t>，开展项目绩效自评及整体支出绩效自评，加大抽查复核力度，推动绩效评价结果与预算安排挂钩。</w:t>
      </w:r>
      <w:r>
        <w:rPr>
          <w:rFonts w:ascii="Times New Roman" w:hAnsi="仿宋_GB2312" w:cs="Times New Roman"/>
          <w:bCs/>
          <w:color w:val="000000"/>
          <w:sz w:val="32"/>
          <w:szCs w:val="32"/>
        </w:rPr>
        <w:t>组织开展</w:t>
      </w:r>
      <w:r>
        <w:rPr>
          <w:rFonts w:ascii="Times New Roman" w:hAnsi="Times New Roman" w:cs="Times New Roman"/>
          <w:bCs/>
          <w:color w:val="000000"/>
          <w:sz w:val="32"/>
          <w:szCs w:val="32"/>
        </w:rPr>
        <w:t>10</w:t>
      </w:r>
      <w:r>
        <w:rPr>
          <w:rFonts w:ascii="Times New Roman" w:hAnsi="仿宋_GB2312" w:cs="Times New Roman"/>
          <w:bCs/>
          <w:color w:val="000000"/>
          <w:sz w:val="32"/>
          <w:szCs w:val="32"/>
        </w:rPr>
        <w:t>个项目事前绩效评估，评估核减金额</w:t>
      </w:r>
      <w:r>
        <w:rPr>
          <w:rFonts w:hint="eastAsia" w:ascii="Times New Roman" w:hAnsi="Times New Roman" w:cs="Times New Roman"/>
          <w:bCs/>
          <w:color w:val="000000"/>
          <w:sz w:val="32"/>
          <w:szCs w:val="32"/>
        </w:rPr>
        <w:t>0.23</w:t>
      </w:r>
      <w:r>
        <w:rPr>
          <w:rFonts w:ascii="Times New Roman" w:hAnsi="仿宋_GB2312" w:cs="Times New Roman"/>
          <w:bCs/>
          <w:color w:val="000000"/>
          <w:sz w:val="32"/>
          <w:szCs w:val="32"/>
        </w:rPr>
        <w:t>亿元，核减比例</w:t>
      </w:r>
      <w:r>
        <w:rPr>
          <w:rFonts w:hint="eastAsia" w:ascii="Times New Roman" w:hAnsi="Times New Roman" w:cs="Times New Roman"/>
          <w:bCs/>
          <w:color w:val="000000"/>
          <w:sz w:val="32"/>
          <w:szCs w:val="32"/>
        </w:rPr>
        <w:t>36.3</w:t>
      </w:r>
      <w:r>
        <w:rPr>
          <w:rFonts w:ascii="Times New Roman" w:hAnsi="Times New Roman" w:cs="Times New Roman"/>
          <w:bCs/>
          <w:color w:val="000000"/>
          <w:sz w:val="32"/>
          <w:szCs w:val="32"/>
        </w:rPr>
        <w:t>%</w:t>
      </w:r>
      <w:r>
        <w:rPr>
          <w:rFonts w:ascii="Times New Roman" w:hAnsi="仿宋_GB2312" w:cs="Times New Roman"/>
          <w:bCs/>
          <w:color w:val="000000"/>
          <w:sz w:val="32"/>
          <w:szCs w:val="32"/>
        </w:rPr>
        <w:t>；</w:t>
      </w:r>
      <w:r>
        <w:rPr>
          <w:rFonts w:ascii="Times New Roman" w:hAnsi="仿宋_GB2312" w:cs="Times New Roman"/>
          <w:sz w:val="32"/>
          <w:szCs w:val="32"/>
        </w:rPr>
        <w:t>审核区级部门</w:t>
      </w:r>
      <w:r>
        <w:rPr>
          <w:rFonts w:hint="eastAsia" w:ascii="Times New Roman" w:hAnsi="Times New Roman" w:cs="Times New Roman"/>
          <w:sz w:val="32"/>
          <w:szCs w:val="32"/>
        </w:rPr>
        <w:t>1875</w:t>
      </w:r>
      <w:r>
        <w:rPr>
          <w:rFonts w:ascii="Times New Roman" w:hAnsi="仿宋_GB2312" w:cs="Times New Roman"/>
          <w:sz w:val="32"/>
          <w:szCs w:val="32"/>
        </w:rPr>
        <w:t>个项目绩效目标、</w:t>
      </w:r>
      <w:r>
        <w:rPr>
          <w:rFonts w:hint="eastAsia" w:ascii="Times New Roman" w:hAnsi="Times New Roman" w:cs="Times New Roman"/>
          <w:sz w:val="32"/>
          <w:szCs w:val="32"/>
        </w:rPr>
        <w:t>1724</w:t>
      </w:r>
      <w:r>
        <w:rPr>
          <w:rFonts w:ascii="Times New Roman" w:hAnsi="仿宋_GB2312" w:cs="Times New Roman"/>
          <w:sz w:val="32"/>
          <w:szCs w:val="32"/>
        </w:rPr>
        <w:t>个项目中期监控、</w:t>
      </w:r>
      <w:r>
        <w:rPr>
          <w:rFonts w:hint="eastAsia" w:ascii="Times New Roman" w:hAnsi="Times New Roman" w:cs="Times New Roman"/>
          <w:sz w:val="32"/>
          <w:szCs w:val="32"/>
        </w:rPr>
        <w:t>1903</w:t>
      </w:r>
      <w:r>
        <w:rPr>
          <w:rFonts w:ascii="Times New Roman" w:hAnsi="仿宋_GB2312" w:cs="Times New Roman"/>
          <w:sz w:val="32"/>
          <w:szCs w:val="32"/>
        </w:rPr>
        <w:t>个项目绩效自评；对</w:t>
      </w:r>
      <w:r>
        <w:rPr>
          <w:rFonts w:hint="eastAsia" w:ascii="Times New Roman" w:hAnsi="Times New Roman" w:cs="Times New Roman"/>
          <w:sz w:val="32"/>
          <w:szCs w:val="32"/>
        </w:rPr>
        <w:t>7</w:t>
      </w:r>
      <w:r>
        <w:rPr>
          <w:rFonts w:ascii="Times New Roman" w:hAnsi="仿宋_GB2312" w:cs="Times New Roman"/>
          <w:sz w:val="32"/>
          <w:szCs w:val="32"/>
        </w:rPr>
        <w:t>个重点项目及</w:t>
      </w:r>
      <w:r>
        <w:rPr>
          <w:rFonts w:hint="eastAsia" w:ascii="Times New Roman" w:hAnsi="Times New Roman" w:cs="Times New Roman"/>
          <w:sz w:val="32"/>
          <w:szCs w:val="32"/>
        </w:rPr>
        <w:t>3</w:t>
      </w:r>
      <w:r>
        <w:rPr>
          <w:rFonts w:ascii="Times New Roman" w:hAnsi="仿宋_GB2312" w:cs="Times New Roman"/>
          <w:sz w:val="32"/>
          <w:szCs w:val="32"/>
        </w:rPr>
        <w:t>家部门整体开展财政评价，针对财政评价结果为</w:t>
      </w:r>
      <w:r>
        <w:rPr>
          <w:rFonts w:ascii="Times New Roman" w:hAnsi="Times New Roman" w:cs="Times New Roman"/>
          <w:sz w:val="32"/>
          <w:szCs w:val="32"/>
        </w:rPr>
        <w:t>“</w:t>
      </w:r>
      <w:r>
        <w:rPr>
          <w:rFonts w:ascii="Times New Roman" w:hAnsi="仿宋_GB2312" w:cs="Times New Roman"/>
          <w:sz w:val="32"/>
          <w:szCs w:val="32"/>
        </w:rPr>
        <w:t>中</w:t>
      </w:r>
      <w:r>
        <w:rPr>
          <w:rFonts w:ascii="Times New Roman" w:hAnsi="Times New Roman" w:cs="Times New Roman"/>
          <w:sz w:val="32"/>
          <w:szCs w:val="32"/>
        </w:rPr>
        <w:t>”</w:t>
      </w:r>
      <w:r>
        <w:rPr>
          <w:rFonts w:ascii="Times New Roman" w:hAnsi="仿宋_GB2312" w:cs="Times New Roman"/>
          <w:sz w:val="32"/>
          <w:szCs w:val="32"/>
        </w:rPr>
        <w:t>的项目，在下一年度预算安排中按照不低于项目预算总额</w:t>
      </w:r>
      <w:r>
        <w:rPr>
          <w:rFonts w:ascii="Times New Roman" w:hAnsi="Times New Roman" w:cs="Times New Roman"/>
          <w:sz w:val="32"/>
          <w:szCs w:val="32"/>
        </w:rPr>
        <w:t>5%</w:t>
      </w:r>
      <w:r>
        <w:rPr>
          <w:rFonts w:ascii="Times New Roman" w:hAnsi="仿宋_GB2312" w:cs="Times New Roman"/>
          <w:sz w:val="32"/>
          <w:szCs w:val="32"/>
        </w:rPr>
        <w:t>进行压减。同时，将绩效评价问题整改落实情况纳入单位绩效考核，形成</w:t>
      </w:r>
      <w:r>
        <w:rPr>
          <w:rFonts w:ascii="Times New Roman" w:hAnsi="Times New Roman" w:cs="Times New Roman"/>
          <w:sz w:val="32"/>
          <w:szCs w:val="32"/>
        </w:rPr>
        <w:t>“</w:t>
      </w:r>
      <w:r>
        <w:rPr>
          <w:rFonts w:ascii="Times New Roman" w:hAnsi="仿宋_GB2312" w:cs="Times New Roman"/>
          <w:sz w:val="32"/>
          <w:szCs w:val="32"/>
        </w:rPr>
        <w:t>花钱必问效，无效必问责</w:t>
      </w:r>
      <w:r>
        <w:rPr>
          <w:rFonts w:ascii="Times New Roman" w:hAnsi="Times New Roman" w:cs="Times New Roman"/>
          <w:sz w:val="32"/>
          <w:szCs w:val="32"/>
        </w:rPr>
        <w:t>”</w:t>
      </w:r>
      <w:r>
        <w:rPr>
          <w:rFonts w:ascii="Times New Roman" w:hAnsi="仿宋_GB2312" w:cs="Times New Roman"/>
          <w:sz w:val="32"/>
          <w:szCs w:val="32"/>
        </w:rPr>
        <w:t>的鲜明导向。</w:t>
      </w:r>
    </w:p>
    <w:p>
      <w:pPr>
        <w:rPr>
          <w:rFonts w:hint="eastAsia" w:asciiTheme="minorEastAsia" w:hAnsiTheme="minorEastAsia" w:eastAsiaTheme="minorEastAsia" w:cstheme="minorEastAsia"/>
          <w:b w:val="0"/>
          <w:bCs/>
          <w:color w:val="000000" w:themeColor="text1"/>
          <w:kern w:val="0"/>
          <w:sz w:val="32"/>
          <w:szCs w:val="32"/>
          <w:lang w:val="en"/>
          <w14:textFill>
            <w14:solidFill>
              <w14:schemeClr w14:val="tx1"/>
            </w14:solidFill>
          </w14:textFill>
        </w:rPr>
      </w:pPr>
    </w:p>
    <w:p>
      <w:pPr>
        <w:tabs>
          <w:tab w:val="left" w:pos="5550"/>
        </w:tabs>
        <w:ind w:firstLine="4320" w:firstLineChars="1350"/>
        <w:rPr>
          <w:rFonts w:hint="eastAsia" w:ascii="仿宋_GB2312" w:hAnsi="宋体" w:eastAsia="仿宋_GB2312" w:cs="宋体"/>
          <w:color w:val="000000" w:themeColor="text1"/>
          <w:kern w:val="0"/>
          <w:sz w:val="32"/>
          <w:szCs w:val="32"/>
          <w:lang w:val="en"/>
          <w14:textFill>
            <w14:solidFill>
              <w14:schemeClr w14:val="tx1"/>
            </w14:solidFill>
          </w14:textFill>
        </w:rPr>
      </w:pPr>
    </w:p>
    <w:p>
      <w:pPr>
        <w:ind w:firstLine="4480" w:firstLineChars="1400"/>
        <w:rPr>
          <w:rFonts w:hint="eastAsia" w:asciiTheme="minorEastAsia" w:hAnsiTheme="minorEastAsia" w:eastAsiaTheme="minorEastAsia" w:cstheme="minorEastAsia"/>
          <w:b w:val="0"/>
          <w:bCs/>
          <w:color w:val="000000" w:themeColor="text1"/>
          <w:kern w:val="0"/>
          <w:sz w:val="32"/>
          <w:szCs w:val="32"/>
          <w:lang w:val="e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32"/>
          <w:szCs w:val="32"/>
          <w:lang w:val="en"/>
          <w14:textFill>
            <w14:solidFill>
              <w14:schemeClr w14:val="tx1"/>
            </w14:solidFill>
          </w14:textFill>
        </w:rPr>
        <w:t>202</w:t>
      </w:r>
      <w:r>
        <w:rPr>
          <w:rFonts w:hint="eastAsia" w:asciiTheme="minorEastAsia" w:hAnsiTheme="minorEastAsia" w:eastAsiaTheme="minorEastAsia" w:cstheme="minorEastAsia"/>
          <w:b w:val="0"/>
          <w:bCs/>
          <w:color w:val="000000" w:themeColor="text1"/>
          <w:kern w:val="0"/>
          <w:sz w:val="32"/>
          <w:szCs w:val="32"/>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kern w:val="0"/>
          <w:sz w:val="32"/>
          <w:szCs w:val="32"/>
          <w:lang w:val="en"/>
          <w14:textFill>
            <w14:solidFill>
              <w14:schemeClr w14:val="tx1"/>
            </w14:solidFill>
          </w14:textFill>
        </w:rPr>
        <w:t>年7月26日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22"/>
    <w:rsid w:val="000239E2"/>
    <w:rsid w:val="0009001A"/>
    <w:rsid w:val="000E00A7"/>
    <w:rsid w:val="00102C02"/>
    <w:rsid w:val="00164E90"/>
    <w:rsid w:val="002A2378"/>
    <w:rsid w:val="002C4799"/>
    <w:rsid w:val="003F12A7"/>
    <w:rsid w:val="00427492"/>
    <w:rsid w:val="005912D6"/>
    <w:rsid w:val="005D2466"/>
    <w:rsid w:val="006F1603"/>
    <w:rsid w:val="00722C2A"/>
    <w:rsid w:val="007621D2"/>
    <w:rsid w:val="007E07D2"/>
    <w:rsid w:val="007F38CB"/>
    <w:rsid w:val="00816271"/>
    <w:rsid w:val="008F3E0D"/>
    <w:rsid w:val="00911373"/>
    <w:rsid w:val="00954F8B"/>
    <w:rsid w:val="00984D51"/>
    <w:rsid w:val="00A57797"/>
    <w:rsid w:val="00C54AD3"/>
    <w:rsid w:val="00C54C60"/>
    <w:rsid w:val="00D601D1"/>
    <w:rsid w:val="00DC7C36"/>
    <w:rsid w:val="00E8477D"/>
    <w:rsid w:val="00ED4F22"/>
    <w:rsid w:val="00F177DC"/>
    <w:rsid w:val="164120E7"/>
    <w:rsid w:val="273F3F61"/>
    <w:rsid w:val="27562859"/>
    <w:rsid w:val="45862240"/>
    <w:rsid w:val="4D857613"/>
    <w:rsid w:val="57A773BD"/>
    <w:rsid w:val="7200405A"/>
    <w:rsid w:val="74B9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unhideWhenUsed/>
    <w:qFormat/>
    <w:uiPriority w:val="0"/>
    <w:pPr>
      <w:ind w:left="420" w:leftChars="200"/>
    </w:pPr>
    <w:rPr>
      <w:szCs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72</Words>
  <Characters>414</Characters>
  <Lines>3</Lines>
  <Paragraphs>1</Paragraphs>
  <TotalTime>0</TotalTime>
  <ScaleCrop>false</ScaleCrop>
  <LinksUpToDate>false</LinksUpToDate>
  <CharactersWithSpaces>485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2021-05-21T11:32:00Z</dcterms:created>
  <dc:creator>何倩</dc:creator>
  <cp:lastModifiedBy>Administrator</cp:lastModifiedBy>
  <dcterms:modified xsi:type="dcterms:W3CDTF">2025-09-04T03:20:05Z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