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北辰区20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4年举借</w:t>
      </w:r>
      <w:r>
        <w:rPr>
          <w:rFonts w:ascii="方正小标宋简体" w:hAnsi="仿宋" w:eastAsia="方正小标宋简体"/>
          <w:sz w:val="44"/>
          <w:szCs w:val="44"/>
        </w:rPr>
        <w:t>政府债务</w:t>
      </w:r>
      <w:r>
        <w:rPr>
          <w:rFonts w:hint="eastAsia" w:ascii="方正小标宋简体" w:hAnsi="仿宋" w:eastAsia="方正小标宋简体"/>
          <w:sz w:val="44"/>
          <w:szCs w:val="44"/>
        </w:rPr>
        <w:t>说明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一、北辰区20</w:t>
      </w:r>
      <w:r>
        <w:rPr>
          <w:rFonts w:ascii="黑体" w:hAnsi="黑体" w:eastAsia="黑体"/>
          <w:sz w:val="32"/>
          <w:szCs w:val="32"/>
        </w:rPr>
        <w:t>23</w:t>
      </w:r>
      <w:r>
        <w:rPr>
          <w:rFonts w:hint="eastAsia" w:ascii="黑体" w:hAnsi="黑体" w:eastAsia="黑体"/>
          <w:sz w:val="32"/>
          <w:szCs w:val="32"/>
        </w:rPr>
        <w:t>年政府债务限额和</w:t>
      </w:r>
      <w:r>
        <w:rPr>
          <w:rFonts w:ascii="黑体" w:hAnsi="黑体" w:eastAsia="黑体"/>
          <w:sz w:val="32"/>
          <w:szCs w:val="32"/>
        </w:rPr>
        <w:t>余额预计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；省、自治区、直辖市依照国务院下达限额举借的债务，列入本级预算调整方案，报本级人民代表大会常务委员会批准。</w:t>
      </w:r>
    </w:p>
    <w:p>
      <w:pPr>
        <w:shd w:val="clear" w:color="auto" w:fill="FFFFFF"/>
        <w:autoSpaceDE w:val="0"/>
        <w:autoSpaceDN w:val="0"/>
        <w:spacing w:line="600" w:lineRule="exact"/>
        <w:ind w:firstLine="784" w:firstLineChars="2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市财政局下达北辰区2023年</w:t>
      </w:r>
      <w:r>
        <w:rPr>
          <w:rFonts w:hint="eastAsia" w:ascii="仿宋_GB2312" w:hAnsi="仿宋" w:eastAsia="仿宋_GB2312"/>
          <w:b/>
          <w:sz w:val="32"/>
          <w:szCs w:val="32"/>
        </w:rPr>
        <w:t>政府债务限额</w:t>
      </w:r>
      <w:r>
        <w:rPr>
          <w:rFonts w:hint="eastAsia" w:ascii="仿宋_GB2312" w:hAnsi="仿宋_GB2312" w:eastAsia="仿宋_GB2312" w:cs="仿宋_GB2312"/>
          <w:sz w:val="32"/>
          <w:szCs w:val="32"/>
        </w:rPr>
        <w:t>419.63</w:t>
      </w:r>
      <w:r>
        <w:rPr>
          <w:rFonts w:hint="eastAsia" w:ascii="仿宋_GB2312" w:hAnsi="仿宋" w:eastAsia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89.36</w:t>
      </w:r>
      <w:r>
        <w:rPr>
          <w:rFonts w:hint="eastAsia" w:ascii="仿宋_GB2312" w:hAnsi="仿宋" w:eastAsia="仿宋_GB2312"/>
          <w:sz w:val="32"/>
          <w:szCs w:val="32"/>
        </w:rPr>
        <w:t>亿元、专项债务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330.27</w:t>
      </w:r>
      <w:r>
        <w:rPr>
          <w:rFonts w:hint="eastAsia" w:ascii="仿宋_GB2312" w:hAnsi="仿宋" w:eastAsia="仿宋_GB2312"/>
          <w:sz w:val="32"/>
          <w:szCs w:val="32"/>
        </w:rPr>
        <w:t>亿元）。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截至2022年底，北辰区政府债务余额</w:t>
      </w:r>
      <w:r>
        <w:rPr>
          <w:rFonts w:hint="eastAsia" w:ascii="仿宋_GB2312" w:hAnsi="仿宋_GB2312" w:eastAsia="仿宋_GB2312" w:cs="仿宋_GB2312"/>
          <w:sz w:val="32"/>
          <w:szCs w:val="32"/>
        </w:rPr>
        <w:t>327.45</w:t>
      </w:r>
      <w:r>
        <w:rPr>
          <w:rFonts w:hint="eastAsia" w:ascii="仿宋_GB2312" w:hAnsi="仿宋" w:eastAsia="仿宋_GB2312"/>
          <w:sz w:val="32"/>
          <w:szCs w:val="32"/>
        </w:rPr>
        <w:t>亿元，其中一般债务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46.04</w:t>
      </w:r>
      <w:r>
        <w:rPr>
          <w:rFonts w:hint="eastAsia" w:ascii="仿宋_GB2312" w:hAnsi="仿宋" w:eastAsia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281.41</w:t>
      </w:r>
      <w:r>
        <w:rPr>
          <w:rFonts w:hint="eastAsia" w:ascii="仿宋_GB2312" w:hAnsi="仿宋" w:eastAsia="仿宋_GB2312"/>
          <w:sz w:val="32"/>
          <w:szCs w:val="32"/>
        </w:rPr>
        <w:t>亿元。2023年发行新增政府债券</w:t>
      </w:r>
      <w:r>
        <w:rPr>
          <w:rFonts w:hint="eastAsia" w:ascii="仿宋_GB2312" w:hAnsi="黑体" w:eastAsia="仿宋_GB2312"/>
          <w:sz w:val="32"/>
          <w:szCs w:val="32"/>
        </w:rPr>
        <w:t>（含新增再融资债券）</w:t>
      </w:r>
      <w:r>
        <w:rPr>
          <w:rFonts w:hint="eastAsia" w:ascii="仿宋_GB2312" w:hAnsi="仿宋" w:eastAsia="仿宋_GB2312"/>
          <w:sz w:val="32"/>
          <w:szCs w:val="32"/>
        </w:rPr>
        <w:t>92.03亿元，当年实际偿还到期债券本金0.27亿元，再融资债券偿还到期债券本金71.39亿元。据此，截至2023年底，北辰区政府债务余额419.21亿元，其中一般债务89.3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2亿元，专项债务329.89亿元。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北辰区20</w:t>
      </w:r>
      <w:r>
        <w:rPr>
          <w:rFonts w:ascii="黑体" w:hAnsi="黑体" w:eastAsia="黑体"/>
          <w:sz w:val="32"/>
          <w:szCs w:val="32"/>
        </w:rPr>
        <w:t>23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政府债务（</w:t>
      </w:r>
      <w:r>
        <w:rPr>
          <w:rFonts w:hint="eastAsia" w:ascii="黑体" w:hAnsi="黑体" w:eastAsia="黑体"/>
          <w:sz w:val="32"/>
          <w:szCs w:val="32"/>
        </w:rPr>
        <w:t>含</w:t>
      </w:r>
      <w:r>
        <w:rPr>
          <w:rFonts w:hint="eastAsia" w:ascii="黑体" w:hAnsi="黑体" w:eastAsia="黑体"/>
          <w:sz w:val="32"/>
          <w:szCs w:val="32"/>
          <w:lang w:eastAsia="zh-CN"/>
        </w:rPr>
        <w:t>新增</w:t>
      </w:r>
      <w:r>
        <w:rPr>
          <w:rFonts w:ascii="黑体" w:hAnsi="黑体" w:eastAsia="黑体"/>
          <w:sz w:val="32"/>
          <w:szCs w:val="32"/>
        </w:rPr>
        <w:t>再融资债券）</w:t>
      </w:r>
      <w:r>
        <w:rPr>
          <w:rFonts w:hint="eastAsia" w:ascii="黑体" w:hAnsi="黑体" w:eastAsia="黑体"/>
          <w:sz w:val="32"/>
          <w:szCs w:val="32"/>
        </w:rPr>
        <w:t>发行</w:t>
      </w:r>
      <w:r>
        <w:rPr>
          <w:rFonts w:ascii="黑体" w:hAnsi="黑体" w:eastAsia="黑体"/>
          <w:sz w:val="32"/>
          <w:szCs w:val="32"/>
        </w:rPr>
        <w:t>及还本付息</w:t>
      </w:r>
      <w:r>
        <w:rPr>
          <w:rFonts w:hint="eastAsia" w:ascii="黑体" w:hAnsi="黑体" w:eastAsia="黑体"/>
          <w:sz w:val="32"/>
          <w:szCs w:val="32"/>
        </w:rPr>
        <w:t>预计情况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1.2023年发行新增政府债券</w:t>
      </w:r>
      <w:r>
        <w:rPr>
          <w:rFonts w:hint="eastAsia" w:ascii="仿宋_GB2312" w:hAnsi="黑体" w:eastAsia="仿宋_GB2312"/>
          <w:sz w:val="32"/>
          <w:szCs w:val="32"/>
        </w:rPr>
        <w:t>（含新增再融资债券）</w:t>
      </w:r>
      <w:r>
        <w:rPr>
          <w:rFonts w:hint="eastAsia" w:ascii="仿宋_GB2312" w:hAnsi="仿宋" w:eastAsia="仿宋_GB2312"/>
          <w:sz w:val="32"/>
          <w:szCs w:val="32"/>
        </w:rPr>
        <w:t>92.03亿元，主要用于：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天津京津医药谷起步区园区一期建设项目8亿元；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北辰区青光镇韩家墅片区供热等基础设施工程项目2.7亿元；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双口镇乡村振兴建设项目1亿元；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中东欧特色小镇产业园区建设工程（一期）3亿元；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天津高端装备制造产业园万发分园配套基础设施建设项目崇仁道（尚达路-尚梅路）等五条道路工程项目0.9亿元；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13个村城中村改造项目5.70亿元；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京津公路两侧提升改造工程项目3.70亿元；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北辰区环外煤改清洁能源项目1亿元；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高端园基础设施建设项目5.40亿元。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北辰区天穆老村居民安置项目21.24亿元；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北辰区锅炉及供热管网改造项目3.60亿元。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新增再融资债券偿还存量债务29.50亿元等项目。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2.2023年政府债务付息支出10.65亿元（一般债券1.49亿元，专项债券9.16亿元）；债务还本支出71.66亿元(一般债券2亿元，专项债券69.66亿元)。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地方政府债券还本付息预算情况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2024年政府债务预计付息支出12.46亿元（一般债券2.65亿元，专项债券9.81亿元）；债务还本支出51.31亿元(一般债券14.91亿元，专项债券36.40亿元)。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地方政府</w:t>
      </w:r>
      <w:r>
        <w:rPr>
          <w:rFonts w:hint="eastAsia" w:ascii="黑体" w:hAnsi="黑体" w:eastAsia="黑体"/>
          <w:sz w:val="32"/>
          <w:szCs w:val="32"/>
        </w:rPr>
        <w:t>债务限额</w:t>
      </w:r>
      <w:r>
        <w:rPr>
          <w:rFonts w:ascii="黑体" w:hAnsi="黑体" w:eastAsia="黑体"/>
          <w:sz w:val="32"/>
          <w:szCs w:val="32"/>
        </w:rPr>
        <w:t>及</w:t>
      </w:r>
      <w:r>
        <w:rPr>
          <w:rFonts w:hint="eastAsia" w:ascii="黑体" w:hAnsi="黑体" w:eastAsia="黑体"/>
          <w:sz w:val="32"/>
          <w:szCs w:val="32"/>
        </w:rPr>
        <w:t>债券</w:t>
      </w:r>
      <w:r>
        <w:rPr>
          <w:rFonts w:ascii="黑体" w:hAnsi="黑体" w:eastAsia="黑体"/>
          <w:sz w:val="32"/>
          <w:szCs w:val="32"/>
        </w:rPr>
        <w:t>资金使用安排情况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由于在编制2024年政府预算时，市财政局还未下达我区2024年债务限额，所以待市财政局下达限额并发行后，据实公开政府债券资金使用安排情况。</w:t>
      </w:r>
    </w:p>
    <w:p>
      <w:pPr>
        <w:shd w:val="clear" w:color="auto" w:fill="FFFFFF"/>
        <w:autoSpaceDE w:val="0"/>
        <w:autoSpaceDN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hd w:val="clear" w:color="auto" w:fill="FFFFFF"/>
        <w:autoSpaceDE w:val="0"/>
        <w:autoSpaceDN w:val="0"/>
        <w:spacing w:line="600" w:lineRule="exact"/>
        <w:ind w:firstLine="5267" w:firstLineChars="1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C22"/>
    <w:rsid w:val="00015486"/>
    <w:rsid w:val="0008244C"/>
    <w:rsid w:val="00086491"/>
    <w:rsid w:val="000D4901"/>
    <w:rsid w:val="000D67E5"/>
    <w:rsid w:val="000F3F71"/>
    <w:rsid w:val="00114C01"/>
    <w:rsid w:val="00125C1C"/>
    <w:rsid w:val="00174F17"/>
    <w:rsid w:val="00197D08"/>
    <w:rsid w:val="001B7263"/>
    <w:rsid w:val="001E2A75"/>
    <w:rsid w:val="001E2E58"/>
    <w:rsid w:val="002114C9"/>
    <w:rsid w:val="00223E7C"/>
    <w:rsid w:val="00224F0F"/>
    <w:rsid w:val="0026290E"/>
    <w:rsid w:val="002725A5"/>
    <w:rsid w:val="00287E33"/>
    <w:rsid w:val="002B3712"/>
    <w:rsid w:val="002C1751"/>
    <w:rsid w:val="002E4143"/>
    <w:rsid w:val="0030419B"/>
    <w:rsid w:val="00305A78"/>
    <w:rsid w:val="0035208F"/>
    <w:rsid w:val="00353654"/>
    <w:rsid w:val="00357297"/>
    <w:rsid w:val="003574DF"/>
    <w:rsid w:val="00390886"/>
    <w:rsid w:val="003C50F6"/>
    <w:rsid w:val="003C57A7"/>
    <w:rsid w:val="00405627"/>
    <w:rsid w:val="004145C9"/>
    <w:rsid w:val="0044175D"/>
    <w:rsid w:val="004418F5"/>
    <w:rsid w:val="00466499"/>
    <w:rsid w:val="00490C4B"/>
    <w:rsid w:val="004A6C10"/>
    <w:rsid w:val="004C0157"/>
    <w:rsid w:val="004E12E1"/>
    <w:rsid w:val="004F0560"/>
    <w:rsid w:val="004F7F6B"/>
    <w:rsid w:val="00507F4E"/>
    <w:rsid w:val="0051237D"/>
    <w:rsid w:val="0053065D"/>
    <w:rsid w:val="00532EAC"/>
    <w:rsid w:val="00550C40"/>
    <w:rsid w:val="005A60C8"/>
    <w:rsid w:val="005D2256"/>
    <w:rsid w:val="005E4B1A"/>
    <w:rsid w:val="005E7037"/>
    <w:rsid w:val="006344E7"/>
    <w:rsid w:val="006756C4"/>
    <w:rsid w:val="00693125"/>
    <w:rsid w:val="00693C8C"/>
    <w:rsid w:val="006A4584"/>
    <w:rsid w:val="006B7628"/>
    <w:rsid w:val="006D12FC"/>
    <w:rsid w:val="006D78B6"/>
    <w:rsid w:val="006E3038"/>
    <w:rsid w:val="00704B5A"/>
    <w:rsid w:val="00710669"/>
    <w:rsid w:val="0072030C"/>
    <w:rsid w:val="00725914"/>
    <w:rsid w:val="0074600F"/>
    <w:rsid w:val="00754716"/>
    <w:rsid w:val="00770A70"/>
    <w:rsid w:val="00783F42"/>
    <w:rsid w:val="00785220"/>
    <w:rsid w:val="007D6690"/>
    <w:rsid w:val="007F23A1"/>
    <w:rsid w:val="00813E86"/>
    <w:rsid w:val="00865270"/>
    <w:rsid w:val="00880E7C"/>
    <w:rsid w:val="008F56C7"/>
    <w:rsid w:val="00915807"/>
    <w:rsid w:val="0093021D"/>
    <w:rsid w:val="0095631F"/>
    <w:rsid w:val="00973D9C"/>
    <w:rsid w:val="009A3441"/>
    <w:rsid w:val="009B0F2B"/>
    <w:rsid w:val="009B464C"/>
    <w:rsid w:val="009B5719"/>
    <w:rsid w:val="009B5C1B"/>
    <w:rsid w:val="009C5114"/>
    <w:rsid w:val="009C7F50"/>
    <w:rsid w:val="009D26B4"/>
    <w:rsid w:val="009D452B"/>
    <w:rsid w:val="009D47EA"/>
    <w:rsid w:val="009E1FC3"/>
    <w:rsid w:val="00A03C22"/>
    <w:rsid w:val="00A04883"/>
    <w:rsid w:val="00A3498F"/>
    <w:rsid w:val="00A63DCA"/>
    <w:rsid w:val="00A64703"/>
    <w:rsid w:val="00A76F0A"/>
    <w:rsid w:val="00A96AB2"/>
    <w:rsid w:val="00AB25B8"/>
    <w:rsid w:val="00AB5DC6"/>
    <w:rsid w:val="00AE321F"/>
    <w:rsid w:val="00B069E1"/>
    <w:rsid w:val="00B553B3"/>
    <w:rsid w:val="00B913BF"/>
    <w:rsid w:val="00BF1F96"/>
    <w:rsid w:val="00BF4937"/>
    <w:rsid w:val="00C00F0C"/>
    <w:rsid w:val="00C24568"/>
    <w:rsid w:val="00C25EA0"/>
    <w:rsid w:val="00C40632"/>
    <w:rsid w:val="00C75F44"/>
    <w:rsid w:val="00C903C6"/>
    <w:rsid w:val="00C9737C"/>
    <w:rsid w:val="00CA074E"/>
    <w:rsid w:val="00CE04EA"/>
    <w:rsid w:val="00D31F97"/>
    <w:rsid w:val="00D3431E"/>
    <w:rsid w:val="00D4553B"/>
    <w:rsid w:val="00D93AD3"/>
    <w:rsid w:val="00DB1F92"/>
    <w:rsid w:val="00DB4026"/>
    <w:rsid w:val="00DE2880"/>
    <w:rsid w:val="00E26313"/>
    <w:rsid w:val="00EA0565"/>
    <w:rsid w:val="00EB7F97"/>
    <w:rsid w:val="00ED5B70"/>
    <w:rsid w:val="00EF7342"/>
    <w:rsid w:val="00F318F9"/>
    <w:rsid w:val="00F56211"/>
    <w:rsid w:val="00F72AB0"/>
    <w:rsid w:val="00F73A21"/>
    <w:rsid w:val="00FE449B"/>
    <w:rsid w:val="00FE6A53"/>
    <w:rsid w:val="9FBB3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162</Words>
  <Characters>925</Characters>
  <Lines>7</Lines>
  <Paragraphs>2</Paragraphs>
  <TotalTime>415</TotalTime>
  <ScaleCrop>false</ScaleCrop>
  <LinksUpToDate>false</LinksUpToDate>
  <CharactersWithSpaces>1085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2024-02-27T17:14:00Z</dcterms:created>
  <dc:creator>债务科</dc:creator>
  <cp:lastModifiedBy>admin</cp:lastModifiedBy>
  <dcterms:modified xsi:type="dcterms:W3CDTF">2024-05-31T17:37:49Z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