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北辰区20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年举借</w:t>
      </w:r>
      <w:r>
        <w:rPr>
          <w:rFonts w:ascii="方正小标宋简体" w:hAnsi="仿宋" w:eastAsia="方正小标宋简体"/>
          <w:sz w:val="44"/>
          <w:szCs w:val="44"/>
        </w:rPr>
        <w:t>政府债务</w:t>
      </w:r>
      <w:r>
        <w:rPr>
          <w:rFonts w:hint="eastAsia" w:ascii="方正小标宋简体" w:hAnsi="仿宋" w:eastAsia="方正小标宋简体"/>
          <w:sz w:val="44"/>
          <w:szCs w:val="44"/>
        </w:rPr>
        <w:t>说明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一、北辰区20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年政府债务限额和</w:t>
      </w:r>
      <w:r>
        <w:rPr>
          <w:rFonts w:ascii="黑体" w:hAnsi="黑体" w:eastAsia="黑体"/>
          <w:sz w:val="32"/>
          <w:szCs w:val="32"/>
        </w:rPr>
        <w:t>余额预计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；省、自治区、直辖市依照国务院下达限额举借的债务，列入本级预算调整方案，报本级人民代表大会常务委员会批准。</w:t>
      </w:r>
    </w:p>
    <w:p>
      <w:pPr>
        <w:shd w:val="clear" w:color="auto" w:fill="FFFFFF"/>
        <w:autoSpaceDE w:val="0"/>
        <w:autoSpaceDN w:val="0"/>
        <w:spacing w:line="600" w:lineRule="exact"/>
        <w:ind w:firstLine="784" w:firstLineChars="2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市财政局下达北辰区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b/>
          <w:sz w:val="32"/>
          <w:szCs w:val="32"/>
        </w:rPr>
        <w:t>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476.32</w:t>
      </w:r>
      <w:r>
        <w:rPr>
          <w:rFonts w:hint="eastAsia" w:ascii="仿宋" w:hAnsi="仿宋" w:eastAsia="仿宋"/>
          <w:sz w:val="32"/>
          <w:szCs w:val="32"/>
        </w:rPr>
        <w:t>亿元（包括一般债务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119.72</w:t>
      </w:r>
      <w:r>
        <w:rPr>
          <w:rFonts w:hint="eastAsia" w:ascii="仿宋" w:hAnsi="仿宋" w:eastAsia="仿宋"/>
          <w:sz w:val="32"/>
          <w:szCs w:val="32"/>
        </w:rPr>
        <w:t>亿元、专项债务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356.60</w:t>
      </w:r>
      <w:r>
        <w:rPr>
          <w:rFonts w:hint="eastAsia" w:ascii="仿宋" w:hAnsi="仿宋" w:eastAsia="仿宋"/>
          <w:sz w:val="32"/>
          <w:szCs w:val="32"/>
        </w:rPr>
        <w:t>亿元）。</w:t>
      </w:r>
    </w:p>
    <w:p>
      <w:pPr>
        <w:shd w:val="clear" w:color="auto" w:fill="FFFFFF"/>
        <w:autoSpaceDE w:val="0"/>
        <w:autoSpaceDN w:val="0"/>
        <w:spacing w:line="600" w:lineRule="exact"/>
        <w:ind w:firstLine="784" w:firstLineChars="2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底，北辰区政府</w:t>
      </w:r>
      <w:r>
        <w:rPr>
          <w:rFonts w:hint="eastAsia" w:ascii="仿宋" w:hAnsi="仿宋" w:eastAsia="仿宋"/>
          <w:sz w:val="32"/>
          <w:szCs w:val="32"/>
        </w:rPr>
        <w:t>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419.21</w:t>
      </w:r>
      <w:r>
        <w:rPr>
          <w:rFonts w:hint="eastAsia" w:ascii="仿宋" w:hAnsi="仿宋" w:eastAsia="仿宋"/>
          <w:sz w:val="32"/>
          <w:szCs w:val="32"/>
        </w:rPr>
        <w:t>亿元，其中一般债务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89.32</w:t>
      </w:r>
      <w:r>
        <w:rPr>
          <w:rFonts w:hint="eastAsia" w:ascii="仿宋" w:hAnsi="仿宋" w:eastAsia="仿宋"/>
          <w:sz w:val="32"/>
          <w:szCs w:val="32"/>
        </w:rPr>
        <w:t>亿元，专项债务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329.89</w:t>
      </w:r>
      <w:r>
        <w:rPr>
          <w:rFonts w:hint="eastAsia" w:ascii="仿宋" w:hAnsi="仿宋" w:eastAsia="仿宋"/>
          <w:sz w:val="32"/>
          <w:szCs w:val="32"/>
        </w:rPr>
        <w:t>亿元。2024年发行新增政府债券56.69亿元，当年实际偿还到期债券本金3.86亿元，再融资债券偿还到期债券本金47.45亿元。2024年末政府债务余额472.04亿元，其中：一般政府债务118.22亿元，专项政府债务353.82亿元，政府债务余额在财政部规定的法定限额476.32亿元（一般债务119.72亿元、专项债务356.60亿元）之内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北辰区20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政府债务（</w:t>
      </w:r>
      <w:r>
        <w:rPr>
          <w:rFonts w:hint="eastAsia" w:ascii="黑体" w:hAnsi="黑体" w:eastAsia="黑体"/>
          <w:sz w:val="32"/>
          <w:szCs w:val="32"/>
        </w:rPr>
        <w:t>含</w:t>
      </w:r>
      <w:r>
        <w:rPr>
          <w:rFonts w:ascii="黑体" w:hAnsi="黑体" w:eastAsia="黑体"/>
          <w:sz w:val="32"/>
          <w:szCs w:val="32"/>
        </w:rPr>
        <w:t>再融资债券）</w:t>
      </w:r>
      <w:r>
        <w:rPr>
          <w:rFonts w:hint="eastAsia" w:ascii="黑体" w:hAnsi="黑体" w:eastAsia="黑体"/>
          <w:sz w:val="32"/>
          <w:szCs w:val="32"/>
        </w:rPr>
        <w:t>发行</w:t>
      </w:r>
      <w:r>
        <w:rPr>
          <w:rFonts w:ascii="黑体" w:hAnsi="黑体" w:eastAsia="黑体"/>
          <w:sz w:val="32"/>
          <w:szCs w:val="32"/>
        </w:rPr>
        <w:t>及还本付息</w:t>
      </w:r>
      <w:r>
        <w:rPr>
          <w:rFonts w:hint="eastAsia" w:ascii="黑体" w:hAnsi="黑体" w:eastAsia="黑体"/>
          <w:sz w:val="32"/>
          <w:szCs w:val="32"/>
        </w:rPr>
        <w:t>预计情况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年政府</w:t>
      </w:r>
      <w:r>
        <w:rPr>
          <w:rFonts w:ascii="仿宋" w:hAnsi="仿宋" w:eastAsia="仿宋"/>
          <w:sz w:val="32"/>
          <w:szCs w:val="32"/>
        </w:rPr>
        <w:t>债务发行</w:t>
      </w:r>
      <w:r>
        <w:rPr>
          <w:rFonts w:hint="eastAsia" w:ascii="仿宋" w:hAnsi="仿宋" w:eastAsia="仿宋"/>
          <w:sz w:val="32"/>
          <w:szCs w:val="32"/>
        </w:rPr>
        <w:t>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年，市财政局转贷我区新增政府债券资金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56.69</w:t>
      </w:r>
      <w:r>
        <w:rPr>
          <w:rFonts w:hint="eastAsia" w:ascii="仿宋" w:hAnsi="仿宋" w:eastAsia="仿宋"/>
          <w:sz w:val="32"/>
          <w:szCs w:val="32"/>
        </w:rPr>
        <w:t>亿</w:t>
      </w:r>
      <w:r>
        <w:rPr>
          <w:rFonts w:hint="eastAsia" w:ascii="仿宋" w:hAnsi="仿宋" w:eastAsia="仿宋"/>
          <w:sz w:val="32"/>
          <w:szCs w:val="32"/>
          <w:highlight w:val="none"/>
        </w:rPr>
        <w:t>元。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新增政府债券</w:t>
      </w:r>
      <w:r>
        <w:rPr>
          <w:rFonts w:hint="eastAsia" w:ascii="仿宋" w:hAnsi="仿宋" w:eastAsia="仿宋" w:cs="Times New Roman"/>
          <w:sz w:val="32"/>
          <w:szCs w:val="32"/>
        </w:rPr>
        <w:t>用于北仓镇示范镇项目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4.2</w:t>
      </w:r>
      <w:r>
        <w:rPr>
          <w:rFonts w:hint="eastAsia" w:ascii="仿宋" w:hAnsi="仿宋" w:eastAsia="仿宋" w:cs="Times New Roman"/>
          <w:sz w:val="32"/>
          <w:szCs w:val="32"/>
        </w:rPr>
        <w:t>亿元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北辰双街镇庞咀片区乡村振兴提升改造工程项目（第二批）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Times New Roman"/>
          <w:sz w:val="32"/>
          <w:szCs w:val="32"/>
        </w:rPr>
        <w:t>亿元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天津市北辰区西堤头镇蓄滞洪区提升水利工程项目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/>
          <w:sz w:val="32"/>
          <w:szCs w:val="32"/>
        </w:rPr>
        <w:t>亿元</w:t>
      </w:r>
      <w:r>
        <w:rPr>
          <w:rFonts w:hint="eastAsia" w:ascii="仿宋" w:hAnsi="仿宋" w:eastAsia="仿宋" w:cs="Times New Roman"/>
          <w:sz w:val="32"/>
          <w:szCs w:val="32"/>
        </w:rPr>
        <w:t>、天津高端装备制造产业园万发分园配套基础设施建设项目崇仁道（尚达路-尚梅路）等五条道路工程项目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 w:cs="Times New Roman"/>
          <w:sz w:val="32"/>
          <w:szCs w:val="32"/>
        </w:rPr>
        <w:t>亿元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北辰区京津路周边基础设施改造一期二期工程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2.85</w:t>
      </w:r>
      <w:r>
        <w:rPr>
          <w:rFonts w:hint="eastAsia" w:ascii="仿宋" w:hAnsi="仿宋" w:eastAsia="仿宋" w:cs="Times New Roman"/>
          <w:sz w:val="32"/>
          <w:szCs w:val="32"/>
        </w:rPr>
        <w:t>亿元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天津陆路港物流装备产业园拓展区基础设施建设工程项目2.1</w:t>
      </w:r>
      <w:r>
        <w:rPr>
          <w:rFonts w:hint="eastAsia" w:ascii="仿宋" w:hAnsi="仿宋" w:eastAsia="仿宋"/>
          <w:sz w:val="32"/>
          <w:szCs w:val="32"/>
        </w:rPr>
        <w:t>亿元、</w:t>
      </w:r>
      <w:r>
        <w:rPr>
          <w:rFonts w:hint="eastAsia" w:ascii="仿宋" w:hAnsi="仿宋" w:eastAsia="仿宋" w:cs="Times New Roman"/>
          <w:sz w:val="32"/>
          <w:szCs w:val="32"/>
        </w:rPr>
        <w:t>天津市北辰区大张庄示范小城镇农民还迁住宅建设项目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5.3</w:t>
      </w:r>
      <w:r>
        <w:rPr>
          <w:rFonts w:hint="eastAsia" w:ascii="仿宋" w:hAnsi="仿宋" w:eastAsia="仿宋" w:cs="Times New Roman"/>
          <w:sz w:val="32"/>
          <w:szCs w:val="32"/>
        </w:rPr>
        <w:t>亿元、天津风电产业园基础设施建设工程项目6.01亿元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北辰区青光示范小城镇农民安置用房建设项目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8.36</w:t>
      </w:r>
      <w:r>
        <w:rPr>
          <w:rFonts w:hint="eastAsia" w:ascii="仿宋" w:hAnsi="仿宋" w:eastAsia="仿宋" w:cs="Times New Roman"/>
          <w:sz w:val="32"/>
          <w:szCs w:val="32"/>
        </w:rPr>
        <w:t>亿元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、天津市北辰区大张庄示范小城镇农民还迁住宅建设项目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0.62亿元、公安北辰分局青源派出所新址提升改造工程（二）0.05亿元、北京至天津滨海新区城际铁路（宝坻-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滨海新区）北辰站扩建工程（二）0.1亿元、北辰区基层防灾能力提升项目0.08亿元、唐河道等8条道路及基础设施项目0.42亿元及解决公益性项目支出25.51亿元等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.20</w:t>
      </w:r>
      <w:r>
        <w:rPr>
          <w:rFonts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年还本付息情况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年政府债务</w:t>
      </w:r>
      <w:r>
        <w:rPr>
          <w:rFonts w:ascii="仿宋" w:hAnsi="仿宋" w:eastAsia="仿宋"/>
          <w:sz w:val="32"/>
          <w:szCs w:val="32"/>
        </w:rPr>
        <w:t>付息支出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12.46</w:t>
      </w:r>
      <w:r>
        <w:rPr>
          <w:rFonts w:ascii="仿宋" w:hAnsi="仿宋" w:eastAsia="仿宋"/>
          <w:sz w:val="32"/>
          <w:szCs w:val="32"/>
        </w:rPr>
        <w:t>亿元</w:t>
      </w:r>
      <w:r>
        <w:rPr>
          <w:rFonts w:hint="eastAsia" w:ascii="仿宋" w:hAnsi="仿宋" w:eastAsia="仿宋"/>
          <w:sz w:val="32"/>
          <w:szCs w:val="32"/>
        </w:rPr>
        <w:t>（其中：一般债券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2.65</w:t>
      </w:r>
      <w:r>
        <w:rPr>
          <w:rFonts w:hint="eastAsia" w:ascii="仿宋" w:hAnsi="仿宋" w:eastAsia="仿宋"/>
          <w:sz w:val="32"/>
          <w:szCs w:val="32"/>
        </w:rPr>
        <w:t>亿元，专项债券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9.81</w:t>
      </w:r>
      <w:r>
        <w:rPr>
          <w:rFonts w:hint="eastAsia" w:ascii="仿宋" w:hAnsi="仿宋" w:eastAsia="仿宋"/>
          <w:sz w:val="32"/>
          <w:szCs w:val="32"/>
        </w:rPr>
        <w:t>亿元）；还本支出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66.30</w:t>
      </w:r>
      <w:r>
        <w:rPr>
          <w:rFonts w:hint="eastAsia" w:ascii="仿宋" w:hAnsi="仿宋" w:eastAsia="仿宋"/>
          <w:sz w:val="32"/>
          <w:szCs w:val="32"/>
        </w:rPr>
        <w:t>亿元,(其中：一般债券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14.91</w:t>
      </w:r>
      <w:r>
        <w:rPr>
          <w:rFonts w:hint="eastAsia" w:ascii="仿宋" w:hAnsi="仿宋" w:eastAsia="仿宋"/>
          <w:sz w:val="32"/>
          <w:szCs w:val="32"/>
        </w:rPr>
        <w:t>亿元，专项债券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51.39</w:t>
      </w:r>
      <w:r>
        <w:rPr>
          <w:rFonts w:hint="eastAsia" w:ascii="仿宋" w:hAnsi="仿宋" w:eastAsia="仿宋"/>
          <w:sz w:val="32"/>
          <w:szCs w:val="32"/>
        </w:rPr>
        <w:t>亿元)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地方政府债券还本付息预算情况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年政府债务预计</w:t>
      </w:r>
      <w:r>
        <w:rPr>
          <w:rFonts w:ascii="仿宋" w:hAnsi="仿宋" w:eastAsia="仿宋"/>
          <w:sz w:val="32"/>
          <w:szCs w:val="32"/>
        </w:rPr>
        <w:t>付息支出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13.07</w:t>
      </w:r>
      <w:r>
        <w:rPr>
          <w:rFonts w:ascii="仿宋" w:hAnsi="仿宋" w:eastAsia="仿宋"/>
          <w:sz w:val="32"/>
          <w:szCs w:val="32"/>
        </w:rPr>
        <w:t>亿元</w:t>
      </w:r>
      <w:r>
        <w:rPr>
          <w:rFonts w:hint="eastAsia" w:ascii="仿宋" w:hAnsi="仿宋" w:eastAsia="仿宋"/>
          <w:sz w:val="32"/>
          <w:szCs w:val="32"/>
        </w:rPr>
        <w:t>（其中：一般债券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3.08</w:t>
      </w:r>
      <w:r>
        <w:rPr>
          <w:rFonts w:hint="eastAsia" w:ascii="仿宋" w:hAnsi="仿宋" w:eastAsia="仿宋"/>
          <w:sz w:val="32"/>
          <w:szCs w:val="32"/>
        </w:rPr>
        <w:t>亿元，专项债券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9.99</w:t>
      </w:r>
      <w:r>
        <w:rPr>
          <w:rFonts w:hint="eastAsia" w:ascii="仿宋" w:hAnsi="仿宋" w:eastAsia="仿宋"/>
          <w:sz w:val="32"/>
          <w:szCs w:val="32"/>
        </w:rPr>
        <w:t>亿元）；还本支出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36.3</w:t>
      </w:r>
      <w:r>
        <w:rPr>
          <w:rFonts w:hint="eastAsia" w:ascii="仿宋" w:hAnsi="仿宋" w:eastAsia="仿宋"/>
          <w:sz w:val="32"/>
          <w:szCs w:val="32"/>
        </w:rPr>
        <w:t>亿元,(其中：一般债券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8.3</w:t>
      </w:r>
      <w:r>
        <w:rPr>
          <w:rFonts w:hint="eastAsia" w:ascii="仿宋" w:hAnsi="仿宋" w:eastAsia="仿宋"/>
          <w:sz w:val="32"/>
          <w:szCs w:val="32"/>
        </w:rPr>
        <w:t>亿元，专项债券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亿元)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</w:p>
    <w:p/>
    <w:p>
      <w:pPr>
        <w:shd w:val="clear" w:color="auto" w:fill="FFFFFF"/>
        <w:autoSpaceDE w:val="0"/>
        <w:autoSpaceDN w:val="0"/>
        <w:spacing w:line="600" w:lineRule="exact"/>
        <w:ind w:firstLine="5267" w:firstLineChars="1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C22"/>
    <w:rsid w:val="00005EBC"/>
    <w:rsid w:val="00015486"/>
    <w:rsid w:val="00086491"/>
    <w:rsid w:val="00094D88"/>
    <w:rsid w:val="00095E29"/>
    <w:rsid w:val="000C2EC7"/>
    <w:rsid w:val="000F3F71"/>
    <w:rsid w:val="00114C01"/>
    <w:rsid w:val="00125C1C"/>
    <w:rsid w:val="00162596"/>
    <w:rsid w:val="00174F17"/>
    <w:rsid w:val="001B7263"/>
    <w:rsid w:val="001E2E58"/>
    <w:rsid w:val="00223E7C"/>
    <w:rsid w:val="00224F0F"/>
    <w:rsid w:val="002725A5"/>
    <w:rsid w:val="002B3712"/>
    <w:rsid w:val="002E4143"/>
    <w:rsid w:val="0030419B"/>
    <w:rsid w:val="0035208F"/>
    <w:rsid w:val="00353654"/>
    <w:rsid w:val="00357297"/>
    <w:rsid w:val="003574DF"/>
    <w:rsid w:val="003874C7"/>
    <w:rsid w:val="003C50F6"/>
    <w:rsid w:val="003C57A7"/>
    <w:rsid w:val="003D2B74"/>
    <w:rsid w:val="00405627"/>
    <w:rsid w:val="004145C9"/>
    <w:rsid w:val="0042326F"/>
    <w:rsid w:val="0044175D"/>
    <w:rsid w:val="004418F5"/>
    <w:rsid w:val="00466499"/>
    <w:rsid w:val="0048075B"/>
    <w:rsid w:val="00490C4B"/>
    <w:rsid w:val="004C0157"/>
    <w:rsid w:val="004F0560"/>
    <w:rsid w:val="004F7F6B"/>
    <w:rsid w:val="00507F4E"/>
    <w:rsid w:val="0053065D"/>
    <w:rsid w:val="00532EAC"/>
    <w:rsid w:val="00550C40"/>
    <w:rsid w:val="005A60C8"/>
    <w:rsid w:val="005D2256"/>
    <w:rsid w:val="005E4B1A"/>
    <w:rsid w:val="005E7037"/>
    <w:rsid w:val="00605DB9"/>
    <w:rsid w:val="00655710"/>
    <w:rsid w:val="00693C8C"/>
    <w:rsid w:val="006D12FC"/>
    <w:rsid w:val="006E3038"/>
    <w:rsid w:val="00704B5A"/>
    <w:rsid w:val="00725914"/>
    <w:rsid w:val="00754716"/>
    <w:rsid w:val="00770A70"/>
    <w:rsid w:val="00783F42"/>
    <w:rsid w:val="007F23A1"/>
    <w:rsid w:val="00813E86"/>
    <w:rsid w:val="008A58B9"/>
    <w:rsid w:val="0093021D"/>
    <w:rsid w:val="0095631F"/>
    <w:rsid w:val="009A3441"/>
    <w:rsid w:val="009B464C"/>
    <w:rsid w:val="009B5C1B"/>
    <w:rsid w:val="009C5114"/>
    <w:rsid w:val="009C7F50"/>
    <w:rsid w:val="009D452B"/>
    <w:rsid w:val="00A03C22"/>
    <w:rsid w:val="00A63DCA"/>
    <w:rsid w:val="00A64703"/>
    <w:rsid w:val="00A76F0A"/>
    <w:rsid w:val="00A96AB2"/>
    <w:rsid w:val="00AA7D34"/>
    <w:rsid w:val="00AB5DC6"/>
    <w:rsid w:val="00AE321F"/>
    <w:rsid w:val="00B069E1"/>
    <w:rsid w:val="00B6349B"/>
    <w:rsid w:val="00B913BF"/>
    <w:rsid w:val="00BF4937"/>
    <w:rsid w:val="00C07A6F"/>
    <w:rsid w:val="00C25EA0"/>
    <w:rsid w:val="00C6307B"/>
    <w:rsid w:val="00C75F44"/>
    <w:rsid w:val="00C903C6"/>
    <w:rsid w:val="00C9737C"/>
    <w:rsid w:val="00CA074E"/>
    <w:rsid w:val="00CA279E"/>
    <w:rsid w:val="00CD4F14"/>
    <w:rsid w:val="00CE04EA"/>
    <w:rsid w:val="00D3087D"/>
    <w:rsid w:val="00D31F97"/>
    <w:rsid w:val="00D3431E"/>
    <w:rsid w:val="00D81B57"/>
    <w:rsid w:val="00D93AD3"/>
    <w:rsid w:val="00DB07AD"/>
    <w:rsid w:val="00DB1F92"/>
    <w:rsid w:val="00DB4026"/>
    <w:rsid w:val="00DE2880"/>
    <w:rsid w:val="00E26313"/>
    <w:rsid w:val="00EB7F97"/>
    <w:rsid w:val="00ED5B70"/>
    <w:rsid w:val="00EE2869"/>
    <w:rsid w:val="00EF11DC"/>
    <w:rsid w:val="00F318F9"/>
    <w:rsid w:val="00F56211"/>
    <w:rsid w:val="00F72AB0"/>
    <w:rsid w:val="00F73A21"/>
    <w:rsid w:val="0F7F36F5"/>
    <w:rsid w:val="1153207C"/>
    <w:rsid w:val="1A4D3F9A"/>
    <w:rsid w:val="216B5627"/>
    <w:rsid w:val="32D773DA"/>
    <w:rsid w:val="34335CF5"/>
    <w:rsid w:val="3692039A"/>
    <w:rsid w:val="512379F2"/>
    <w:rsid w:val="5E2A618A"/>
    <w:rsid w:val="61645628"/>
    <w:rsid w:val="75E62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868</Characters>
  <Lines>7</Lines>
  <Paragraphs>2</Paragraphs>
  <TotalTime>202</TotalTime>
  <ScaleCrop>false</ScaleCrop>
  <LinksUpToDate>false</LinksUpToDate>
  <CharactersWithSpaces>1018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2021-05-20T07:00:00Z</dcterms:created>
  <dc:creator>债务科</dc:creator>
  <cp:lastModifiedBy>Administrator</cp:lastModifiedBy>
  <dcterms:modified xsi:type="dcterms:W3CDTF">2025-02-13T06:14:59Z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