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255467">
      <w:pPr>
        <w:spacing w:line="600" w:lineRule="exact"/>
        <w:rPr>
          <w:rFonts w:hint="eastAsia"/>
        </w:rPr>
      </w:pPr>
    </w:p>
    <w:p w14:paraId="4723C3E4">
      <w:pPr>
        <w:spacing w:line="600" w:lineRule="exact"/>
        <w:rPr>
          <w:rFonts w:hint="eastAsia"/>
        </w:rPr>
      </w:pPr>
    </w:p>
    <w:p w14:paraId="421EDED0">
      <w:pPr>
        <w:spacing w:line="600" w:lineRule="exact"/>
        <w:rPr>
          <w:rFonts w:hint="eastAsia"/>
        </w:rPr>
      </w:pPr>
    </w:p>
    <w:p w14:paraId="3556BB5D">
      <w:pPr>
        <w:spacing w:line="600" w:lineRule="exact"/>
        <w:rPr>
          <w:rFonts w:hint="eastAsia"/>
        </w:rPr>
      </w:pPr>
    </w:p>
    <w:p w14:paraId="5B5EA48B">
      <w:pPr>
        <w:spacing w:line="600" w:lineRule="exact"/>
        <w:rPr>
          <w:rFonts w:hint="eastAsia"/>
        </w:rPr>
      </w:pPr>
    </w:p>
    <w:p w14:paraId="58DB4674">
      <w:pPr>
        <w:spacing w:line="600" w:lineRule="exact"/>
        <w:rPr>
          <w:rFonts w:hint="eastAsia"/>
        </w:rPr>
      </w:pPr>
    </w:p>
    <w:p w14:paraId="6F2AC7CC">
      <w:pPr>
        <w:spacing w:line="600" w:lineRule="exact"/>
        <w:rPr>
          <w:rFonts w:hint="eastAsia"/>
        </w:rPr>
      </w:pPr>
    </w:p>
    <w:p w14:paraId="573FE062">
      <w:pPr>
        <w:spacing w:line="600" w:lineRule="exact"/>
        <w:rPr>
          <w:rFonts w:hint="eastAsia"/>
        </w:rPr>
      </w:pPr>
    </w:p>
    <w:p w14:paraId="488FF26F">
      <w:pPr>
        <w:spacing w:line="600" w:lineRule="exact"/>
        <w:rPr>
          <w:rFonts w:hint="eastAsia"/>
        </w:rPr>
      </w:pPr>
      <w:r>
        <mc:AlternateContent>
          <mc:Choice Requires="wps">
            <w:drawing>
              <wp:anchor distT="45720" distB="45720" distL="114300" distR="114300" simplePos="0" relativeHeight="251659264" behindDoc="0" locked="0" layoutInCell="1" allowOverlap="1">
                <wp:simplePos x="0" y="0"/>
                <wp:positionH relativeFrom="margin">
                  <wp:posOffset>-1143000</wp:posOffset>
                </wp:positionH>
                <wp:positionV relativeFrom="paragraph">
                  <wp:posOffset>-1945640</wp:posOffset>
                </wp:positionV>
                <wp:extent cx="7529830" cy="3378200"/>
                <wp:effectExtent l="0" t="0" r="0" b="0"/>
                <wp:wrapNone/>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29830" cy="3378200"/>
                        </a:xfrm>
                        <a:prstGeom prst="rect">
                          <a:avLst/>
                        </a:prstGeom>
                        <a:noFill/>
                        <a:ln w="9525">
                          <a:noFill/>
                          <a:miter lim="800000"/>
                        </a:ln>
                      </wps:spPr>
                      <wps:txbx>
                        <w:txbxContent>
                          <w:p w14:paraId="365ABA2C">
                            <w:pPr>
                              <w:adjustRightInd w:val="0"/>
                              <w:snapToGrid w:val="0"/>
                              <w:spacing w:line="1300" w:lineRule="exact"/>
                              <w:jc w:val="center"/>
                              <w:rPr>
                                <w:rFonts w:hint="eastAsia" w:ascii="华文中宋" w:hAnsi="华文中宋" w:eastAsia="华文中宋" w:cs="Arial"/>
                                <w:b/>
                                <w:bCs/>
                                <w:spacing w:val="20"/>
                                <w:sz w:val="48"/>
                                <w:szCs w:val="48"/>
                              </w:rPr>
                            </w:pPr>
                            <w:r>
                              <w:rPr>
                                <w:rFonts w:hint="eastAsia" w:ascii="华文中宋" w:hAnsi="华文中宋" w:eastAsia="华文中宋" w:cs="Arial"/>
                                <w:b/>
                                <w:bCs/>
                                <w:spacing w:val="20"/>
                                <w:sz w:val="48"/>
                                <w:szCs w:val="48"/>
                              </w:rPr>
                              <w:t>天津市北辰区全面推进美丽北辰建设暨持续深入</w:t>
                            </w:r>
                          </w:p>
                          <w:p w14:paraId="51A4EEEB">
                            <w:pPr>
                              <w:adjustRightInd w:val="0"/>
                              <w:snapToGrid w:val="0"/>
                              <w:spacing w:line="1300" w:lineRule="exact"/>
                              <w:jc w:val="center"/>
                              <w:rPr>
                                <w:rFonts w:hint="eastAsia" w:ascii="华文中宋" w:hAnsi="华文中宋" w:eastAsia="华文中宋" w:cs="Arial"/>
                                <w:b/>
                                <w:bCs/>
                                <w:spacing w:val="20"/>
                                <w:sz w:val="48"/>
                                <w:szCs w:val="48"/>
                              </w:rPr>
                            </w:pPr>
                            <w:r>
                              <w:rPr>
                                <w:rFonts w:hint="eastAsia" w:ascii="华文中宋" w:hAnsi="华文中宋" w:eastAsia="华文中宋" w:cs="Arial"/>
                                <w:b/>
                                <w:bCs/>
                                <w:spacing w:val="20"/>
                                <w:sz w:val="48"/>
                                <w:szCs w:val="48"/>
                              </w:rPr>
                              <w:t>打好污染防治攻坚战2025年工作计划</w:t>
                            </w:r>
                          </w:p>
                          <w:p w14:paraId="3F6E8B68">
                            <w:pPr>
                              <w:adjustRightInd w:val="0"/>
                              <w:snapToGrid w:val="0"/>
                              <w:spacing w:line="1300" w:lineRule="exact"/>
                              <w:jc w:val="center"/>
                              <w:rPr>
                                <w:rFonts w:hint="eastAsia" w:ascii="华文中宋" w:hAnsi="华文中宋" w:eastAsia="华文中宋" w:cs="Arial"/>
                                <w:b/>
                                <w:bCs/>
                                <w:spacing w:val="20"/>
                                <w:sz w:val="48"/>
                                <w:szCs w:val="48"/>
                              </w:rPr>
                            </w:pPr>
                            <w:r>
                              <w:rPr>
                                <w:rFonts w:hint="eastAsia" w:ascii="华文中宋" w:hAnsi="华文中宋" w:eastAsia="华文中宋" w:cs="Arial"/>
                                <w:b/>
                                <w:bCs/>
                                <w:spacing w:val="20"/>
                                <w:sz w:val="48"/>
                                <w:szCs w:val="48"/>
                              </w:rPr>
                              <w:t>风险评估报告</w:t>
                            </w:r>
                          </w:p>
                          <w:p w14:paraId="310C5A33">
                            <w:pPr>
                              <w:adjustRightInd w:val="0"/>
                              <w:snapToGrid w:val="0"/>
                              <w:spacing w:line="1300" w:lineRule="exact"/>
                              <w:jc w:val="center"/>
                              <w:rPr>
                                <w:rFonts w:hint="eastAsia" w:ascii="楷体_GB2312" w:hAnsi="楷体_GB2312" w:eastAsia="楷体_GB2312" w:cs="楷体_GB2312"/>
                                <w:b/>
                                <w:bCs/>
                                <w:spacing w:val="20"/>
                                <w:sz w:val="44"/>
                                <w:szCs w:val="44"/>
                                <w:lang w:val="en-US" w:eastAsia="zh-CN"/>
                              </w:rPr>
                            </w:pPr>
                            <w:r>
                              <w:rPr>
                                <w:rFonts w:hint="eastAsia" w:ascii="楷体_GB2312" w:hAnsi="楷体_GB2312" w:eastAsia="楷体_GB2312" w:cs="楷体_GB2312"/>
                                <w:b/>
                                <w:bCs/>
                                <w:spacing w:val="20"/>
                                <w:sz w:val="44"/>
                                <w:szCs w:val="44"/>
                                <w:lang w:val="en-US" w:eastAsia="zh-CN"/>
                              </w:rPr>
                              <w:t>（征求意见稿）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pt;margin-top:-153.2pt;height:266pt;width:592.9pt;mso-position-horizontal-relative:margin;z-index:251659264;mso-width-relative:page;mso-height-relative:page;" filled="f" stroked="f" coordsize="21600,21600" o:gfxdata="UEsDBAoAAAAAAIdO4kAAAAAAAAAAAAAAAAAEAAAAZHJzL1BLAwQUAAAACACHTuJAEg1MUtoAAAAO&#10;AQAADwAAAGRycy9kb3ducmV2LnhtbE2PwU7DMAyG70i8Q2QkblvcslZb13QHEFcQGyBxy5qsrWic&#10;qsnW8vZ4J7jZ8q/f31fuZteLix1D50lBskQQlmpvOmoUvB+eF2sQIWoyuvdkFfzYALvq9qbUhfET&#10;vdnLPjaCSygUWkEb41BIGerWOh2WfrDEt5MfnY68jo00o5643PUyRcyl0x3xh1YP9rG19ff+7BR8&#10;vJy+Plf42jy5bJj8jJLcRip1f5fgFkS0c/wLwxWf0aFipqM/kwmiV7BI1sgykacHzFcgrhnEjH2O&#10;CtI0y0FWpfyvUf0CUEsDBBQAAAAIAIdO4kDQbIGcJAIAACsEAAAOAAAAZHJzL2Uyb0RvYy54bWyt&#10;U82O0zAQviPxDpbvNG3a0jZqulq2WoS0/EgLD+A6TmNhe4ztNikPAG/AiQt3nmufg7GTXarlsgdy&#10;iMae8Tfzff68vui0IkfhvART0sloTIkwHCpp9iX99PH6xZISH5ipmAIjSnoSnl5snj9bt7YQOTSg&#10;KuEIghhftLakTQi2yDLPG6GZH4EVBpM1OM0CLt0+qxxrEV2rLB+PX2YtuMo64MJ73N32SToguqcA&#10;Ql1LLrbAD1qY0KM6oVhASr6R1tNNmrauBQ/v69qLQFRJkWlIf2yC8S7+s82aFXvHbCP5MAJ7ygiP&#10;OGkmDTZ9gNqywMjByX+gtOQOPNRhxEFnPZGkCLKYjB9pc9swKxIXlNrbB9H9/4Pl744fHJFVSfMV&#10;JYZpvPG7H9/vfv6++/WN5FGf1voCy24tFobuFXTomsTV2xvgnz0xcNUwsxeXzkHbCFbhfJN4Mjs7&#10;2uP4CLJr30KFfdghQALqaqejeCgHQXS8m9PD3YguEI6bi3m+Wk4xxTE3nS6W6KXUgxX3x63z4bUA&#10;TWJQUoeXn+DZ8caHOA4r7ktiNwPXUqlkAGVIW9LVPJ+nA2cZLQO6XUld0uU4fkNPZQZ6kVHPLXS7&#10;bpBrB9UJiTro/YavDYMG3FdKWvRaSf2XA3OCEvXGoFiryWwWzZkWs/kix4U7z+zOM8xwhCppoKQP&#10;r0IydM/pEkWtZaIb1e8nGWZFDyUVBr9Hk56vU9XfN77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INTFLaAAAADgEAAA8AAAAAAAAAAQAgAAAAIgAAAGRycy9kb3ducmV2LnhtbFBLAQIUABQAAAAI&#10;AIdO4kDQbIGcJAIAACsEAAAOAAAAAAAAAAEAIAAAACkBAABkcnMvZTJvRG9jLnhtbFBLBQYAAAAA&#10;BgAGAFkBAAC/BQAAAAA=&#10;">
                <v:fill on="f" focussize="0,0"/>
                <v:stroke on="f" miterlimit="8" joinstyle="miter"/>
                <v:imagedata o:title=""/>
                <o:lock v:ext="edit" aspectratio="f"/>
                <v:textbox>
                  <w:txbxContent>
                    <w:p w14:paraId="365ABA2C">
                      <w:pPr>
                        <w:adjustRightInd w:val="0"/>
                        <w:snapToGrid w:val="0"/>
                        <w:spacing w:line="1300" w:lineRule="exact"/>
                        <w:jc w:val="center"/>
                        <w:rPr>
                          <w:rFonts w:hint="eastAsia" w:ascii="华文中宋" w:hAnsi="华文中宋" w:eastAsia="华文中宋" w:cs="Arial"/>
                          <w:b/>
                          <w:bCs/>
                          <w:spacing w:val="20"/>
                          <w:sz w:val="48"/>
                          <w:szCs w:val="48"/>
                        </w:rPr>
                      </w:pPr>
                      <w:r>
                        <w:rPr>
                          <w:rFonts w:hint="eastAsia" w:ascii="华文中宋" w:hAnsi="华文中宋" w:eastAsia="华文中宋" w:cs="Arial"/>
                          <w:b/>
                          <w:bCs/>
                          <w:spacing w:val="20"/>
                          <w:sz w:val="48"/>
                          <w:szCs w:val="48"/>
                        </w:rPr>
                        <w:t>天津市北辰区全面推进美丽北辰建设暨持续深入</w:t>
                      </w:r>
                    </w:p>
                    <w:p w14:paraId="51A4EEEB">
                      <w:pPr>
                        <w:adjustRightInd w:val="0"/>
                        <w:snapToGrid w:val="0"/>
                        <w:spacing w:line="1300" w:lineRule="exact"/>
                        <w:jc w:val="center"/>
                        <w:rPr>
                          <w:rFonts w:hint="eastAsia" w:ascii="华文中宋" w:hAnsi="华文中宋" w:eastAsia="华文中宋" w:cs="Arial"/>
                          <w:b/>
                          <w:bCs/>
                          <w:spacing w:val="20"/>
                          <w:sz w:val="48"/>
                          <w:szCs w:val="48"/>
                        </w:rPr>
                      </w:pPr>
                      <w:r>
                        <w:rPr>
                          <w:rFonts w:hint="eastAsia" w:ascii="华文中宋" w:hAnsi="华文中宋" w:eastAsia="华文中宋" w:cs="Arial"/>
                          <w:b/>
                          <w:bCs/>
                          <w:spacing w:val="20"/>
                          <w:sz w:val="48"/>
                          <w:szCs w:val="48"/>
                        </w:rPr>
                        <w:t>打好污染防治攻坚战2025年工作计划</w:t>
                      </w:r>
                    </w:p>
                    <w:p w14:paraId="3F6E8B68">
                      <w:pPr>
                        <w:adjustRightInd w:val="0"/>
                        <w:snapToGrid w:val="0"/>
                        <w:spacing w:line="1300" w:lineRule="exact"/>
                        <w:jc w:val="center"/>
                        <w:rPr>
                          <w:rFonts w:hint="eastAsia" w:ascii="华文中宋" w:hAnsi="华文中宋" w:eastAsia="华文中宋" w:cs="Arial"/>
                          <w:b/>
                          <w:bCs/>
                          <w:spacing w:val="20"/>
                          <w:sz w:val="48"/>
                          <w:szCs w:val="48"/>
                        </w:rPr>
                      </w:pPr>
                      <w:r>
                        <w:rPr>
                          <w:rFonts w:hint="eastAsia" w:ascii="华文中宋" w:hAnsi="华文中宋" w:eastAsia="华文中宋" w:cs="Arial"/>
                          <w:b/>
                          <w:bCs/>
                          <w:spacing w:val="20"/>
                          <w:sz w:val="48"/>
                          <w:szCs w:val="48"/>
                        </w:rPr>
                        <w:t>风险评估报告</w:t>
                      </w:r>
                    </w:p>
                    <w:p w14:paraId="310C5A33">
                      <w:pPr>
                        <w:adjustRightInd w:val="0"/>
                        <w:snapToGrid w:val="0"/>
                        <w:spacing w:line="1300" w:lineRule="exact"/>
                        <w:jc w:val="center"/>
                        <w:rPr>
                          <w:rFonts w:hint="eastAsia" w:ascii="楷体_GB2312" w:hAnsi="楷体_GB2312" w:eastAsia="楷体_GB2312" w:cs="楷体_GB2312"/>
                          <w:b/>
                          <w:bCs/>
                          <w:spacing w:val="20"/>
                          <w:sz w:val="44"/>
                          <w:szCs w:val="44"/>
                          <w:lang w:val="en-US" w:eastAsia="zh-CN"/>
                        </w:rPr>
                      </w:pPr>
                      <w:r>
                        <w:rPr>
                          <w:rFonts w:hint="eastAsia" w:ascii="楷体_GB2312" w:hAnsi="楷体_GB2312" w:eastAsia="楷体_GB2312" w:cs="楷体_GB2312"/>
                          <w:b/>
                          <w:bCs/>
                          <w:spacing w:val="20"/>
                          <w:sz w:val="44"/>
                          <w:szCs w:val="44"/>
                          <w:lang w:val="en-US" w:eastAsia="zh-CN"/>
                        </w:rPr>
                        <w:t>（征求意见稿）</w:t>
                      </w:r>
                    </w:p>
                  </w:txbxContent>
                </v:textbox>
              </v:shape>
            </w:pict>
          </mc:Fallback>
        </mc:AlternateContent>
      </w:r>
    </w:p>
    <w:p w14:paraId="55545634">
      <w:pPr>
        <w:spacing w:line="600" w:lineRule="exact"/>
        <w:rPr>
          <w:rFonts w:hint="eastAsia"/>
        </w:rPr>
      </w:pPr>
    </w:p>
    <w:p w14:paraId="1F7BE67A">
      <w:pPr>
        <w:spacing w:line="600" w:lineRule="exact"/>
        <w:rPr>
          <w:rFonts w:hint="eastAsia"/>
        </w:rPr>
      </w:pPr>
    </w:p>
    <w:p w14:paraId="6F45AB23">
      <w:pPr>
        <w:spacing w:line="600" w:lineRule="exact"/>
        <w:rPr>
          <w:rFonts w:hint="eastAsia"/>
        </w:rPr>
      </w:pPr>
    </w:p>
    <w:p w14:paraId="5EC34F3B">
      <w:pPr>
        <w:spacing w:line="600" w:lineRule="exact"/>
        <w:rPr>
          <w:rFonts w:hint="eastAsia"/>
        </w:rPr>
        <w:sectPr>
          <w:footerReference r:id="rId3" w:type="default"/>
          <w:pgSz w:w="11906" w:h="16838"/>
          <w:pgMar w:top="1440" w:right="1800" w:bottom="1440" w:left="1800" w:header="851" w:footer="992" w:gutter="0"/>
          <w:cols w:space="425" w:num="1"/>
          <w:docGrid w:type="lines" w:linePitch="312" w:charSpace="0"/>
        </w:sectPr>
      </w:pPr>
      <w:bookmarkStart w:id="4" w:name="_GoBack"/>
      <w:bookmarkEnd w:id="4"/>
      <w:r>
        <mc:AlternateContent>
          <mc:Choice Requires="wps">
            <w:drawing>
              <wp:anchor distT="45720" distB="45720" distL="114300" distR="114300" simplePos="0" relativeHeight="251660288" behindDoc="0" locked="0" layoutInCell="1" allowOverlap="1">
                <wp:simplePos x="0" y="0"/>
                <wp:positionH relativeFrom="margin">
                  <wp:posOffset>-1143000</wp:posOffset>
                </wp:positionH>
                <wp:positionV relativeFrom="paragraph">
                  <wp:posOffset>3028315</wp:posOffset>
                </wp:positionV>
                <wp:extent cx="7577455" cy="1573530"/>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77455" cy="1573530"/>
                        </a:xfrm>
                        <a:prstGeom prst="rect">
                          <a:avLst/>
                        </a:prstGeom>
                        <a:noFill/>
                        <a:ln w="9525">
                          <a:noFill/>
                          <a:miter lim="800000"/>
                        </a:ln>
                      </wps:spPr>
                      <wps:txbx>
                        <w:txbxContent>
                          <w:p w14:paraId="4C20BE26">
                            <w:pPr>
                              <w:adjustRightInd w:val="0"/>
                              <w:snapToGrid w:val="0"/>
                              <w:jc w:val="center"/>
                              <w:rPr>
                                <w:rFonts w:hint="eastAsia" w:ascii="楷体_GB2312" w:hAnsi="黑体" w:eastAsia="楷体_GB2312" w:cs="Arial"/>
                                <w:spacing w:val="20"/>
                                <w:sz w:val="32"/>
                                <w:szCs w:val="32"/>
                              </w:rPr>
                            </w:pPr>
                          </w:p>
                          <w:p w14:paraId="1F2B9B03">
                            <w:pPr>
                              <w:adjustRightInd w:val="0"/>
                              <w:snapToGrid w:val="0"/>
                              <w:jc w:val="center"/>
                              <w:rPr>
                                <w:rFonts w:hint="eastAsia" w:ascii="楷体_GB2312" w:hAnsi="黑体" w:eastAsia="楷体_GB2312" w:cs="Arial"/>
                                <w:spacing w:val="20"/>
                                <w:sz w:val="32"/>
                                <w:szCs w:val="32"/>
                              </w:rPr>
                            </w:pPr>
                          </w:p>
                          <w:p w14:paraId="66E68872">
                            <w:pPr>
                              <w:adjustRightInd w:val="0"/>
                              <w:snapToGrid w:val="0"/>
                              <w:jc w:val="center"/>
                              <w:rPr>
                                <w:rFonts w:hint="eastAsia" w:ascii="楷体_GB2312" w:hAnsi="黑体" w:eastAsia="楷体_GB2312" w:cs="Arial"/>
                                <w:spacing w:val="20"/>
                                <w:sz w:val="32"/>
                                <w:szCs w:val="32"/>
                              </w:rPr>
                            </w:pPr>
                          </w:p>
                          <w:p w14:paraId="350D6CC2">
                            <w:pPr>
                              <w:adjustRightInd w:val="0"/>
                              <w:snapToGrid w:val="0"/>
                              <w:jc w:val="center"/>
                              <w:rPr>
                                <w:rFonts w:hint="eastAsia" w:ascii="楷体_GB2312" w:hAnsi="黑体" w:eastAsia="楷体_GB2312" w:cs="Arial"/>
                                <w:spacing w:val="20"/>
                                <w:sz w:val="34"/>
                                <w:szCs w:val="34"/>
                              </w:rPr>
                            </w:pPr>
                            <w:r>
                              <w:rPr>
                                <w:rFonts w:hint="eastAsia" w:ascii="楷体_GB2312" w:hAnsi="黑体" w:eastAsia="楷体_GB2312" w:cs="Arial"/>
                                <w:spacing w:val="20"/>
                                <w:sz w:val="34"/>
                                <w:szCs w:val="34"/>
                              </w:rPr>
                              <w:t>2025年</w:t>
                            </w:r>
                            <w:r>
                              <w:rPr>
                                <w:rFonts w:hint="eastAsia" w:ascii="楷体_GB2312" w:hAnsi="黑体" w:eastAsia="楷体_GB2312" w:cs="Arial"/>
                                <w:spacing w:val="20"/>
                                <w:sz w:val="34"/>
                                <w:szCs w:val="34"/>
                                <w:lang w:val="en-US" w:eastAsia="zh-CN"/>
                              </w:rPr>
                              <w:t>9</w:t>
                            </w:r>
                            <w:r>
                              <w:rPr>
                                <w:rFonts w:hint="eastAsia" w:ascii="楷体_GB2312" w:hAnsi="黑体" w:eastAsia="楷体_GB2312" w:cs="Arial"/>
                                <w:spacing w:val="20"/>
                                <w:sz w:val="34"/>
                                <w:szCs w:val="34"/>
                              </w:rPr>
                              <w:t>月</w:t>
                            </w:r>
                            <w:r>
                              <w:rPr>
                                <w:rFonts w:hint="eastAsia" w:ascii="楷体_GB2312" w:hAnsi="黑体" w:eastAsia="楷体_GB2312" w:cs="Arial"/>
                                <w:spacing w:val="20"/>
                                <w:sz w:val="34"/>
                                <w:szCs w:val="34"/>
                                <w:lang w:val="en-US" w:eastAsia="zh-CN"/>
                              </w:rPr>
                              <w:t>1</w:t>
                            </w:r>
                            <w:r>
                              <w:rPr>
                                <w:rFonts w:hint="eastAsia" w:ascii="楷体_GB2312" w:hAnsi="黑体" w:eastAsia="楷体_GB2312" w:cs="Arial"/>
                                <w:spacing w:val="20"/>
                                <w:sz w:val="34"/>
                                <w:szCs w:val="34"/>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pt;margin-top:238.45pt;height:123.9pt;width:596.65pt;mso-position-horizontal-relative:margin;z-index:251660288;mso-width-relative:page;mso-height-relative:page;" filled="f" stroked="f" coordsize="21600,21600" o:gfxdata="UEsDBAoAAAAAAIdO4kAAAAAAAAAAAAAAAAAEAAAAZHJzL1BLAwQUAAAACACHTuJAMbti3doAAAAN&#10;AQAADwAAAGRycy9kb3ducmV2LnhtbE2PzU7DMBCE70i8g7VI3Fo7bWjakE0PIK6glh+Jmxtvk4h4&#10;HcVuE94e91SOoxnNfFNsJ9uJMw2+dYyQzBUI4sqZlmuEj/eX2RqED5qN7hwTwi952Ja3N4XOjRt5&#10;R+d9qEUsYZ9rhCaEPpfSVw1Z7eeuJ47e0Q1WhyiHWppBj7HcdnKh1Epa3XJcaHRPTw1VP/uTRfh8&#10;PX5/peqtfrYP/egmJdluJOL9XaIeQQSawjUMF/yIDmVkOrgTGy86hFmyVvFMQEiz1QbEJaKS5RLE&#10;ASFbpBnIspD/X5R/UEsDBBQAAAAIAIdO4kDToFT9JQIAACoEAAAOAAAAZHJzL2Uyb0RvYy54bWyt&#10;U8FuEzEQvSPxD5bvZJM0S9pVNlVpVIRUoFLhAxyvN2the4ztZDd8APwBJy7c+135DsbebYjKpQf2&#10;sLI9M8/z3jwvLjutyE44L8GUdDIaUyIMh0qaTUk/f7p5dU6JD8xUTIERJd0LTy+XL18sWluIKTSg&#10;KuEIghhftLakTQi2yDLPG6GZH4EVBoM1OM0Cbt0mqxxrEV2rbDoev85acJV1wIX3eLrqg3RAdM8B&#10;hLqWXKyAb7UwoUd1QrGAlHwjrafL1G1dCx4+1rUXgaiSItOQ/ngJrtfxny0XrNg4ZhvJhxbYc1p4&#10;wkkzafDSI9SKBUa2Tv4DpSV34KEOIw4664kkRZDFZPxEm/uGWZG4oNTeHkX3/w+Wf9jdOSKrks4o&#10;MUzjwA8/fxx+PRx+fyfTKE9rfYFZ9xbzQvcGOjRNourtLfAvnhi4bpjZiCvnoG0Eq7C9SazMTkp7&#10;HB9B1u17qPAetg2QgLra6agdqkEQHUezP45GdIFwPJzn8/kszynhGJvk87P8LA0vY8VjuXU+vBWg&#10;SVyU1OHsEzzb3foQ22HFY0q8zcCNVCrNXxnSlvQin+ap4CSiZUCzK6lLej6OX+LFCmUGepFRzy10&#10;626Qaw3VHok66O2Gjw0XDbhvlLRotZL6r1vmBCXqnUGxLiazWfRm2szy+RQ37jSyPo0wwxGqpIGS&#10;fnkdkp97Tlcoai0T3ah+38nQK1ooqTDYPXr0dJ+y/j7x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xu2Ld2gAAAA0BAAAPAAAAAAAAAAEAIAAAACIAAABkcnMvZG93bnJldi54bWxQSwECFAAUAAAA&#10;CACHTuJA06BU/SUCAAAqBAAADgAAAAAAAAABACAAAAApAQAAZHJzL2Uyb0RvYy54bWxQSwUGAAAA&#10;AAYABgBZAQAAwAUAAAAA&#10;">
                <v:fill on="f" focussize="0,0"/>
                <v:stroke on="f" miterlimit="8" joinstyle="miter"/>
                <v:imagedata o:title=""/>
                <o:lock v:ext="edit" aspectratio="f"/>
                <v:textbox>
                  <w:txbxContent>
                    <w:p w14:paraId="4C20BE26">
                      <w:pPr>
                        <w:adjustRightInd w:val="0"/>
                        <w:snapToGrid w:val="0"/>
                        <w:jc w:val="center"/>
                        <w:rPr>
                          <w:rFonts w:hint="eastAsia" w:ascii="楷体_GB2312" w:hAnsi="黑体" w:eastAsia="楷体_GB2312" w:cs="Arial"/>
                          <w:spacing w:val="20"/>
                          <w:sz w:val="32"/>
                          <w:szCs w:val="32"/>
                        </w:rPr>
                      </w:pPr>
                    </w:p>
                    <w:p w14:paraId="1F2B9B03">
                      <w:pPr>
                        <w:adjustRightInd w:val="0"/>
                        <w:snapToGrid w:val="0"/>
                        <w:jc w:val="center"/>
                        <w:rPr>
                          <w:rFonts w:hint="eastAsia" w:ascii="楷体_GB2312" w:hAnsi="黑体" w:eastAsia="楷体_GB2312" w:cs="Arial"/>
                          <w:spacing w:val="20"/>
                          <w:sz w:val="32"/>
                          <w:szCs w:val="32"/>
                        </w:rPr>
                      </w:pPr>
                    </w:p>
                    <w:p w14:paraId="66E68872">
                      <w:pPr>
                        <w:adjustRightInd w:val="0"/>
                        <w:snapToGrid w:val="0"/>
                        <w:jc w:val="center"/>
                        <w:rPr>
                          <w:rFonts w:hint="eastAsia" w:ascii="楷体_GB2312" w:hAnsi="黑体" w:eastAsia="楷体_GB2312" w:cs="Arial"/>
                          <w:spacing w:val="20"/>
                          <w:sz w:val="32"/>
                          <w:szCs w:val="32"/>
                        </w:rPr>
                      </w:pPr>
                    </w:p>
                    <w:p w14:paraId="350D6CC2">
                      <w:pPr>
                        <w:adjustRightInd w:val="0"/>
                        <w:snapToGrid w:val="0"/>
                        <w:jc w:val="center"/>
                        <w:rPr>
                          <w:rFonts w:hint="eastAsia" w:ascii="楷体_GB2312" w:hAnsi="黑体" w:eastAsia="楷体_GB2312" w:cs="Arial"/>
                          <w:spacing w:val="20"/>
                          <w:sz w:val="34"/>
                          <w:szCs w:val="34"/>
                        </w:rPr>
                      </w:pPr>
                      <w:r>
                        <w:rPr>
                          <w:rFonts w:hint="eastAsia" w:ascii="楷体_GB2312" w:hAnsi="黑体" w:eastAsia="楷体_GB2312" w:cs="Arial"/>
                          <w:spacing w:val="20"/>
                          <w:sz w:val="34"/>
                          <w:szCs w:val="34"/>
                        </w:rPr>
                        <w:t>2025年</w:t>
                      </w:r>
                      <w:r>
                        <w:rPr>
                          <w:rFonts w:hint="eastAsia" w:ascii="楷体_GB2312" w:hAnsi="黑体" w:eastAsia="楷体_GB2312" w:cs="Arial"/>
                          <w:spacing w:val="20"/>
                          <w:sz w:val="34"/>
                          <w:szCs w:val="34"/>
                          <w:lang w:val="en-US" w:eastAsia="zh-CN"/>
                        </w:rPr>
                        <w:t>9</w:t>
                      </w:r>
                      <w:r>
                        <w:rPr>
                          <w:rFonts w:hint="eastAsia" w:ascii="楷体_GB2312" w:hAnsi="黑体" w:eastAsia="楷体_GB2312" w:cs="Arial"/>
                          <w:spacing w:val="20"/>
                          <w:sz w:val="34"/>
                          <w:szCs w:val="34"/>
                        </w:rPr>
                        <w:t>月</w:t>
                      </w:r>
                      <w:r>
                        <w:rPr>
                          <w:rFonts w:hint="eastAsia" w:ascii="楷体_GB2312" w:hAnsi="黑体" w:eastAsia="楷体_GB2312" w:cs="Arial"/>
                          <w:spacing w:val="20"/>
                          <w:sz w:val="34"/>
                          <w:szCs w:val="34"/>
                          <w:lang w:val="en-US" w:eastAsia="zh-CN"/>
                        </w:rPr>
                        <w:t>1</w:t>
                      </w:r>
                      <w:r>
                        <w:rPr>
                          <w:rFonts w:hint="eastAsia" w:ascii="楷体_GB2312" w:hAnsi="黑体" w:eastAsia="楷体_GB2312" w:cs="Arial"/>
                          <w:spacing w:val="20"/>
                          <w:sz w:val="34"/>
                          <w:szCs w:val="34"/>
                        </w:rPr>
                        <w:t>日</w:t>
                      </w:r>
                    </w:p>
                  </w:txbxContent>
                </v:textbox>
              </v:shape>
            </w:pict>
          </mc:Fallback>
        </mc:AlternateContent>
      </w:r>
    </w:p>
    <w:p w14:paraId="05C36B78">
      <w:pPr>
        <w:spacing w:line="600" w:lineRule="exact"/>
        <w:jc w:val="center"/>
        <w:outlineLvl w:val="0"/>
        <w:rPr>
          <w:rFonts w:hint="eastAsia" w:ascii="黑体" w:hAnsi="黑体" w:eastAsia="黑体" w:cs="黑体"/>
          <w:kern w:val="44"/>
          <w:sz w:val="34"/>
          <w:szCs w:val="34"/>
        </w:rPr>
      </w:pPr>
      <w:bookmarkStart w:id="0" w:name="_Toc87930772"/>
      <w:r>
        <w:rPr>
          <w:rFonts w:hint="eastAsia" w:ascii="方正小标宋简体" w:hAnsi="方正小标宋简体" w:eastAsia="方正小标宋简体" w:cs="方正小标宋简体"/>
          <w:kern w:val="44"/>
          <w:sz w:val="44"/>
          <w:szCs w:val="44"/>
        </w:rPr>
        <w:t>第一章  重大决策事项基本情况</w:t>
      </w:r>
    </w:p>
    <w:p w14:paraId="34FE96B0">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1.1重大决策事项名称</w:t>
      </w:r>
    </w:p>
    <w:p w14:paraId="25E7AB57">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天津市北辰区全面推进美丽北辰建设暨持续深入打好污染防治攻坚战2025年工作计划</w:t>
      </w:r>
    </w:p>
    <w:p w14:paraId="43A4F46F">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1.2重大决策实施单位</w:t>
      </w:r>
    </w:p>
    <w:p w14:paraId="2A421946">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楷体_GB2312" w:hAnsi="楷体_GB2312" w:eastAsia="楷体_GB2312" w:cs="楷体_GB2312"/>
          <w:kern w:val="44"/>
          <w:sz w:val="34"/>
          <w:szCs w:val="34"/>
        </w:rPr>
        <w:t>（1）决策事项实施单位：</w:t>
      </w:r>
      <w:r>
        <w:rPr>
          <w:rFonts w:hint="eastAsia" w:ascii="仿宋_GB2312" w:hAnsi="仿宋_GB2312" w:eastAsia="仿宋_GB2312" w:cs="仿宋_GB2312"/>
          <w:kern w:val="44"/>
          <w:sz w:val="34"/>
          <w:szCs w:val="34"/>
        </w:rPr>
        <w:t>天津市北辰区生态环境局</w:t>
      </w:r>
    </w:p>
    <w:p w14:paraId="44D048D4">
      <w:pPr>
        <w:spacing w:line="600" w:lineRule="exact"/>
        <w:ind w:firstLine="680" w:firstLineChars="200"/>
        <w:outlineLvl w:val="0"/>
        <w:rPr>
          <w:rFonts w:hint="eastAsia" w:ascii="楷体_GB2312" w:hAnsi="楷体_GB2312" w:eastAsia="楷体_GB2312" w:cs="楷体_GB2312"/>
          <w:kern w:val="44"/>
          <w:sz w:val="34"/>
          <w:szCs w:val="34"/>
        </w:rPr>
      </w:pPr>
      <w:r>
        <w:rPr>
          <w:rFonts w:hint="eastAsia" w:ascii="楷体_GB2312" w:hAnsi="楷体_GB2312" w:eastAsia="楷体_GB2312" w:cs="楷体_GB2312"/>
          <w:kern w:val="44"/>
          <w:sz w:val="34"/>
          <w:szCs w:val="34"/>
        </w:rPr>
        <w:t>（2）实施单位概况：</w:t>
      </w:r>
    </w:p>
    <w:p w14:paraId="0586C1EA">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法定代表人：李少恒</w:t>
      </w:r>
    </w:p>
    <w:p w14:paraId="1DC9D9C5">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统一社会信用代码：11120113MB1765451R</w:t>
      </w:r>
    </w:p>
    <w:p w14:paraId="63B4110A">
      <w:pPr>
        <w:pStyle w:val="12"/>
        <w:spacing w:beforeAutospacing="0" w:afterAutospacing="0" w:line="600" w:lineRule="exact"/>
        <w:ind w:firstLine="680" w:firstLineChars="200"/>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地址：天津市北辰区双辰中路5号</w:t>
      </w:r>
    </w:p>
    <w:p w14:paraId="0DFE8880">
      <w:pPr>
        <w:pStyle w:val="12"/>
        <w:spacing w:beforeAutospacing="0" w:afterAutospacing="0" w:line="600" w:lineRule="exact"/>
        <w:ind w:firstLine="680" w:firstLineChars="200"/>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主要职能：</w:t>
      </w:r>
    </w:p>
    <w:p w14:paraId="78C73E22">
      <w:pPr>
        <w:pStyle w:val="12"/>
        <w:spacing w:beforeAutospacing="0" w:afterAutospacing="0" w:line="600" w:lineRule="exact"/>
        <w:ind w:firstLine="680" w:firstLineChars="200"/>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负责建立健全生态环境保护监督管理制度。</w:t>
      </w:r>
    </w:p>
    <w:p w14:paraId="0EA7A1EE">
      <w:pPr>
        <w:pStyle w:val="12"/>
        <w:spacing w:beforeAutospacing="0" w:afterAutospacing="0" w:line="600" w:lineRule="exact"/>
        <w:ind w:firstLine="680" w:firstLineChars="200"/>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负责较大生态环境问题的统筹协调和监督管理。</w:t>
      </w:r>
    </w:p>
    <w:p w14:paraId="4FFBD970">
      <w:pPr>
        <w:pStyle w:val="12"/>
        <w:spacing w:beforeAutospacing="0" w:afterAutospacing="0" w:line="600" w:lineRule="exact"/>
        <w:ind w:firstLine="680" w:firstLineChars="200"/>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负责监督管理本区减排目标落实。</w:t>
      </w:r>
    </w:p>
    <w:p w14:paraId="0BD17D73">
      <w:pPr>
        <w:pStyle w:val="12"/>
        <w:spacing w:beforeAutospacing="0" w:afterAutospacing="0" w:line="600" w:lineRule="exact"/>
        <w:ind w:firstLine="680" w:firstLineChars="200"/>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负责提出生态环境保护领域固定资产投资规模和方向、区级财政性资金安排的意见，配合有关部门做好组织实施和监督工作。</w:t>
      </w:r>
    </w:p>
    <w:p w14:paraId="7EC65D7F">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负责环境污染防治监督管理。</w:t>
      </w:r>
    </w:p>
    <w:p w14:paraId="1AFDBE3C">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指导协调和监督生态保护修复工作。</w:t>
      </w:r>
    </w:p>
    <w:p w14:paraId="1377C942">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负责核与辐射安全监督管理。</w:t>
      </w:r>
    </w:p>
    <w:p w14:paraId="7570AB0F">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负责生态环境准入监督管理。</w:t>
      </w:r>
    </w:p>
    <w:p w14:paraId="7E5F6697">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负责生态环境监测工作。</w:t>
      </w:r>
    </w:p>
    <w:p w14:paraId="2CEFB0B5">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负责应对气候变化工作。</w:t>
      </w:r>
    </w:p>
    <w:p w14:paraId="025AE15B">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lang w:eastAsia="zh-CN"/>
        </w:rPr>
      </w:pPr>
      <w:r>
        <w:rPr>
          <w:rFonts w:hint="eastAsia" w:ascii="仿宋_GB2312" w:hAnsi="仿宋_GB2312" w:eastAsia="仿宋_GB2312" w:cs="仿宋_GB2312"/>
          <w:kern w:val="44"/>
          <w:sz w:val="34"/>
          <w:szCs w:val="34"/>
        </w:rPr>
        <w:t>负责生态环境监督执法</w:t>
      </w:r>
      <w:r>
        <w:rPr>
          <w:rFonts w:hint="eastAsia" w:ascii="仿宋_GB2312" w:hAnsi="仿宋_GB2312" w:eastAsia="仿宋_GB2312" w:cs="仿宋_GB2312"/>
          <w:kern w:val="44"/>
          <w:sz w:val="34"/>
          <w:szCs w:val="34"/>
          <w:lang w:eastAsia="zh-CN"/>
        </w:rPr>
        <w:t>。</w:t>
      </w:r>
    </w:p>
    <w:p w14:paraId="73840C1D">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组织指导和协调生态环境保护宣传教育工作。</w:t>
      </w:r>
    </w:p>
    <w:p w14:paraId="2BD1AD40">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开展生态环境保护领域对外合作与交流工作。</w:t>
      </w:r>
    </w:p>
    <w:p w14:paraId="25F02C45">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负责生态环境保护领域人才队伍建设。</w:t>
      </w:r>
    </w:p>
    <w:p w14:paraId="09DF1981">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组织推动生态环境保护领域招商引资工作。</w:t>
      </w:r>
    </w:p>
    <w:p w14:paraId="4EE21373">
      <w:pPr>
        <w:pStyle w:val="12"/>
        <w:spacing w:beforeAutospacing="0" w:afterAutospacing="0" w:line="600" w:lineRule="exact"/>
        <w:ind w:firstLine="680" w:firstLineChars="200"/>
        <w:jc w:val="both"/>
        <w:textAlignment w:val="baseline"/>
        <w:rPr>
          <w:rFonts w:hint="eastAsia" w:ascii="黑体" w:hAnsi="黑体" w:eastAsia="黑体" w:cs="黑体"/>
          <w:kern w:val="44"/>
          <w:sz w:val="34"/>
          <w:szCs w:val="34"/>
        </w:rPr>
      </w:pPr>
      <w:r>
        <w:rPr>
          <w:rFonts w:hint="eastAsia" w:ascii="仿宋_GB2312" w:hAnsi="仿宋_GB2312" w:eastAsia="仿宋_GB2312" w:cs="仿宋_GB2312"/>
          <w:kern w:val="44"/>
          <w:sz w:val="34"/>
          <w:szCs w:val="34"/>
        </w:rPr>
        <w:t>承办区委、区政府和市生态环境局交办的其他事项。</w:t>
      </w:r>
      <w:r>
        <w:rPr>
          <w:rFonts w:hint="eastAsia" w:ascii="黑体" w:hAnsi="黑体" w:eastAsia="黑体" w:cs="黑体"/>
          <w:kern w:val="44"/>
          <w:sz w:val="34"/>
          <w:szCs w:val="34"/>
        </w:rPr>
        <w:t>1.3风险评估事项</w:t>
      </w:r>
    </w:p>
    <w:p w14:paraId="5210F559">
      <w:pPr>
        <w:pStyle w:val="12"/>
        <w:spacing w:beforeAutospacing="0" w:afterAutospacing="0" w:line="600" w:lineRule="exact"/>
        <w:ind w:firstLine="680" w:firstLineChars="200"/>
        <w:textAlignment w:val="baseline"/>
        <w:rPr>
          <w:rFonts w:hint="eastAsia" w:ascii="楷体_GB2312" w:hAnsi="楷体_GB2312" w:eastAsia="楷体_GB2312" w:cs="楷体_GB2312"/>
          <w:kern w:val="44"/>
          <w:sz w:val="34"/>
          <w:szCs w:val="34"/>
        </w:rPr>
      </w:pPr>
      <w:r>
        <w:rPr>
          <w:rFonts w:hint="eastAsia" w:ascii="楷体_GB2312" w:hAnsi="楷体_GB2312" w:eastAsia="楷体_GB2312" w:cs="楷体_GB2312"/>
          <w:kern w:val="44"/>
          <w:sz w:val="34"/>
          <w:szCs w:val="34"/>
        </w:rPr>
        <w:t>（1）评估要求</w:t>
      </w:r>
    </w:p>
    <w:p w14:paraId="6FA1379D">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根据国家、天津市和北辰区关于重大行政决策程序的规定，“重大行政决策的实施可能对社会稳定、公共安全、生态环境、财政金融等方面造成不利影响或者容易引发网络舆情的，决策承办单位应当自行或者委托专业机构、社会组织等第三方进行风险评估”。</w:t>
      </w:r>
    </w:p>
    <w:p w14:paraId="16DF6B89">
      <w:pPr>
        <w:pStyle w:val="12"/>
        <w:spacing w:beforeAutospacing="0" w:afterAutospacing="0" w:line="600" w:lineRule="exact"/>
        <w:ind w:firstLine="680" w:firstLineChars="200"/>
        <w:textAlignment w:val="baseline"/>
        <w:rPr>
          <w:rFonts w:hint="eastAsia" w:ascii="楷体_GB2312" w:hAnsi="楷体_GB2312" w:eastAsia="楷体_GB2312" w:cs="楷体_GB2312"/>
          <w:kern w:val="44"/>
          <w:sz w:val="34"/>
          <w:szCs w:val="34"/>
        </w:rPr>
      </w:pPr>
      <w:r>
        <w:rPr>
          <w:rFonts w:hint="eastAsia" w:ascii="楷体_GB2312" w:hAnsi="楷体_GB2312" w:eastAsia="楷体_GB2312" w:cs="楷体_GB2312"/>
          <w:kern w:val="44"/>
          <w:sz w:val="34"/>
          <w:szCs w:val="34"/>
        </w:rPr>
        <w:t>（2）评估依据与目的</w:t>
      </w:r>
    </w:p>
    <w:p w14:paraId="142D3705">
      <w:pPr>
        <w:pStyle w:val="12"/>
        <w:spacing w:beforeAutospacing="0" w:afterAutospacing="0" w:line="600" w:lineRule="exact"/>
        <w:ind w:firstLine="680" w:firstLineChars="200"/>
        <w:jc w:val="both"/>
        <w:textAlignment w:val="baseline"/>
        <w:rPr>
          <w:rFonts w:hint="eastAsia" w:ascii="仿宋_GB2312" w:hAnsi="仿宋" w:eastAsia="仿宋_GB2312"/>
          <w:sz w:val="34"/>
          <w:szCs w:val="34"/>
        </w:rPr>
      </w:pPr>
      <w:r>
        <w:rPr>
          <w:rFonts w:hint="eastAsia" w:ascii="仿宋_GB2312" w:hAnsi="仿宋" w:eastAsia="仿宋_GB2312"/>
          <w:sz w:val="34"/>
          <w:szCs w:val="34"/>
        </w:rPr>
        <w:t>近年来，北辰区持续加大力度推动污染防治攻坚，取得成效显著，污染防治攻坚战阶段性目标任务圆满完成，生态环境明显改善，全面建成小康社会的绿色底色和质量成色进一步提高。但同时应该注意到，我区我结构性、根本性、趋势性污染问题尚未根本缓解，重点区域、重点行业污染问题仍然突出，生态环境保护任重道远。因此，要深入贯彻落实中共中央、国务院</w:t>
      </w:r>
      <w:r>
        <w:rPr>
          <w:rFonts w:hint="eastAsia" w:ascii="仿宋_GB2312" w:hAnsi="仿宋" w:eastAsia="仿宋_GB2312"/>
          <w:sz w:val="34"/>
          <w:szCs w:val="34"/>
          <w:lang w:eastAsia="zh-CN"/>
        </w:rPr>
        <w:t>《</w:t>
      </w:r>
      <w:r>
        <w:rPr>
          <w:rFonts w:hint="eastAsia" w:ascii="仿宋_GB2312" w:hAnsi="仿宋" w:eastAsia="仿宋_GB2312"/>
          <w:sz w:val="34"/>
          <w:szCs w:val="34"/>
          <w:lang w:val="en-US" w:eastAsia="zh-CN"/>
        </w:rPr>
        <w:t>关于全面推进美丽中国建设的意见</w:t>
      </w:r>
      <w:r>
        <w:rPr>
          <w:rFonts w:hint="eastAsia" w:ascii="仿宋_GB2312" w:hAnsi="仿宋" w:eastAsia="仿宋_GB2312"/>
          <w:sz w:val="34"/>
          <w:szCs w:val="34"/>
          <w:lang w:eastAsia="zh-CN"/>
        </w:rPr>
        <w:t>》、</w:t>
      </w:r>
      <w:r>
        <w:rPr>
          <w:rFonts w:hint="eastAsia" w:ascii="仿宋_GB2312" w:hAnsi="仿宋" w:eastAsia="仿宋_GB2312"/>
          <w:sz w:val="34"/>
          <w:szCs w:val="34"/>
          <w:lang w:val="en-US" w:eastAsia="zh-CN"/>
        </w:rPr>
        <w:t>国务院办公厅转发生态环境部</w:t>
      </w:r>
      <w:r>
        <w:rPr>
          <w:rFonts w:hint="eastAsia" w:ascii="仿宋_GB2312" w:hAnsi="仿宋" w:eastAsia="仿宋_GB2312"/>
          <w:sz w:val="34"/>
          <w:szCs w:val="34"/>
        </w:rPr>
        <w:t>《关于建设美丽中国先行区的实施意见》（国办函〔2025〕2号）和市生态环境保护委员会《天津市全面推进美丽天津建设暨持续深入打好污染防治攻坚战2025年工作计划》（津生态环保委〔2025〕1号）文件精神，结合北辰区生态文明建设及生态环境保护工作实际，明确持续深入打好污染防治攻坚战的目标任务，真正实现环境效益、经济效益和社会效益多赢，促进区域高质量发展。</w:t>
      </w:r>
    </w:p>
    <w:p w14:paraId="25A482E6">
      <w:pPr>
        <w:spacing w:line="600" w:lineRule="exact"/>
        <w:ind w:firstLine="680" w:firstLineChars="200"/>
        <w:rPr>
          <w:rFonts w:hint="eastAsia" w:ascii="仿宋_GB2312" w:hAnsi="仿宋" w:eastAsia="仿宋_GB2312" w:cs="Times New Roman"/>
          <w:sz w:val="34"/>
          <w:szCs w:val="34"/>
        </w:rPr>
      </w:pPr>
      <w:bookmarkStart w:id="1" w:name="_Toc87930774"/>
      <w:r>
        <w:rPr>
          <w:rFonts w:hint="eastAsia" w:ascii="仿宋_GB2312" w:hAnsi="仿宋" w:eastAsia="仿宋_GB2312" w:cs="Times New Roman"/>
          <w:sz w:val="34"/>
          <w:szCs w:val="34"/>
        </w:rPr>
        <w:t>本次风险评估综合判断</w:t>
      </w:r>
      <w:r>
        <w:rPr>
          <w:rFonts w:ascii="仿宋_GB2312" w:hAnsi="仿宋" w:eastAsia="仿宋_GB2312" w:cs="Times New Roman"/>
          <w:sz w:val="34"/>
          <w:szCs w:val="34"/>
          <w:lang w:val="en"/>
        </w:rPr>
        <w:t>《</w:t>
      </w:r>
      <w:r>
        <w:rPr>
          <w:rFonts w:hint="eastAsia" w:ascii="仿宋_GB2312" w:hAnsi="仿宋_GB2312" w:eastAsia="仿宋_GB2312" w:cs="仿宋_GB2312"/>
          <w:kern w:val="44"/>
          <w:sz w:val="34"/>
          <w:szCs w:val="34"/>
        </w:rPr>
        <w:t>天津市北辰区全面推进美丽北辰建设暨持续深入打好污染防治攻坚战2025年工作计划</w:t>
      </w:r>
      <w:r>
        <w:rPr>
          <w:rFonts w:ascii="仿宋_GB2312" w:hAnsi="仿宋" w:eastAsia="仿宋_GB2312" w:cs="Times New Roman"/>
          <w:sz w:val="34"/>
          <w:szCs w:val="34"/>
          <w:lang w:val="en"/>
        </w:rPr>
        <w:t>》</w:t>
      </w:r>
      <w:r>
        <w:rPr>
          <w:rFonts w:hint="eastAsia" w:ascii="仿宋_GB2312" w:hAnsi="仿宋" w:eastAsia="仿宋_GB2312" w:cs="Times New Roman"/>
          <w:sz w:val="34"/>
          <w:szCs w:val="34"/>
          <w:lang w:val="en"/>
        </w:rPr>
        <w:t>（</w:t>
      </w:r>
      <w:r>
        <w:rPr>
          <w:rFonts w:hint="eastAsia" w:ascii="仿宋_GB2312" w:hAnsi="仿宋" w:eastAsia="仿宋_GB2312" w:cs="Times New Roman"/>
          <w:sz w:val="34"/>
          <w:szCs w:val="34"/>
        </w:rPr>
        <w:t>以下简称“计划”</w:t>
      </w:r>
      <w:r>
        <w:rPr>
          <w:rFonts w:hint="eastAsia" w:ascii="仿宋_GB2312" w:hAnsi="仿宋" w:eastAsia="仿宋_GB2312" w:cs="Times New Roman"/>
          <w:sz w:val="34"/>
          <w:szCs w:val="34"/>
          <w:lang w:val="en"/>
        </w:rPr>
        <w:t>）</w:t>
      </w:r>
      <w:r>
        <w:rPr>
          <w:rFonts w:hint="eastAsia" w:ascii="仿宋_GB2312" w:hAnsi="仿宋" w:eastAsia="仿宋_GB2312" w:cs="Times New Roman"/>
          <w:sz w:val="34"/>
          <w:szCs w:val="34"/>
        </w:rPr>
        <w:t>的充分性、科学性、可行性和可控性，有助于提高编制质量、加强风险防范、保障实施效果，是实施合法性与合理性的依据之一。风险评估也是科学、民主、依法决策原则的重要体现，是法治政府建设的重要内容。</w:t>
      </w:r>
    </w:p>
    <w:p w14:paraId="333E815B">
      <w:pPr>
        <w:spacing w:line="600" w:lineRule="exact"/>
        <w:ind w:firstLine="680" w:firstLineChars="200"/>
        <w:rPr>
          <w:rFonts w:hint="eastAsia" w:ascii="楷体_GB2312" w:hAnsi="楷体_GB2312" w:eastAsia="楷体_GB2312" w:cs="楷体_GB2312"/>
          <w:kern w:val="44"/>
          <w:sz w:val="34"/>
          <w:szCs w:val="34"/>
        </w:rPr>
      </w:pPr>
      <w:r>
        <w:rPr>
          <w:rFonts w:hint="eastAsia" w:ascii="楷体_GB2312" w:hAnsi="楷体_GB2312" w:eastAsia="楷体_GB2312" w:cs="楷体_GB2312"/>
          <w:kern w:val="44"/>
          <w:sz w:val="34"/>
          <w:szCs w:val="34"/>
        </w:rPr>
        <w:t>（3）评估性质与主体</w:t>
      </w:r>
      <w:bookmarkEnd w:id="1"/>
    </w:p>
    <w:p w14:paraId="7FF544B0">
      <w:pPr>
        <w:spacing w:line="600" w:lineRule="exact"/>
        <w:ind w:firstLine="680" w:firstLineChars="200"/>
        <w:rPr>
          <w:rFonts w:hint="eastAsia" w:ascii="仿宋_GB2312" w:hAnsi="仿宋" w:eastAsia="仿宋_GB2312" w:cs="Times New Roman"/>
          <w:sz w:val="34"/>
          <w:szCs w:val="34"/>
        </w:rPr>
      </w:pPr>
      <w:r>
        <w:rPr>
          <w:rFonts w:hint="eastAsia" w:ascii="仿宋_GB2312" w:hAnsi="仿宋" w:eastAsia="仿宋_GB2312" w:cs="Times New Roman"/>
          <w:sz w:val="34"/>
          <w:szCs w:val="34"/>
        </w:rPr>
        <w:t>风险评估本质上是一种决策机制，通过评价本计划制定程序的正当性、充分性，内容的科学性、可行性等，综合研究判断决策的风险及其防范。根据《天津市重大行政决策程序规定》第二十四条的规定，天津市北辰区生态环境局作为评估主体，开展《</w:t>
      </w:r>
      <w:r>
        <w:rPr>
          <w:rFonts w:hint="eastAsia" w:ascii="仿宋_GB2312" w:hAnsi="仿宋_GB2312" w:eastAsia="仿宋_GB2312" w:cs="仿宋_GB2312"/>
          <w:kern w:val="44"/>
          <w:sz w:val="34"/>
          <w:szCs w:val="34"/>
        </w:rPr>
        <w:t>计划</w:t>
      </w:r>
      <w:r>
        <w:rPr>
          <w:rFonts w:hint="eastAsia" w:ascii="仿宋_GB2312" w:hAnsi="仿宋" w:eastAsia="仿宋_GB2312" w:cs="Times New Roman"/>
          <w:sz w:val="34"/>
          <w:szCs w:val="34"/>
        </w:rPr>
        <w:t>》风险评估工作。</w:t>
      </w:r>
      <w:bookmarkStart w:id="2" w:name="_Toc87930775"/>
    </w:p>
    <w:p w14:paraId="7F5922D2">
      <w:pPr>
        <w:spacing w:line="600" w:lineRule="exact"/>
        <w:ind w:firstLine="680" w:firstLineChars="200"/>
        <w:rPr>
          <w:rFonts w:hint="eastAsia" w:ascii="楷体_GB2312" w:hAnsi="楷体_GB2312" w:eastAsia="楷体_GB2312" w:cs="楷体_GB2312"/>
          <w:kern w:val="44"/>
          <w:sz w:val="34"/>
          <w:szCs w:val="34"/>
        </w:rPr>
      </w:pPr>
      <w:r>
        <w:rPr>
          <w:rFonts w:hint="eastAsia" w:ascii="楷体_GB2312" w:hAnsi="楷体_GB2312" w:eastAsia="楷体_GB2312" w:cs="楷体_GB2312"/>
          <w:kern w:val="44"/>
          <w:sz w:val="34"/>
          <w:szCs w:val="34"/>
        </w:rPr>
        <w:t>（4）评估原则</w:t>
      </w:r>
      <w:bookmarkEnd w:id="2"/>
    </w:p>
    <w:p w14:paraId="7C5977E4">
      <w:pPr>
        <w:spacing w:line="600" w:lineRule="exact"/>
        <w:ind w:firstLine="680" w:firstLineChars="200"/>
        <w:rPr>
          <w:rFonts w:hint="eastAsia" w:ascii="方正小标宋简体" w:hAnsi="方正小标宋简体" w:eastAsia="方正小标宋简体" w:cs="方正小标宋简体"/>
          <w:kern w:val="44"/>
          <w:sz w:val="44"/>
          <w:szCs w:val="44"/>
          <w:lang w:bidi="ar"/>
        </w:rPr>
      </w:pPr>
      <w:r>
        <w:rPr>
          <w:rFonts w:hint="eastAsia" w:ascii="仿宋_GB2312" w:hAnsi="仿宋" w:eastAsia="仿宋_GB2312" w:cs="Times New Roman"/>
          <w:sz w:val="34"/>
          <w:szCs w:val="34"/>
          <w:lang w:val="en"/>
        </w:rPr>
        <w:t>本次风险评估严格按照《天津市重大行政决策程序规定》第四条和第五章的规定，贯彻创新、协调、绿色、开放、共享的新发展理念，遵循科学、民主、公正的原则，依法独立进行评估。</w:t>
      </w:r>
    </w:p>
    <w:p w14:paraId="05D72B58">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1CDBCC97">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72542230">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52A53379">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3BDB1872">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200C8F5D">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79C07A99">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5F916325">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25919A9B">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4637AFD0">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47D2B17B">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4378A084">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53ED21A1">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777E4528">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68BDA413">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60BAEF34">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23025320">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17546A4E">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6F7E343B">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7467A8B9">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3C41F4F2">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lang w:bidi="ar"/>
        </w:rPr>
      </w:pPr>
    </w:p>
    <w:p w14:paraId="3F6BE3A8">
      <w:pPr>
        <w:pStyle w:val="12"/>
        <w:spacing w:beforeAutospacing="0" w:afterAutospacing="0" w:line="600" w:lineRule="exact"/>
        <w:jc w:val="center"/>
        <w:textAlignment w:val="baseline"/>
        <w:rPr>
          <w:rFonts w:hint="eastAsia" w:ascii="方正小标宋简体" w:hAnsi="方正小标宋简体" w:eastAsia="方正小标宋简体" w:cs="方正小标宋简体"/>
          <w:kern w:val="44"/>
          <w:sz w:val="44"/>
          <w:szCs w:val="44"/>
        </w:rPr>
      </w:pPr>
      <w:r>
        <w:rPr>
          <w:rFonts w:hint="eastAsia" w:ascii="方正小标宋简体" w:hAnsi="方正小标宋简体" w:eastAsia="方正小标宋简体" w:cs="方正小标宋简体"/>
          <w:kern w:val="44"/>
          <w:sz w:val="44"/>
          <w:szCs w:val="44"/>
          <w:lang w:bidi="ar"/>
        </w:rPr>
        <w:t xml:space="preserve">第二章  </w:t>
      </w:r>
      <w:r>
        <w:rPr>
          <w:rFonts w:hint="eastAsia" w:ascii="方正小标宋简体" w:hAnsi="方正小标宋简体" w:eastAsia="方正小标宋简体" w:cs="方正小标宋简体"/>
          <w:kern w:val="44"/>
          <w:sz w:val="44"/>
          <w:szCs w:val="44"/>
        </w:rPr>
        <w:t>评估方法和评估过程</w:t>
      </w:r>
    </w:p>
    <w:p w14:paraId="290971CF">
      <w:pPr>
        <w:pStyle w:val="12"/>
        <w:spacing w:beforeAutospacing="0" w:afterAutospacing="0" w:line="600" w:lineRule="exact"/>
        <w:jc w:val="both"/>
        <w:textAlignment w:val="baseline"/>
        <w:rPr>
          <w:rFonts w:hint="eastAsia" w:ascii="黑体" w:hAnsi="黑体" w:eastAsia="黑体" w:cs="黑体"/>
          <w:kern w:val="44"/>
          <w:sz w:val="34"/>
          <w:szCs w:val="34"/>
        </w:rPr>
      </w:pPr>
      <w:r>
        <w:rPr>
          <w:rFonts w:hint="eastAsia" w:ascii="黑体" w:hAnsi="黑体" w:eastAsia="黑体" w:cs="黑体"/>
          <w:kern w:val="44"/>
          <w:sz w:val="34"/>
          <w:szCs w:val="34"/>
        </w:rPr>
        <w:t>2.1评估方法</w:t>
      </w:r>
    </w:p>
    <w:p w14:paraId="6A5FDA81">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 xml:space="preserve">根据实际情况，采取公示公告、专家咨询等多种方式听取各方面意见和建议，运用区域研究、政策研究、编制过程研究等方法分析判断风险因素并确定风险等级，编制《天津市北辰区全面推进美丽北辰建设暨持续深入打好污染防治攻坚战2025年工作计划风险评估报告》。   </w:t>
      </w:r>
    </w:p>
    <w:p w14:paraId="7A4E6B90">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评估内容包括</w:t>
      </w:r>
      <w:r>
        <w:rPr>
          <w:rFonts w:hint="eastAsia" w:ascii="仿宋_GB2312" w:hAnsi="仿宋_GB2312" w:eastAsia="仿宋_GB2312" w:cs="仿宋_GB2312"/>
          <w:kern w:val="44"/>
          <w:sz w:val="34"/>
          <w:szCs w:val="34"/>
          <w:highlight w:val="none"/>
        </w:rPr>
        <w:t>工作计划</w:t>
      </w:r>
      <w:r>
        <w:rPr>
          <w:rFonts w:hint="eastAsia" w:ascii="仿宋_GB2312" w:hAnsi="仿宋_GB2312" w:eastAsia="仿宋_GB2312" w:cs="仿宋_GB2312"/>
          <w:kern w:val="44"/>
          <w:sz w:val="34"/>
          <w:szCs w:val="34"/>
        </w:rPr>
        <w:t>实施过程中的各类项目的合法性、合理性、可行性及可控性:可能引发的社会稳定风险;各方面意见及其采纳情况;风险分析过程及结论;风险防范和化解措施以及应急处置预案等。</w:t>
      </w:r>
    </w:p>
    <w:p w14:paraId="2D817850">
      <w:pPr>
        <w:pStyle w:val="12"/>
        <w:spacing w:beforeAutospacing="0" w:afterAutospacing="0" w:line="600" w:lineRule="exact"/>
        <w:jc w:val="both"/>
        <w:textAlignment w:val="baseline"/>
        <w:rPr>
          <w:rFonts w:hint="eastAsia" w:ascii="黑体" w:hAnsi="黑体" w:eastAsia="黑体" w:cs="黑体"/>
          <w:kern w:val="44"/>
          <w:sz w:val="34"/>
          <w:szCs w:val="34"/>
        </w:rPr>
      </w:pPr>
      <w:r>
        <w:rPr>
          <w:rFonts w:hint="eastAsia" w:ascii="黑体" w:hAnsi="黑体" w:eastAsia="黑体" w:cs="黑体"/>
          <w:kern w:val="44"/>
          <w:sz w:val="34"/>
          <w:szCs w:val="34"/>
        </w:rPr>
        <w:t>2.2评估过程</w:t>
      </w:r>
    </w:p>
    <w:p w14:paraId="5AF1586C">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该决策事项的评估过程主要包括:调查和识别风险因素、评估风险发生的可能性及其影响、评价风险等级、提出风险防范和化解措施等。</w:t>
      </w:r>
    </w:p>
    <w:p w14:paraId="77DA0C62">
      <w:pPr>
        <w:pStyle w:val="12"/>
        <w:spacing w:beforeAutospacing="0" w:afterAutospacing="0" w:line="600" w:lineRule="exact"/>
        <w:ind w:firstLine="680" w:firstLineChars="200"/>
        <w:jc w:val="both"/>
        <w:textAlignment w:val="baseline"/>
        <w:rPr>
          <w:rFonts w:hint="eastAsia" w:ascii="楷体_GB2312" w:hAnsi="楷体_GB2312" w:eastAsia="楷体_GB2312" w:cs="楷体_GB2312"/>
          <w:kern w:val="44"/>
          <w:sz w:val="34"/>
          <w:szCs w:val="34"/>
        </w:rPr>
      </w:pPr>
      <w:r>
        <w:rPr>
          <w:rFonts w:hint="eastAsia" w:ascii="楷体_GB2312" w:hAnsi="楷体_GB2312" w:eastAsia="楷体_GB2312" w:cs="楷体_GB2312"/>
          <w:kern w:val="44"/>
          <w:sz w:val="34"/>
          <w:szCs w:val="34"/>
          <w:lang w:bidi="ar"/>
        </w:rPr>
        <w:t>（1）</w:t>
      </w:r>
      <w:r>
        <w:rPr>
          <w:rFonts w:hint="eastAsia" w:ascii="楷体_GB2312" w:hAnsi="楷体_GB2312" w:eastAsia="楷体_GB2312" w:cs="楷体_GB2312"/>
          <w:kern w:val="44"/>
          <w:sz w:val="34"/>
          <w:szCs w:val="34"/>
        </w:rPr>
        <w:t>成立评估小组</w:t>
      </w:r>
    </w:p>
    <w:p w14:paraId="031A140D">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成立社会稳定风险评估小组，确定评估小组</w:t>
      </w:r>
      <w:r>
        <w:rPr>
          <w:rFonts w:hint="eastAsia" w:ascii="仿宋_GB2312" w:hAnsi="仿宋_GB2312" w:eastAsia="仿宋_GB2312" w:cs="仿宋_GB2312"/>
          <w:kern w:val="44"/>
          <w:sz w:val="34"/>
          <w:szCs w:val="34"/>
        </w:rPr>
        <w:t>领导</w:t>
      </w:r>
      <w:r>
        <w:rPr>
          <w:rFonts w:ascii="仿宋_GB2312" w:hAnsi="仿宋_GB2312" w:eastAsia="仿宋_GB2312" w:cs="仿宋_GB2312"/>
          <w:kern w:val="44"/>
          <w:sz w:val="34"/>
          <w:szCs w:val="34"/>
        </w:rPr>
        <w:t>，明确组织结构、职责分工，明确工作进度、工作方法和要求。评估小组由天津市北辰区</w:t>
      </w:r>
      <w:r>
        <w:rPr>
          <w:rFonts w:hint="eastAsia" w:ascii="仿宋_GB2312" w:hAnsi="仿宋_GB2312" w:eastAsia="仿宋_GB2312" w:cs="仿宋_GB2312"/>
          <w:kern w:val="44"/>
          <w:sz w:val="34"/>
          <w:szCs w:val="34"/>
        </w:rPr>
        <w:t>生态环境局主要领导任组长</w:t>
      </w:r>
      <w:r>
        <w:rPr>
          <w:rFonts w:ascii="仿宋_GB2312" w:hAnsi="仿宋_GB2312" w:eastAsia="仿宋_GB2312" w:cs="仿宋_GB2312"/>
          <w:kern w:val="44"/>
          <w:sz w:val="34"/>
          <w:szCs w:val="34"/>
        </w:rPr>
        <w:t>，</w:t>
      </w:r>
      <w:r>
        <w:rPr>
          <w:rFonts w:hint="eastAsia" w:ascii="仿宋_GB2312" w:hAnsi="仿宋_GB2312" w:eastAsia="仿宋_GB2312" w:cs="仿宋_GB2312"/>
          <w:kern w:val="44"/>
          <w:sz w:val="34"/>
          <w:szCs w:val="34"/>
        </w:rPr>
        <w:t>相关分管领导任副组长，各科室、支队、中心、站负责同志任</w:t>
      </w:r>
      <w:r>
        <w:rPr>
          <w:rFonts w:hint="eastAsia" w:ascii="仿宋_GB2312" w:hAnsi="仿宋_GB2312" w:eastAsia="仿宋_GB2312" w:cs="仿宋_GB2312"/>
          <w:kern w:val="44"/>
          <w:sz w:val="34"/>
          <w:szCs w:val="34"/>
          <w:highlight w:val="none"/>
        </w:rPr>
        <w:t>成员</w:t>
      </w:r>
      <w:r>
        <w:rPr>
          <w:rFonts w:hint="eastAsia" w:ascii="仿宋_GB2312" w:hAnsi="仿宋_GB2312" w:eastAsia="仿宋_GB2312" w:cs="仿宋_GB2312"/>
          <w:kern w:val="44"/>
          <w:sz w:val="34"/>
          <w:szCs w:val="34"/>
        </w:rPr>
        <w:t>。</w:t>
      </w:r>
    </w:p>
    <w:p w14:paraId="1A7FE15C">
      <w:pPr>
        <w:pStyle w:val="12"/>
        <w:spacing w:beforeAutospacing="0" w:afterAutospacing="0" w:line="600" w:lineRule="exact"/>
        <w:ind w:firstLine="680" w:firstLineChars="200"/>
        <w:jc w:val="both"/>
        <w:textAlignment w:val="baseline"/>
        <w:rPr>
          <w:rFonts w:hint="eastAsia" w:ascii="楷体_GB2312" w:hAnsi="楷体_GB2312" w:eastAsia="楷体_GB2312" w:cs="楷体_GB2312"/>
          <w:kern w:val="44"/>
          <w:sz w:val="34"/>
          <w:szCs w:val="34"/>
          <w:lang w:bidi="ar"/>
        </w:rPr>
      </w:pPr>
      <w:r>
        <w:rPr>
          <w:rFonts w:hint="eastAsia" w:ascii="楷体_GB2312" w:hAnsi="楷体_GB2312" w:eastAsia="楷体_GB2312" w:cs="楷体_GB2312"/>
          <w:kern w:val="44"/>
          <w:sz w:val="34"/>
          <w:szCs w:val="34"/>
          <w:lang w:bidi="ar"/>
        </w:rPr>
        <w:t>（2）收集和审阅相关资料</w:t>
      </w:r>
    </w:p>
    <w:p w14:paraId="36F54776">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lang w:bidi="ar"/>
        </w:rPr>
      </w:pPr>
      <w:r>
        <w:rPr>
          <w:rFonts w:hint="eastAsia" w:ascii="仿宋_GB2312" w:hAnsi="仿宋_GB2312" w:eastAsia="仿宋_GB2312" w:cs="仿宋_GB2312"/>
          <w:kern w:val="44"/>
          <w:sz w:val="34"/>
          <w:szCs w:val="34"/>
          <w:lang w:bidi="ar"/>
        </w:rPr>
        <w:t>组织人员进行资料收集和整理，收集编制评估报告所需支撑性文件、编制依据、规划文本、同类或类似决策风险评估资料等。</w:t>
      </w:r>
    </w:p>
    <w:p w14:paraId="7AC35DD1">
      <w:pPr>
        <w:pStyle w:val="12"/>
        <w:spacing w:beforeAutospacing="0" w:afterAutospacing="0" w:line="600" w:lineRule="exact"/>
        <w:ind w:firstLine="680" w:firstLineChars="200"/>
        <w:jc w:val="both"/>
        <w:textAlignment w:val="baseline"/>
        <w:rPr>
          <w:rFonts w:hint="eastAsia" w:ascii="楷体_GB2312" w:hAnsi="楷体_GB2312" w:eastAsia="楷体_GB2312" w:cs="楷体_GB2312"/>
          <w:kern w:val="44"/>
          <w:sz w:val="34"/>
          <w:szCs w:val="34"/>
          <w:lang w:bidi="ar"/>
        </w:rPr>
      </w:pPr>
      <w:r>
        <w:rPr>
          <w:rFonts w:hint="eastAsia" w:ascii="楷体_GB2312" w:hAnsi="楷体_GB2312" w:eastAsia="楷体_GB2312" w:cs="楷体_GB2312"/>
          <w:kern w:val="44"/>
          <w:sz w:val="34"/>
          <w:szCs w:val="34"/>
          <w:lang w:bidi="ar"/>
        </w:rPr>
        <w:t>（3）调查并充分听取意见</w:t>
      </w:r>
    </w:p>
    <w:p w14:paraId="33F326F8">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lang w:bidi="ar"/>
        </w:rPr>
      </w:pPr>
      <w:r>
        <w:rPr>
          <w:rFonts w:hint="eastAsia" w:ascii="仿宋_GB2312" w:hAnsi="仿宋_GB2312" w:eastAsia="仿宋_GB2312" w:cs="仿宋_GB2312"/>
          <w:kern w:val="44"/>
          <w:sz w:val="34"/>
          <w:szCs w:val="34"/>
          <w:lang w:bidi="ar"/>
        </w:rPr>
        <w:t>结合北辰区实际情况，根据需要开展公众调查，向该决策事项实施所涉及的相关利益群体了解情况、听取意见。同时通过网络了解该决策的媒体舆情导向。根据网络公示广泛征求各单位和群众的诉求和意见，获取社稳方面一手资料。</w:t>
      </w:r>
    </w:p>
    <w:p w14:paraId="122ABE4E">
      <w:pPr>
        <w:pStyle w:val="12"/>
        <w:spacing w:beforeAutospacing="0" w:afterAutospacing="0" w:line="600" w:lineRule="exact"/>
        <w:ind w:firstLine="680" w:firstLineChars="200"/>
        <w:jc w:val="both"/>
        <w:textAlignment w:val="baseline"/>
        <w:rPr>
          <w:rFonts w:hint="eastAsia" w:ascii="楷体_GB2312" w:hAnsi="楷体_GB2312" w:eastAsia="楷体_GB2312" w:cs="楷体_GB2312"/>
          <w:kern w:val="44"/>
          <w:sz w:val="34"/>
          <w:szCs w:val="34"/>
          <w:lang w:bidi="ar"/>
        </w:rPr>
      </w:pPr>
      <w:r>
        <w:rPr>
          <w:rFonts w:hint="eastAsia" w:ascii="楷体_GB2312" w:hAnsi="楷体_GB2312" w:eastAsia="楷体_GB2312" w:cs="楷体_GB2312"/>
          <w:kern w:val="44"/>
          <w:sz w:val="34"/>
          <w:szCs w:val="34"/>
          <w:lang w:bidi="ar"/>
        </w:rPr>
        <w:t>（4）全面评估论证</w:t>
      </w:r>
    </w:p>
    <w:p w14:paraId="0CD37162">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lang w:bidi="ar"/>
        </w:rPr>
      </w:pPr>
      <w:r>
        <w:rPr>
          <w:rFonts w:hint="eastAsia" w:ascii="仿宋_GB2312" w:hAnsi="仿宋_GB2312" w:eastAsia="仿宋_GB2312" w:cs="仿宋_GB2312"/>
          <w:kern w:val="44"/>
          <w:sz w:val="34"/>
          <w:szCs w:val="34"/>
          <w:lang w:bidi="ar"/>
        </w:rPr>
        <w:t>根据天津市政府关于社会稳定风险评估的相关规定，对规划实施社会稳定风险进行全面评估论证，主要包括风险调查、风险因素分析(风险识别)，重点围绕《计划》的合法性、合理性、可行性、可控性进行客观、全面地评估论证。对《计划》发布后潜在的风险调查、风险识别、风险估计、风险防范和化解措施、风险等级评判等内容逐项进行全面评估论证。</w:t>
      </w:r>
    </w:p>
    <w:p w14:paraId="26B1752D">
      <w:pPr>
        <w:pStyle w:val="12"/>
        <w:spacing w:beforeAutospacing="0" w:afterAutospacing="0" w:line="600" w:lineRule="exact"/>
        <w:ind w:firstLine="680" w:firstLineChars="200"/>
        <w:jc w:val="both"/>
        <w:textAlignment w:val="baseline"/>
        <w:rPr>
          <w:rFonts w:hint="eastAsia" w:ascii="楷体_GB2312" w:hAnsi="楷体_GB2312" w:eastAsia="楷体_GB2312" w:cs="楷体_GB2312"/>
          <w:kern w:val="44"/>
          <w:sz w:val="34"/>
          <w:szCs w:val="34"/>
          <w:lang w:bidi="ar"/>
        </w:rPr>
      </w:pPr>
      <w:r>
        <w:rPr>
          <w:rFonts w:hint="eastAsia" w:ascii="楷体_GB2312" w:hAnsi="楷体_GB2312" w:eastAsia="楷体_GB2312" w:cs="楷体_GB2312"/>
          <w:kern w:val="44"/>
          <w:sz w:val="34"/>
          <w:szCs w:val="34"/>
          <w:lang w:bidi="ar"/>
        </w:rPr>
        <w:t>（5）确定风险等级</w:t>
      </w:r>
    </w:p>
    <w:p w14:paraId="00E8F826">
      <w:pPr>
        <w:pStyle w:val="12"/>
        <w:spacing w:beforeAutospacing="0" w:afterAutospacing="0" w:line="600" w:lineRule="exact"/>
        <w:ind w:firstLine="680" w:firstLineChars="200"/>
        <w:jc w:val="both"/>
        <w:textAlignment w:val="baseline"/>
        <w:rPr>
          <w:rFonts w:hint="eastAsia" w:ascii="仿宋_GB2312" w:hAnsi="仿宋_GB2312" w:eastAsia="仿宋_GB2312" w:cs="仿宋_GB2312"/>
          <w:kern w:val="44"/>
          <w:sz w:val="34"/>
          <w:szCs w:val="34"/>
          <w:lang w:bidi="ar"/>
        </w:rPr>
      </w:pPr>
      <w:r>
        <w:rPr>
          <w:rFonts w:hint="eastAsia" w:ascii="仿宋_GB2312" w:hAnsi="仿宋_GB2312" w:eastAsia="仿宋_GB2312" w:cs="仿宋_GB2312"/>
          <w:kern w:val="44"/>
          <w:sz w:val="34"/>
          <w:szCs w:val="34"/>
          <w:lang w:bidi="ar"/>
        </w:rPr>
        <w:t>参考国家和天津市重大决策社会稳定风险评估办法的相关风险等级评判标准，对决策的社会稳定风险做出客观评判，确定决策社会稳定风险的等级。</w:t>
      </w:r>
    </w:p>
    <w:p w14:paraId="04847125">
      <w:pPr>
        <w:pStyle w:val="12"/>
        <w:spacing w:beforeAutospacing="0" w:afterAutospacing="0" w:line="600" w:lineRule="exact"/>
        <w:ind w:firstLine="680" w:firstLineChars="200"/>
        <w:jc w:val="both"/>
        <w:textAlignment w:val="baseline"/>
        <w:rPr>
          <w:rFonts w:hint="eastAsia" w:ascii="楷体_GB2312" w:hAnsi="楷体_GB2312" w:eastAsia="楷体_GB2312" w:cs="楷体_GB2312"/>
          <w:kern w:val="44"/>
          <w:sz w:val="34"/>
          <w:szCs w:val="34"/>
          <w:lang w:bidi="ar"/>
        </w:rPr>
      </w:pPr>
      <w:r>
        <w:rPr>
          <w:rFonts w:hint="eastAsia" w:ascii="楷体_GB2312" w:hAnsi="楷体_GB2312" w:eastAsia="楷体_GB2312" w:cs="楷体_GB2312"/>
          <w:kern w:val="44"/>
          <w:sz w:val="34"/>
          <w:szCs w:val="34"/>
          <w:lang w:bidi="ar"/>
        </w:rPr>
        <w:t>（6）编制评估报告</w:t>
      </w:r>
    </w:p>
    <w:p w14:paraId="67F559C7">
      <w:pPr>
        <w:pStyle w:val="12"/>
        <w:spacing w:beforeAutospacing="0" w:afterAutospacing="0" w:line="600" w:lineRule="exact"/>
        <w:ind w:firstLine="680" w:firstLineChars="200"/>
        <w:jc w:val="both"/>
        <w:textAlignment w:val="baseline"/>
        <w:rPr>
          <w:rFonts w:ascii="Times New Roman" w:hAnsi="Times New Roman" w:eastAsia="黑体"/>
          <w:b/>
          <w:bCs/>
          <w:kern w:val="44"/>
          <w:sz w:val="36"/>
          <w:szCs w:val="52"/>
        </w:rPr>
      </w:pPr>
      <w:r>
        <w:rPr>
          <w:rFonts w:hint="eastAsia" w:ascii="仿宋_GB2312" w:hAnsi="仿宋_GB2312" w:eastAsia="仿宋_GB2312" w:cs="仿宋_GB2312"/>
          <w:kern w:val="44"/>
          <w:sz w:val="34"/>
          <w:szCs w:val="34"/>
          <w:lang w:bidi="ar"/>
        </w:rPr>
        <w:t>在综合考虑各方意见和全面评估论证的基础上，依据国家和天津市重大决策社会稳定风险评估办法的相关要求，完成评估报告编制工作。</w:t>
      </w:r>
      <w:bookmarkEnd w:id="0"/>
      <w:bookmarkStart w:id="3" w:name="_Toc59104477"/>
    </w:p>
    <w:p w14:paraId="4A821B9D">
      <w:pPr>
        <w:spacing w:line="600" w:lineRule="exact"/>
        <w:jc w:val="center"/>
        <w:outlineLvl w:val="0"/>
        <w:rPr>
          <w:rFonts w:hint="eastAsia" w:ascii="方正小标宋简体" w:hAnsi="方正小标宋简体" w:eastAsia="方正小标宋简体" w:cs="方正小标宋简体"/>
          <w:kern w:val="44"/>
          <w:sz w:val="44"/>
          <w:szCs w:val="44"/>
        </w:rPr>
      </w:pPr>
    </w:p>
    <w:p w14:paraId="7C6A3B56">
      <w:pPr>
        <w:spacing w:line="600" w:lineRule="exact"/>
        <w:jc w:val="center"/>
        <w:outlineLvl w:val="0"/>
        <w:rPr>
          <w:rFonts w:hint="eastAsia" w:ascii="方正小标宋简体" w:hAnsi="方正小标宋简体" w:eastAsia="方正小标宋简体" w:cs="方正小标宋简体"/>
          <w:kern w:val="44"/>
          <w:sz w:val="44"/>
          <w:szCs w:val="44"/>
        </w:rPr>
      </w:pPr>
    </w:p>
    <w:p w14:paraId="12734243">
      <w:pPr>
        <w:spacing w:line="600" w:lineRule="exact"/>
        <w:jc w:val="center"/>
        <w:outlineLvl w:val="0"/>
        <w:rPr>
          <w:rFonts w:hint="eastAsia" w:ascii="方正小标宋简体" w:hAnsi="方正小标宋简体" w:eastAsia="方正小标宋简体" w:cs="方正小标宋简体"/>
          <w:kern w:val="44"/>
          <w:sz w:val="44"/>
          <w:szCs w:val="44"/>
        </w:rPr>
      </w:pPr>
    </w:p>
    <w:p w14:paraId="6AC1CD18">
      <w:pPr>
        <w:spacing w:line="600" w:lineRule="exact"/>
        <w:jc w:val="center"/>
        <w:outlineLvl w:val="0"/>
        <w:rPr>
          <w:rFonts w:hint="eastAsia" w:ascii="方正小标宋简体" w:hAnsi="方正小标宋简体" w:eastAsia="方正小标宋简体" w:cs="方正小标宋简体"/>
          <w:kern w:val="44"/>
          <w:sz w:val="44"/>
          <w:szCs w:val="44"/>
        </w:rPr>
      </w:pPr>
    </w:p>
    <w:p w14:paraId="27E5F9DF">
      <w:pPr>
        <w:spacing w:line="600" w:lineRule="exact"/>
        <w:jc w:val="center"/>
        <w:outlineLvl w:val="0"/>
        <w:rPr>
          <w:rFonts w:hint="eastAsia" w:ascii="方正小标宋简体" w:hAnsi="方正小标宋简体" w:eastAsia="方正小标宋简体" w:cs="方正小标宋简体"/>
          <w:kern w:val="44"/>
          <w:sz w:val="44"/>
          <w:szCs w:val="44"/>
        </w:rPr>
      </w:pPr>
    </w:p>
    <w:p w14:paraId="3CAFA5EC">
      <w:pPr>
        <w:spacing w:line="600" w:lineRule="exact"/>
        <w:jc w:val="center"/>
        <w:outlineLvl w:val="0"/>
        <w:rPr>
          <w:rFonts w:hint="eastAsia" w:ascii="方正小标宋简体" w:hAnsi="方正小标宋简体" w:eastAsia="方正小标宋简体" w:cs="方正小标宋简体"/>
          <w:kern w:val="44"/>
          <w:sz w:val="44"/>
          <w:szCs w:val="44"/>
        </w:rPr>
      </w:pPr>
    </w:p>
    <w:p w14:paraId="397D1445">
      <w:pPr>
        <w:spacing w:line="600" w:lineRule="exact"/>
        <w:jc w:val="center"/>
        <w:outlineLvl w:val="0"/>
        <w:rPr>
          <w:rFonts w:hint="eastAsia" w:ascii="方正小标宋简体" w:hAnsi="方正小标宋简体" w:eastAsia="方正小标宋简体" w:cs="方正小标宋简体"/>
          <w:kern w:val="44"/>
          <w:sz w:val="44"/>
          <w:szCs w:val="44"/>
        </w:rPr>
      </w:pPr>
    </w:p>
    <w:p w14:paraId="0E7F6420">
      <w:pPr>
        <w:spacing w:line="600" w:lineRule="exact"/>
        <w:jc w:val="center"/>
        <w:outlineLvl w:val="0"/>
        <w:rPr>
          <w:rFonts w:hint="eastAsia" w:ascii="方正小标宋简体" w:hAnsi="方正小标宋简体" w:eastAsia="方正小标宋简体" w:cs="方正小标宋简体"/>
          <w:kern w:val="44"/>
          <w:sz w:val="44"/>
          <w:szCs w:val="44"/>
        </w:rPr>
      </w:pPr>
    </w:p>
    <w:p w14:paraId="4830D6EC">
      <w:pPr>
        <w:spacing w:line="600" w:lineRule="exact"/>
        <w:jc w:val="center"/>
        <w:outlineLvl w:val="0"/>
        <w:rPr>
          <w:rFonts w:hint="eastAsia" w:ascii="方正小标宋简体" w:hAnsi="方正小标宋简体" w:eastAsia="方正小标宋简体" w:cs="方正小标宋简体"/>
          <w:kern w:val="44"/>
          <w:sz w:val="44"/>
          <w:szCs w:val="44"/>
        </w:rPr>
      </w:pPr>
    </w:p>
    <w:p w14:paraId="14B1F786">
      <w:pPr>
        <w:spacing w:line="600" w:lineRule="exact"/>
        <w:jc w:val="center"/>
        <w:outlineLvl w:val="0"/>
        <w:rPr>
          <w:rFonts w:hint="eastAsia" w:ascii="方正小标宋简体" w:hAnsi="方正小标宋简体" w:eastAsia="方正小标宋简体" w:cs="方正小标宋简体"/>
          <w:kern w:val="44"/>
          <w:sz w:val="44"/>
          <w:szCs w:val="44"/>
        </w:rPr>
      </w:pPr>
    </w:p>
    <w:p w14:paraId="0A7196B7">
      <w:pPr>
        <w:spacing w:line="600" w:lineRule="exact"/>
        <w:jc w:val="center"/>
        <w:outlineLvl w:val="0"/>
        <w:rPr>
          <w:rFonts w:hint="eastAsia" w:ascii="方正小标宋简体" w:hAnsi="方正小标宋简体" w:eastAsia="方正小标宋简体" w:cs="方正小标宋简体"/>
          <w:kern w:val="44"/>
          <w:sz w:val="44"/>
          <w:szCs w:val="44"/>
        </w:rPr>
      </w:pPr>
    </w:p>
    <w:p w14:paraId="42AFA573">
      <w:pPr>
        <w:spacing w:line="600" w:lineRule="exact"/>
        <w:jc w:val="center"/>
        <w:outlineLvl w:val="0"/>
        <w:rPr>
          <w:rFonts w:hint="eastAsia" w:ascii="方正小标宋简体" w:hAnsi="方正小标宋简体" w:eastAsia="方正小标宋简体" w:cs="方正小标宋简体"/>
          <w:kern w:val="44"/>
          <w:sz w:val="44"/>
          <w:szCs w:val="44"/>
        </w:rPr>
      </w:pPr>
    </w:p>
    <w:p w14:paraId="676B04BE">
      <w:pPr>
        <w:spacing w:line="600" w:lineRule="exact"/>
        <w:jc w:val="center"/>
        <w:outlineLvl w:val="0"/>
        <w:rPr>
          <w:rFonts w:hint="eastAsia" w:ascii="方正小标宋简体" w:hAnsi="方正小标宋简体" w:eastAsia="方正小标宋简体" w:cs="方正小标宋简体"/>
          <w:kern w:val="44"/>
          <w:sz w:val="44"/>
          <w:szCs w:val="44"/>
        </w:rPr>
      </w:pPr>
    </w:p>
    <w:p w14:paraId="0FA1D04F">
      <w:pPr>
        <w:spacing w:line="600" w:lineRule="exact"/>
        <w:jc w:val="center"/>
        <w:outlineLvl w:val="0"/>
        <w:rPr>
          <w:rFonts w:hint="eastAsia" w:ascii="方正小标宋简体" w:hAnsi="方正小标宋简体" w:eastAsia="方正小标宋简体" w:cs="方正小标宋简体"/>
          <w:kern w:val="44"/>
          <w:sz w:val="44"/>
          <w:szCs w:val="44"/>
        </w:rPr>
      </w:pPr>
    </w:p>
    <w:p w14:paraId="4DC10DA9">
      <w:pPr>
        <w:spacing w:line="600" w:lineRule="exact"/>
        <w:jc w:val="center"/>
        <w:outlineLvl w:val="0"/>
        <w:rPr>
          <w:rFonts w:hint="eastAsia" w:ascii="方正小标宋简体" w:hAnsi="方正小标宋简体" w:eastAsia="方正小标宋简体" w:cs="方正小标宋简体"/>
          <w:kern w:val="44"/>
          <w:sz w:val="44"/>
          <w:szCs w:val="44"/>
        </w:rPr>
      </w:pPr>
    </w:p>
    <w:p w14:paraId="0235F79F">
      <w:pPr>
        <w:spacing w:line="600" w:lineRule="exact"/>
        <w:jc w:val="center"/>
        <w:outlineLvl w:val="0"/>
        <w:rPr>
          <w:rFonts w:hint="eastAsia" w:ascii="方正小标宋简体" w:hAnsi="方正小标宋简体" w:eastAsia="方正小标宋简体" w:cs="方正小标宋简体"/>
          <w:kern w:val="44"/>
          <w:sz w:val="44"/>
          <w:szCs w:val="44"/>
        </w:rPr>
      </w:pPr>
    </w:p>
    <w:p w14:paraId="6B693F76">
      <w:pPr>
        <w:spacing w:line="600" w:lineRule="exact"/>
        <w:jc w:val="center"/>
        <w:outlineLvl w:val="0"/>
        <w:rPr>
          <w:rFonts w:hint="eastAsia" w:ascii="方正小标宋简体" w:hAnsi="方正小标宋简体" w:eastAsia="方正小标宋简体" w:cs="方正小标宋简体"/>
          <w:kern w:val="44"/>
          <w:sz w:val="44"/>
          <w:szCs w:val="44"/>
        </w:rPr>
      </w:pPr>
    </w:p>
    <w:p w14:paraId="3FB4949F">
      <w:pPr>
        <w:spacing w:line="600" w:lineRule="exact"/>
        <w:jc w:val="center"/>
        <w:outlineLvl w:val="0"/>
        <w:rPr>
          <w:rFonts w:hint="eastAsia" w:ascii="方正小标宋简体" w:hAnsi="方正小标宋简体" w:eastAsia="方正小标宋简体" w:cs="方正小标宋简体"/>
          <w:kern w:val="44"/>
          <w:sz w:val="44"/>
          <w:szCs w:val="44"/>
        </w:rPr>
      </w:pPr>
    </w:p>
    <w:p w14:paraId="0DB660D2">
      <w:pPr>
        <w:spacing w:line="600" w:lineRule="exact"/>
        <w:jc w:val="center"/>
        <w:outlineLvl w:val="0"/>
        <w:rPr>
          <w:rFonts w:hint="eastAsia" w:ascii="方正小标宋简体" w:hAnsi="方正小标宋简体" w:eastAsia="方正小标宋简体" w:cs="方正小标宋简体"/>
          <w:kern w:val="44"/>
          <w:sz w:val="44"/>
          <w:szCs w:val="44"/>
        </w:rPr>
      </w:pPr>
    </w:p>
    <w:p w14:paraId="28AD0F97">
      <w:pPr>
        <w:spacing w:line="600" w:lineRule="exact"/>
        <w:jc w:val="center"/>
        <w:outlineLvl w:val="0"/>
        <w:rPr>
          <w:rFonts w:hint="eastAsia" w:ascii="方正小标宋简体" w:hAnsi="方正小标宋简体" w:eastAsia="方正小标宋简体" w:cs="方正小标宋简体"/>
          <w:kern w:val="44"/>
          <w:sz w:val="44"/>
          <w:szCs w:val="44"/>
        </w:rPr>
      </w:pPr>
    </w:p>
    <w:p w14:paraId="123BC948">
      <w:pPr>
        <w:spacing w:line="600" w:lineRule="exact"/>
        <w:jc w:val="center"/>
        <w:outlineLvl w:val="0"/>
        <w:rPr>
          <w:rFonts w:hint="eastAsia" w:ascii="方正小标宋简体" w:hAnsi="方正小标宋简体" w:eastAsia="方正小标宋简体" w:cs="方正小标宋简体"/>
          <w:kern w:val="44"/>
          <w:sz w:val="44"/>
          <w:szCs w:val="44"/>
        </w:rPr>
      </w:pPr>
    </w:p>
    <w:p w14:paraId="1AA59631">
      <w:pPr>
        <w:spacing w:line="600" w:lineRule="exact"/>
        <w:jc w:val="center"/>
        <w:outlineLvl w:val="0"/>
        <w:rPr>
          <w:rFonts w:hint="eastAsia" w:ascii="方正小标宋简体" w:hAnsi="方正小标宋简体" w:eastAsia="方正小标宋简体" w:cs="方正小标宋简体"/>
          <w:kern w:val="44"/>
          <w:sz w:val="44"/>
          <w:szCs w:val="44"/>
        </w:rPr>
      </w:pPr>
    </w:p>
    <w:p w14:paraId="5D7F90C5">
      <w:pPr>
        <w:spacing w:line="600" w:lineRule="exact"/>
        <w:jc w:val="center"/>
        <w:outlineLvl w:val="0"/>
        <w:rPr>
          <w:rFonts w:hint="eastAsia" w:ascii="方正小标宋简体" w:hAnsi="方正小标宋简体" w:eastAsia="方正小标宋简体" w:cs="方正小标宋简体"/>
          <w:kern w:val="44"/>
          <w:sz w:val="44"/>
          <w:szCs w:val="44"/>
        </w:rPr>
      </w:pPr>
      <w:r>
        <w:rPr>
          <w:rFonts w:hint="eastAsia" w:ascii="方正小标宋简体" w:hAnsi="方正小标宋简体" w:eastAsia="方正小标宋简体" w:cs="方正小标宋简体"/>
          <w:kern w:val="44"/>
          <w:sz w:val="44"/>
          <w:szCs w:val="44"/>
        </w:rPr>
        <w:t>第三章  风险调查及各方意见采纳</w:t>
      </w:r>
    </w:p>
    <w:p w14:paraId="01E1AD89">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3.1利益相关者识别</w:t>
      </w:r>
    </w:p>
    <w:p w14:paraId="49CB1DB0">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对事项可能涉及的利益相关者进行梳理分析，本次风险评估利益相关者为北辰区域内全体居民及企事业单位。</w:t>
      </w:r>
    </w:p>
    <w:p w14:paraId="103EB645">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3.2调查方法</w:t>
      </w:r>
    </w:p>
    <w:p w14:paraId="50E32A91">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主要通过资料调查、问卷调查、公示公告、专家座谈、网络调查等方式了解利益相关者意见和诉求。</w:t>
      </w:r>
    </w:p>
    <w:p w14:paraId="35E4CAAD">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3.3调查内容</w:t>
      </w:r>
    </w:p>
    <w:p w14:paraId="25402C0F">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针对</w:t>
      </w:r>
      <w:r>
        <w:rPr>
          <w:rFonts w:hint="eastAsia" w:ascii="仿宋_GB2312" w:hAnsi="仿宋_GB2312" w:eastAsia="仿宋_GB2312" w:cs="仿宋_GB2312"/>
          <w:kern w:val="44"/>
          <w:sz w:val="34"/>
          <w:szCs w:val="34"/>
        </w:rPr>
        <w:t>《计划》</w:t>
      </w:r>
      <w:r>
        <w:rPr>
          <w:rFonts w:ascii="仿宋_GB2312" w:hAnsi="仿宋_GB2312" w:eastAsia="仿宋_GB2312" w:cs="仿宋_GB2312"/>
          <w:kern w:val="44"/>
          <w:sz w:val="34"/>
          <w:szCs w:val="34"/>
        </w:rPr>
        <w:t>事项，进行全面深入的调查，重点聚焦于其合法性、合理性、可行性及可控性四个方面，运用收集整理现有资料、相关会议及意见征询等形式相结合的方法，向相关政府部门、专家学者及社会公众征求针对本</w:t>
      </w:r>
      <w:r>
        <w:rPr>
          <w:rFonts w:hint="eastAsia" w:ascii="仿宋_GB2312" w:hAnsi="仿宋_GB2312" w:eastAsia="仿宋_GB2312" w:cs="仿宋_GB2312"/>
          <w:kern w:val="44"/>
          <w:sz w:val="34"/>
          <w:szCs w:val="34"/>
        </w:rPr>
        <w:t>计划</w:t>
      </w:r>
      <w:r>
        <w:rPr>
          <w:rFonts w:ascii="仿宋_GB2312" w:hAnsi="仿宋_GB2312" w:eastAsia="仿宋_GB2312" w:cs="仿宋_GB2312"/>
          <w:kern w:val="44"/>
          <w:sz w:val="34"/>
          <w:szCs w:val="34"/>
        </w:rPr>
        <w:t>的意见和建议，深入开展风险调查，以确保决策的科学性、严谨性和社会稳定性。</w:t>
      </w:r>
    </w:p>
    <w:p w14:paraId="29E713CB">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3.4调查过程</w:t>
      </w:r>
    </w:p>
    <w:p w14:paraId="20EF0C25">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3.4.1资料收集</w:t>
      </w:r>
    </w:p>
    <w:p w14:paraId="0DB1A02A">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收集与该事项相关的国家、天津市或行业发布的法律法规、规程规范、政策性文件及规划文件等。(2)收集该事项的相关资料，主要包括:《天津市北辰区全面推进美丽北辰建设暨持续深入打好污染防治攻坚战2025年工作计划(征求意见稿)》的意见及反馈修改情况、专家论证结论等。</w:t>
      </w:r>
    </w:p>
    <w:p w14:paraId="725A31FD">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3.4.2 公示</w:t>
      </w:r>
    </w:p>
    <w:p w14:paraId="093CA2BC">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(1)北辰区人民政府网站关于《</w:t>
      </w:r>
      <w:r>
        <w:rPr>
          <w:rFonts w:hint="eastAsia" w:ascii="仿宋_GB2312" w:hAnsi="仿宋_GB2312" w:eastAsia="仿宋_GB2312" w:cs="仿宋_GB2312"/>
          <w:kern w:val="44"/>
          <w:sz w:val="34"/>
          <w:szCs w:val="34"/>
        </w:rPr>
        <w:t>天津市北辰区全面推进美丽北辰建设暨持续深入打好污染防治攻坚战2025年工作计划</w:t>
      </w:r>
      <w:r>
        <w:rPr>
          <w:rFonts w:ascii="仿宋_GB2312" w:hAnsi="仿宋_GB2312" w:eastAsia="仿宋_GB2312" w:cs="仿宋_GB2312"/>
          <w:kern w:val="44"/>
          <w:sz w:val="34"/>
          <w:szCs w:val="34"/>
        </w:rPr>
        <w:t>(征求意见稿)》的公示</w:t>
      </w:r>
    </w:p>
    <w:p w14:paraId="763BC875">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为更好地完善规划内容，提升规划的可操作性，天津市北辰区</w:t>
      </w:r>
      <w:r>
        <w:rPr>
          <w:rFonts w:hint="eastAsia" w:ascii="仿宋_GB2312" w:hAnsi="仿宋_GB2312" w:eastAsia="仿宋_GB2312" w:cs="仿宋_GB2312"/>
          <w:kern w:val="44"/>
          <w:sz w:val="34"/>
          <w:szCs w:val="34"/>
        </w:rPr>
        <w:t>生态环境局</w:t>
      </w:r>
      <w:r>
        <w:rPr>
          <w:rFonts w:ascii="仿宋_GB2312" w:hAnsi="仿宋_GB2312" w:eastAsia="仿宋_GB2312" w:cs="仿宋_GB2312"/>
          <w:kern w:val="44"/>
          <w:sz w:val="34"/>
          <w:szCs w:val="34"/>
        </w:rPr>
        <w:t>于202</w:t>
      </w:r>
      <w:r>
        <w:rPr>
          <w:rFonts w:hint="eastAsia" w:ascii="仿宋_GB2312" w:hAnsi="仿宋_GB2312" w:eastAsia="仿宋_GB2312" w:cs="仿宋_GB2312"/>
          <w:kern w:val="44"/>
          <w:sz w:val="34"/>
          <w:szCs w:val="34"/>
        </w:rPr>
        <w:t>5</w:t>
      </w:r>
      <w:r>
        <w:rPr>
          <w:rFonts w:ascii="仿宋_GB2312" w:hAnsi="仿宋_GB2312" w:eastAsia="仿宋_GB2312" w:cs="仿宋_GB2312"/>
          <w:kern w:val="44"/>
          <w:sz w:val="34"/>
          <w:szCs w:val="34"/>
        </w:rPr>
        <w:t>年</w:t>
      </w:r>
      <w:r>
        <w:rPr>
          <w:rFonts w:hint="eastAsia" w:ascii="仿宋_GB2312" w:hAnsi="仿宋_GB2312" w:eastAsia="仿宋_GB2312" w:cs="仿宋_GB2312"/>
          <w:kern w:val="44"/>
          <w:sz w:val="34"/>
          <w:szCs w:val="34"/>
        </w:rPr>
        <w:t>5</w:t>
      </w:r>
      <w:r>
        <w:rPr>
          <w:rFonts w:ascii="仿宋_GB2312" w:hAnsi="仿宋_GB2312" w:eastAsia="仿宋_GB2312" w:cs="仿宋_GB2312"/>
          <w:kern w:val="44"/>
          <w:sz w:val="34"/>
          <w:szCs w:val="34"/>
        </w:rPr>
        <w:t>月</w:t>
      </w:r>
      <w:r>
        <w:rPr>
          <w:rFonts w:hint="eastAsia" w:ascii="仿宋_GB2312" w:hAnsi="仿宋_GB2312" w:eastAsia="仿宋_GB2312" w:cs="仿宋_GB2312"/>
          <w:kern w:val="44"/>
          <w:sz w:val="34"/>
          <w:szCs w:val="34"/>
        </w:rPr>
        <w:t>26</w:t>
      </w:r>
      <w:r>
        <w:rPr>
          <w:rFonts w:ascii="仿宋_GB2312" w:hAnsi="仿宋_GB2312" w:eastAsia="仿宋_GB2312" w:cs="仿宋_GB2312"/>
          <w:kern w:val="44"/>
          <w:sz w:val="34"/>
          <w:szCs w:val="34"/>
        </w:rPr>
        <w:t>日-</w:t>
      </w:r>
      <w:r>
        <w:rPr>
          <w:rFonts w:hint="eastAsia" w:ascii="仿宋_GB2312" w:hAnsi="仿宋_GB2312" w:eastAsia="仿宋_GB2312" w:cs="仿宋_GB2312"/>
          <w:kern w:val="44"/>
          <w:sz w:val="34"/>
          <w:szCs w:val="34"/>
        </w:rPr>
        <w:t>6</w:t>
      </w:r>
      <w:r>
        <w:rPr>
          <w:rFonts w:ascii="仿宋_GB2312" w:hAnsi="仿宋_GB2312" w:eastAsia="仿宋_GB2312" w:cs="仿宋_GB2312"/>
          <w:kern w:val="44"/>
          <w:sz w:val="34"/>
          <w:szCs w:val="34"/>
        </w:rPr>
        <w:t>月2</w:t>
      </w:r>
      <w:r>
        <w:rPr>
          <w:rFonts w:hint="eastAsia" w:ascii="仿宋_GB2312" w:hAnsi="仿宋_GB2312" w:eastAsia="仿宋_GB2312" w:cs="仿宋_GB2312"/>
          <w:kern w:val="44"/>
          <w:sz w:val="34"/>
          <w:szCs w:val="34"/>
        </w:rPr>
        <w:t>5</w:t>
      </w:r>
      <w:r>
        <w:rPr>
          <w:rFonts w:ascii="仿宋_GB2312" w:hAnsi="仿宋_GB2312" w:eastAsia="仿宋_GB2312" w:cs="仿宋_GB2312"/>
          <w:kern w:val="44"/>
          <w:sz w:val="34"/>
          <w:szCs w:val="34"/>
        </w:rPr>
        <w:t>日，通过天津市北辰区人民政府官网，向社会征求意见</w:t>
      </w:r>
      <w:r>
        <w:rPr>
          <w:rFonts w:hint="eastAsia" w:ascii="仿宋_GB2312" w:hAnsi="仿宋_GB2312" w:eastAsia="仿宋_GB2312" w:cs="仿宋_GB2312"/>
          <w:kern w:val="44"/>
          <w:sz w:val="34"/>
          <w:szCs w:val="34"/>
        </w:rPr>
        <w:t>建议</w:t>
      </w:r>
      <w:r>
        <w:rPr>
          <w:rFonts w:ascii="仿宋_GB2312" w:hAnsi="仿宋_GB2312" w:eastAsia="仿宋_GB2312" w:cs="仿宋_GB2312"/>
          <w:kern w:val="44"/>
          <w:sz w:val="34"/>
          <w:szCs w:val="34"/>
        </w:rPr>
        <w:t>。</w:t>
      </w:r>
    </w:p>
    <w:p w14:paraId="6E861940">
      <w:pPr>
        <w:spacing w:line="600" w:lineRule="exact"/>
        <w:outlineLvl w:val="0"/>
        <w:rPr>
          <w:rFonts w:ascii="Times New Roman" w:hAnsi="Times New Roman" w:eastAsia="黑体" w:cs="Times New Roman"/>
          <w:b/>
          <w:bCs/>
          <w:kern w:val="44"/>
          <w:sz w:val="36"/>
          <w:szCs w:val="52"/>
        </w:rPr>
      </w:pPr>
      <w:r>
        <w:rPr>
          <w:rFonts w:hint="eastAsia" w:ascii="Times New Roman" w:hAnsi="Times New Roman" w:eastAsia="黑体" w:cs="Times New Roman"/>
          <w:b/>
          <w:bCs/>
          <w:kern w:val="44"/>
          <w:sz w:val="36"/>
          <w:szCs w:val="52"/>
        </w:rPr>
        <w:drawing>
          <wp:anchor distT="0" distB="0" distL="114300" distR="114300" simplePos="0" relativeHeight="251661312" behindDoc="1" locked="0" layoutInCell="1" allowOverlap="1">
            <wp:simplePos x="0" y="0"/>
            <wp:positionH relativeFrom="column">
              <wp:posOffset>102870</wp:posOffset>
            </wp:positionH>
            <wp:positionV relativeFrom="paragraph">
              <wp:posOffset>120650</wp:posOffset>
            </wp:positionV>
            <wp:extent cx="5269865" cy="3694430"/>
            <wp:effectExtent l="0" t="0" r="6985" b="1270"/>
            <wp:wrapNone/>
            <wp:docPr id="1" name="图片 1" descr="1cd3b0de473b6b06a291d752b24f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cd3b0de473b6b06a291d752b24f5c2"/>
                    <pic:cNvPicPr>
                      <a:picLocks noChangeAspect="1"/>
                    </pic:cNvPicPr>
                  </pic:nvPicPr>
                  <pic:blipFill>
                    <a:blip r:embed="rId5"/>
                    <a:stretch>
                      <a:fillRect/>
                    </a:stretch>
                  </pic:blipFill>
                  <pic:spPr>
                    <a:xfrm>
                      <a:off x="0" y="0"/>
                      <a:ext cx="5269865" cy="3694430"/>
                    </a:xfrm>
                    <a:prstGeom prst="rect">
                      <a:avLst/>
                    </a:prstGeom>
                  </pic:spPr>
                </pic:pic>
              </a:graphicData>
            </a:graphic>
          </wp:anchor>
        </w:drawing>
      </w:r>
    </w:p>
    <w:p w14:paraId="2983AA0E">
      <w:pPr>
        <w:spacing w:line="600" w:lineRule="exact"/>
        <w:jc w:val="center"/>
        <w:outlineLvl w:val="0"/>
        <w:rPr>
          <w:rFonts w:ascii="Times New Roman" w:hAnsi="Times New Roman" w:eastAsia="黑体" w:cs="Times New Roman"/>
          <w:b/>
          <w:bCs/>
          <w:kern w:val="44"/>
          <w:sz w:val="36"/>
          <w:szCs w:val="52"/>
        </w:rPr>
      </w:pPr>
    </w:p>
    <w:p w14:paraId="3B1FB407">
      <w:pPr>
        <w:spacing w:line="600" w:lineRule="exact"/>
        <w:jc w:val="center"/>
        <w:outlineLvl w:val="0"/>
        <w:rPr>
          <w:rFonts w:ascii="Times New Roman" w:hAnsi="Times New Roman" w:eastAsia="黑体" w:cs="Times New Roman"/>
          <w:b/>
          <w:bCs/>
          <w:kern w:val="44"/>
          <w:sz w:val="36"/>
          <w:szCs w:val="52"/>
        </w:rPr>
      </w:pPr>
    </w:p>
    <w:p w14:paraId="4A4A3B52">
      <w:pPr>
        <w:spacing w:line="600" w:lineRule="exact"/>
        <w:jc w:val="center"/>
        <w:outlineLvl w:val="0"/>
        <w:rPr>
          <w:rFonts w:ascii="Times New Roman" w:hAnsi="Times New Roman" w:eastAsia="黑体" w:cs="Times New Roman"/>
          <w:b/>
          <w:bCs/>
          <w:kern w:val="44"/>
          <w:sz w:val="36"/>
          <w:szCs w:val="52"/>
        </w:rPr>
      </w:pPr>
    </w:p>
    <w:p w14:paraId="1CD29D45">
      <w:pPr>
        <w:spacing w:line="600" w:lineRule="exact"/>
        <w:jc w:val="center"/>
        <w:outlineLvl w:val="0"/>
        <w:rPr>
          <w:rFonts w:ascii="Times New Roman" w:hAnsi="Times New Roman" w:eastAsia="黑体" w:cs="Times New Roman"/>
          <w:b/>
          <w:bCs/>
          <w:kern w:val="44"/>
          <w:sz w:val="36"/>
          <w:szCs w:val="52"/>
        </w:rPr>
      </w:pPr>
    </w:p>
    <w:p w14:paraId="56E829CB">
      <w:pPr>
        <w:spacing w:line="600" w:lineRule="exact"/>
        <w:jc w:val="center"/>
        <w:outlineLvl w:val="0"/>
        <w:rPr>
          <w:rFonts w:ascii="Times New Roman" w:hAnsi="Times New Roman" w:eastAsia="黑体" w:cs="Times New Roman"/>
          <w:b/>
          <w:bCs/>
          <w:kern w:val="44"/>
          <w:sz w:val="36"/>
          <w:szCs w:val="52"/>
        </w:rPr>
      </w:pPr>
    </w:p>
    <w:p w14:paraId="239846C3">
      <w:pPr>
        <w:spacing w:line="600" w:lineRule="exact"/>
        <w:jc w:val="center"/>
        <w:outlineLvl w:val="0"/>
        <w:rPr>
          <w:rFonts w:ascii="Times New Roman" w:hAnsi="Times New Roman" w:eastAsia="黑体" w:cs="Times New Roman"/>
          <w:b/>
          <w:bCs/>
          <w:kern w:val="44"/>
          <w:sz w:val="36"/>
          <w:szCs w:val="52"/>
        </w:rPr>
      </w:pPr>
    </w:p>
    <w:p w14:paraId="23DF5D8A">
      <w:pPr>
        <w:spacing w:line="600" w:lineRule="exact"/>
        <w:jc w:val="center"/>
        <w:outlineLvl w:val="0"/>
        <w:rPr>
          <w:rFonts w:ascii="Times New Roman" w:hAnsi="Times New Roman" w:eastAsia="黑体" w:cs="Times New Roman"/>
          <w:b/>
          <w:bCs/>
          <w:kern w:val="44"/>
          <w:sz w:val="36"/>
          <w:szCs w:val="52"/>
        </w:rPr>
      </w:pPr>
    </w:p>
    <w:p w14:paraId="4B144189">
      <w:pPr>
        <w:spacing w:line="600" w:lineRule="exact"/>
        <w:jc w:val="center"/>
        <w:outlineLvl w:val="0"/>
        <w:rPr>
          <w:rFonts w:ascii="Times New Roman" w:hAnsi="Times New Roman" w:eastAsia="黑体" w:cs="Times New Roman"/>
          <w:b/>
          <w:bCs/>
          <w:kern w:val="44"/>
          <w:sz w:val="36"/>
          <w:szCs w:val="52"/>
        </w:rPr>
      </w:pPr>
    </w:p>
    <w:p w14:paraId="63230CC5">
      <w:pPr>
        <w:spacing w:line="600" w:lineRule="exact"/>
        <w:jc w:val="center"/>
        <w:outlineLvl w:val="0"/>
        <w:rPr>
          <w:rFonts w:ascii="Times New Roman" w:hAnsi="Times New Roman" w:eastAsia="黑体" w:cs="Times New Roman"/>
          <w:b/>
          <w:bCs/>
          <w:kern w:val="44"/>
          <w:sz w:val="36"/>
          <w:szCs w:val="52"/>
        </w:rPr>
      </w:pPr>
    </w:p>
    <w:p w14:paraId="52ADBFE6">
      <w:pPr>
        <w:spacing w:line="600" w:lineRule="exact"/>
        <w:jc w:val="center"/>
        <w:outlineLvl w:val="0"/>
        <w:rPr>
          <w:rFonts w:ascii="Times New Roman" w:hAnsi="Times New Roman" w:eastAsia="黑体" w:cs="Times New Roman"/>
          <w:b/>
          <w:bCs/>
          <w:kern w:val="44"/>
          <w:sz w:val="36"/>
          <w:szCs w:val="52"/>
        </w:rPr>
      </w:pPr>
      <w:r>
        <w:rPr>
          <w:rFonts w:hint="eastAsia" w:ascii="Times New Roman" w:hAnsi="Times New Roman" w:eastAsia="黑体" w:cs="Times New Roman"/>
          <w:b/>
          <w:bCs/>
          <w:kern w:val="44"/>
          <w:sz w:val="36"/>
          <w:szCs w:val="52"/>
        </w:rPr>
        <w:drawing>
          <wp:anchor distT="0" distB="0" distL="114300" distR="114300" simplePos="0" relativeHeight="251662336" behindDoc="1" locked="0" layoutInCell="1" allowOverlap="1">
            <wp:simplePos x="0" y="0"/>
            <wp:positionH relativeFrom="column">
              <wp:posOffset>137795</wp:posOffset>
            </wp:positionH>
            <wp:positionV relativeFrom="paragraph">
              <wp:posOffset>85725</wp:posOffset>
            </wp:positionV>
            <wp:extent cx="5264150" cy="2957195"/>
            <wp:effectExtent l="0" t="0" r="12700" b="14605"/>
            <wp:wrapNone/>
            <wp:docPr id="2" name="图片 2" descr="ec585ad9e7e95eeb658a9262df9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c585ad9e7e95eeb658a9262df98108"/>
                    <pic:cNvPicPr>
                      <a:picLocks noChangeAspect="1"/>
                    </pic:cNvPicPr>
                  </pic:nvPicPr>
                  <pic:blipFill>
                    <a:blip r:embed="rId6"/>
                    <a:stretch>
                      <a:fillRect/>
                    </a:stretch>
                  </pic:blipFill>
                  <pic:spPr>
                    <a:xfrm>
                      <a:off x="0" y="0"/>
                      <a:ext cx="5264150" cy="2957195"/>
                    </a:xfrm>
                    <a:prstGeom prst="rect">
                      <a:avLst/>
                    </a:prstGeom>
                  </pic:spPr>
                </pic:pic>
              </a:graphicData>
            </a:graphic>
          </wp:anchor>
        </w:drawing>
      </w:r>
    </w:p>
    <w:p w14:paraId="6EA7CEB1">
      <w:pPr>
        <w:spacing w:line="600" w:lineRule="exact"/>
        <w:jc w:val="center"/>
        <w:outlineLvl w:val="0"/>
        <w:rPr>
          <w:rFonts w:ascii="Times New Roman" w:hAnsi="Times New Roman" w:eastAsia="黑体" w:cs="Times New Roman"/>
          <w:b/>
          <w:bCs/>
          <w:kern w:val="44"/>
          <w:sz w:val="36"/>
          <w:szCs w:val="52"/>
        </w:rPr>
      </w:pPr>
    </w:p>
    <w:p w14:paraId="36B14AF9">
      <w:pPr>
        <w:spacing w:line="600" w:lineRule="exact"/>
        <w:jc w:val="center"/>
        <w:outlineLvl w:val="0"/>
        <w:rPr>
          <w:rFonts w:ascii="Times New Roman" w:hAnsi="Times New Roman" w:eastAsia="黑体" w:cs="Times New Roman"/>
          <w:b/>
          <w:bCs/>
          <w:kern w:val="44"/>
          <w:sz w:val="36"/>
          <w:szCs w:val="52"/>
        </w:rPr>
      </w:pPr>
    </w:p>
    <w:p w14:paraId="4A95F0DF">
      <w:pPr>
        <w:spacing w:line="600" w:lineRule="exact"/>
        <w:jc w:val="center"/>
        <w:outlineLvl w:val="0"/>
        <w:rPr>
          <w:rFonts w:ascii="Times New Roman" w:hAnsi="Times New Roman" w:eastAsia="黑体" w:cs="Times New Roman"/>
          <w:b/>
          <w:bCs/>
          <w:kern w:val="44"/>
          <w:sz w:val="36"/>
          <w:szCs w:val="52"/>
        </w:rPr>
      </w:pPr>
    </w:p>
    <w:p w14:paraId="7546809D">
      <w:pPr>
        <w:spacing w:line="600" w:lineRule="exact"/>
        <w:jc w:val="center"/>
        <w:outlineLvl w:val="0"/>
        <w:rPr>
          <w:rFonts w:ascii="Times New Roman" w:hAnsi="Times New Roman" w:eastAsia="黑体" w:cs="Times New Roman"/>
          <w:b/>
          <w:bCs/>
          <w:kern w:val="44"/>
          <w:sz w:val="36"/>
          <w:szCs w:val="52"/>
        </w:rPr>
      </w:pPr>
    </w:p>
    <w:p w14:paraId="2CC0EC91">
      <w:pPr>
        <w:spacing w:line="600" w:lineRule="exact"/>
        <w:outlineLvl w:val="0"/>
        <w:rPr>
          <w:rFonts w:ascii="Times New Roman" w:hAnsi="Times New Roman" w:eastAsia="黑体" w:cs="Times New Roman"/>
          <w:b/>
          <w:bCs/>
          <w:kern w:val="44"/>
          <w:sz w:val="36"/>
          <w:szCs w:val="52"/>
        </w:rPr>
      </w:pPr>
    </w:p>
    <w:p w14:paraId="00402EF3">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w:t>
      </w:r>
      <w:r>
        <w:rPr>
          <w:rFonts w:hint="eastAsia" w:ascii="仿宋_GB2312" w:hAnsi="仿宋_GB2312" w:eastAsia="仿宋_GB2312" w:cs="仿宋_GB2312"/>
          <w:kern w:val="44"/>
          <w:sz w:val="34"/>
          <w:szCs w:val="34"/>
        </w:rPr>
        <w:t>2</w:t>
      </w:r>
      <w:r>
        <w:rPr>
          <w:rFonts w:ascii="仿宋_GB2312" w:hAnsi="仿宋_GB2312" w:eastAsia="仿宋_GB2312" w:cs="仿宋_GB2312"/>
          <w:kern w:val="44"/>
          <w:sz w:val="34"/>
          <w:szCs w:val="34"/>
        </w:rPr>
        <w:t>)北辰区人民政府网站关于《</w:t>
      </w:r>
      <w:r>
        <w:rPr>
          <w:rFonts w:hint="eastAsia" w:ascii="仿宋_GB2312" w:hAnsi="仿宋_GB2312" w:eastAsia="仿宋_GB2312" w:cs="仿宋_GB2312"/>
          <w:kern w:val="44"/>
          <w:sz w:val="34"/>
          <w:szCs w:val="34"/>
        </w:rPr>
        <w:t>天津市北辰区全面推进美丽北辰建设暨持续深入打好污染防治攻坚战2025年工作计划风险评估</w:t>
      </w:r>
      <w:r>
        <w:rPr>
          <w:rFonts w:ascii="仿宋_GB2312" w:hAnsi="仿宋_GB2312" w:eastAsia="仿宋_GB2312" w:cs="仿宋_GB2312"/>
          <w:kern w:val="44"/>
          <w:sz w:val="34"/>
          <w:szCs w:val="34"/>
        </w:rPr>
        <w:t>》的公示</w:t>
      </w:r>
    </w:p>
    <w:p w14:paraId="3955E390">
      <w:pPr>
        <w:spacing w:line="600" w:lineRule="exact"/>
        <w:jc w:val="center"/>
        <w:outlineLvl w:val="0"/>
        <w:rPr>
          <w:rFonts w:ascii="Times New Roman" w:hAnsi="Times New Roman" w:eastAsia="黑体" w:cs="Times New Roman"/>
          <w:b/>
          <w:bCs/>
          <w:kern w:val="44"/>
          <w:sz w:val="36"/>
          <w:szCs w:val="52"/>
        </w:rPr>
      </w:pPr>
    </w:p>
    <w:p w14:paraId="2F07E980">
      <w:pPr>
        <w:spacing w:line="600" w:lineRule="exact"/>
        <w:jc w:val="center"/>
        <w:outlineLvl w:val="0"/>
        <w:rPr>
          <w:rFonts w:ascii="Times New Roman" w:hAnsi="Times New Roman" w:eastAsia="黑体" w:cs="Times New Roman"/>
          <w:b/>
          <w:bCs/>
          <w:kern w:val="44"/>
          <w:sz w:val="36"/>
          <w:szCs w:val="52"/>
        </w:rPr>
      </w:pPr>
    </w:p>
    <w:p w14:paraId="5D95A1B9">
      <w:pPr>
        <w:spacing w:line="600" w:lineRule="exact"/>
        <w:jc w:val="center"/>
        <w:outlineLvl w:val="0"/>
        <w:rPr>
          <w:rFonts w:ascii="Times New Roman" w:hAnsi="Times New Roman" w:eastAsia="黑体" w:cs="Times New Roman"/>
          <w:b/>
          <w:bCs/>
          <w:kern w:val="44"/>
          <w:sz w:val="36"/>
          <w:szCs w:val="52"/>
        </w:rPr>
      </w:pPr>
    </w:p>
    <w:p w14:paraId="506A2852">
      <w:pPr>
        <w:spacing w:line="600" w:lineRule="exact"/>
        <w:jc w:val="center"/>
        <w:outlineLvl w:val="0"/>
        <w:rPr>
          <w:rFonts w:ascii="Times New Roman" w:hAnsi="Times New Roman" w:eastAsia="黑体" w:cs="Times New Roman"/>
          <w:b/>
          <w:bCs/>
          <w:kern w:val="44"/>
          <w:sz w:val="36"/>
          <w:szCs w:val="52"/>
        </w:rPr>
      </w:pPr>
    </w:p>
    <w:p w14:paraId="1399C422">
      <w:pPr>
        <w:spacing w:line="600" w:lineRule="exact"/>
        <w:jc w:val="center"/>
        <w:outlineLvl w:val="0"/>
        <w:rPr>
          <w:rFonts w:ascii="Times New Roman" w:hAnsi="Times New Roman" w:eastAsia="黑体" w:cs="Times New Roman"/>
          <w:b/>
          <w:bCs/>
          <w:kern w:val="44"/>
          <w:sz w:val="36"/>
          <w:szCs w:val="52"/>
        </w:rPr>
      </w:pPr>
    </w:p>
    <w:p w14:paraId="0D0606E0">
      <w:pPr>
        <w:spacing w:line="600" w:lineRule="exact"/>
        <w:jc w:val="center"/>
        <w:outlineLvl w:val="0"/>
        <w:rPr>
          <w:rFonts w:ascii="Times New Roman" w:hAnsi="Times New Roman" w:eastAsia="黑体" w:cs="Times New Roman"/>
          <w:b/>
          <w:bCs/>
          <w:kern w:val="44"/>
          <w:sz w:val="36"/>
          <w:szCs w:val="52"/>
        </w:rPr>
      </w:pPr>
    </w:p>
    <w:p w14:paraId="3B426D88">
      <w:pPr>
        <w:spacing w:line="600" w:lineRule="exact"/>
        <w:jc w:val="center"/>
        <w:outlineLvl w:val="0"/>
        <w:rPr>
          <w:rFonts w:ascii="Times New Roman" w:hAnsi="Times New Roman" w:eastAsia="黑体" w:cs="Times New Roman"/>
          <w:b/>
          <w:bCs/>
          <w:kern w:val="44"/>
          <w:sz w:val="36"/>
          <w:szCs w:val="52"/>
        </w:rPr>
      </w:pPr>
    </w:p>
    <w:p w14:paraId="7E70D00C">
      <w:pPr>
        <w:spacing w:line="600" w:lineRule="exact"/>
        <w:jc w:val="center"/>
        <w:outlineLvl w:val="0"/>
        <w:rPr>
          <w:rFonts w:ascii="Times New Roman" w:hAnsi="Times New Roman" w:eastAsia="黑体" w:cs="Times New Roman"/>
          <w:b/>
          <w:bCs/>
          <w:kern w:val="44"/>
          <w:sz w:val="36"/>
          <w:szCs w:val="52"/>
        </w:rPr>
      </w:pPr>
    </w:p>
    <w:p w14:paraId="48EA4DCD">
      <w:pPr>
        <w:spacing w:line="600" w:lineRule="exact"/>
        <w:jc w:val="center"/>
        <w:outlineLvl w:val="0"/>
        <w:rPr>
          <w:rFonts w:ascii="Times New Roman" w:hAnsi="Times New Roman" w:eastAsia="黑体" w:cs="Times New Roman"/>
          <w:b/>
          <w:bCs/>
          <w:kern w:val="44"/>
          <w:sz w:val="36"/>
          <w:szCs w:val="52"/>
        </w:rPr>
      </w:pPr>
    </w:p>
    <w:p w14:paraId="5FB78B9C">
      <w:pPr>
        <w:spacing w:line="600" w:lineRule="exact"/>
        <w:jc w:val="center"/>
        <w:outlineLvl w:val="0"/>
        <w:rPr>
          <w:rFonts w:ascii="Times New Roman" w:hAnsi="Times New Roman" w:eastAsia="黑体" w:cs="Times New Roman"/>
          <w:b/>
          <w:bCs/>
          <w:kern w:val="44"/>
          <w:sz w:val="36"/>
          <w:szCs w:val="52"/>
        </w:rPr>
      </w:pPr>
    </w:p>
    <w:p w14:paraId="1F73CD38">
      <w:pPr>
        <w:spacing w:line="600" w:lineRule="exact"/>
        <w:jc w:val="center"/>
        <w:outlineLvl w:val="0"/>
        <w:rPr>
          <w:rFonts w:ascii="Times New Roman" w:hAnsi="Times New Roman" w:eastAsia="黑体" w:cs="Times New Roman"/>
          <w:b/>
          <w:bCs/>
          <w:kern w:val="44"/>
          <w:sz w:val="36"/>
          <w:szCs w:val="52"/>
        </w:rPr>
      </w:pPr>
    </w:p>
    <w:p w14:paraId="3894A640">
      <w:pPr>
        <w:spacing w:line="600" w:lineRule="exact"/>
        <w:jc w:val="center"/>
        <w:outlineLvl w:val="0"/>
        <w:rPr>
          <w:rFonts w:ascii="Times New Roman" w:hAnsi="Times New Roman" w:eastAsia="黑体" w:cs="Times New Roman"/>
          <w:b/>
          <w:bCs/>
          <w:kern w:val="44"/>
          <w:sz w:val="36"/>
          <w:szCs w:val="52"/>
        </w:rPr>
      </w:pPr>
    </w:p>
    <w:p w14:paraId="39BAB4F9">
      <w:pPr>
        <w:spacing w:line="600" w:lineRule="exact"/>
        <w:jc w:val="center"/>
        <w:outlineLvl w:val="0"/>
        <w:rPr>
          <w:rFonts w:ascii="Times New Roman" w:hAnsi="Times New Roman" w:eastAsia="黑体" w:cs="Times New Roman"/>
          <w:b/>
          <w:bCs/>
          <w:kern w:val="44"/>
          <w:sz w:val="36"/>
          <w:szCs w:val="52"/>
        </w:rPr>
      </w:pPr>
    </w:p>
    <w:p w14:paraId="4ABD987C">
      <w:pPr>
        <w:spacing w:line="600" w:lineRule="exact"/>
        <w:jc w:val="center"/>
        <w:outlineLvl w:val="0"/>
        <w:rPr>
          <w:rFonts w:ascii="Times New Roman" w:hAnsi="Times New Roman" w:eastAsia="黑体" w:cs="Times New Roman"/>
          <w:b/>
          <w:bCs/>
          <w:kern w:val="44"/>
          <w:sz w:val="36"/>
          <w:szCs w:val="52"/>
        </w:rPr>
      </w:pPr>
    </w:p>
    <w:p w14:paraId="668FB9B1">
      <w:pPr>
        <w:spacing w:line="600" w:lineRule="exact"/>
        <w:jc w:val="center"/>
        <w:outlineLvl w:val="0"/>
        <w:rPr>
          <w:rFonts w:ascii="Times New Roman" w:hAnsi="Times New Roman" w:eastAsia="黑体" w:cs="Times New Roman"/>
          <w:b/>
          <w:bCs/>
          <w:kern w:val="44"/>
          <w:sz w:val="36"/>
          <w:szCs w:val="52"/>
        </w:rPr>
      </w:pPr>
    </w:p>
    <w:p w14:paraId="32D3A3AD">
      <w:pPr>
        <w:spacing w:line="600" w:lineRule="exact"/>
        <w:jc w:val="center"/>
        <w:outlineLvl w:val="0"/>
        <w:rPr>
          <w:rFonts w:ascii="Times New Roman" w:hAnsi="Times New Roman" w:eastAsia="黑体" w:cs="Times New Roman"/>
          <w:b/>
          <w:bCs/>
          <w:kern w:val="44"/>
          <w:sz w:val="36"/>
          <w:szCs w:val="52"/>
        </w:rPr>
      </w:pPr>
    </w:p>
    <w:p w14:paraId="7C3AFEA8">
      <w:pPr>
        <w:spacing w:line="600" w:lineRule="exact"/>
        <w:jc w:val="center"/>
        <w:outlineLvl w:val="0"/>
        <w:rPr>
          <w:rFonts w:ascii="Times New Roman" w:hAnsi="Times New Roman" w:eastAsia="黑体" w:cs="Times New Roman"/>
          <w:b/>
          <w:bCs/>
          <w:kern w:val="44"/>
          <w:sz w:val="36"/>
          <w:szCs w:val="52"/>
        </w:rPr>
      </w:pPr>
    </w:p>
    <w:p w14:paraId="7E4878ED">
      <w:pPr>
        <w:spacing w:line="600" w:lineRule="exact"/>
        <w:jc w:val="center"/>
        <w:outlineLvl w:val="0"/>
        <w:rPr>
          <w:rFonts w:ascii="Times New Roman" w:hAnsi="Times New Roman" w:eastAsia="黑体" w:cs="Times New Roman"/>
          <w:b/>
          <w:bCs/>
          <w:kern w:val="44"/>
          <w:sz w:val="36"/>
          <w:szCs w:val="52"/>
        </w:rPr>
      </w:pPr>
    </w:p>
    <w:p w14:paraId="3D540CB7">
      <w:pPr>
        <w:spacing w:line="600" w:lineRule="exact"/>
        <w:outlineLvl w:val="0"/>
        <w:rPr>
          <w:rFonts w:ascii="Times New Roman" w:hAnsi="Times New Roman" w:eastAsia="黑体" w:cs="Times New Roman"/>
          <w:b/>
          <w:bCs/>
          <w:kern w:val="44"/>
          <w:sz w:val="36"/>
          <w:szCs w:val="52"/>
        </w:rPr>
      </w:pPr>
    </w:p>
    <w:p w14:paraId="5C78A29E">
      <w:pPr>
        <w:spacing w:line="600" w:lineRule="exact"/>
        <w:outlineLvl w:val="0"/>
        <w:rPr>
          <w:rFonts w:ascii="Times New Roman" w:hAnsi="Times New Roman" w:eastAsia="黑体" w:cs="Times New Roman"/>
          <w:b/>
          <w:bCs/>
          <w:kern w:val="44"/>
          <w:sz w:val="36"/>
          <w:szCs w:val="52"/>
        </w:rPr>
      </w:pPr>
    </w:p>
    <w:p w14:paraId="1B0374F2">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3.4.3意见征询</w:t>
      </w:r>
    </w:p>
    <w:p w14:paraId="6EAA30D1">
      <w:pPr>
        <w:spacing w:line="600" w:lineRule="exact"/>
        <w:ind w:firstLine="640" w:firstLineChars="200"/>
        <w:rPr>
          <w:rFonts w:hint="eastAsia" w:ascii="仿宋_GB2312" w:hAnsi="仿宋" w:eastAsia="仿宋_GB2312" w:cs="Times New Roman"/>
          <w:sz w:val="32"/>
          <w:szCs w:val="40"/>
        </w:rPr>
      </w:pPr>
      <w:r>
        <w:rPr>
          <w:rFonts w:hint="eastAsia" w:ascii="仿宋_GB2312" w:hAnsi="仿宋" w:eastAsia="仿宋_GB2312" w:cs="Times New Roman"/>
          <w:sz w:val="32"/>
          <w:szCs w:val="40"/>
          <w:lang w:val="en"/>
        </w:rPr>
        <w:t>（</w:t>
      </w:r>
      <w:r>
        <w:rPr>
          <w:rFonts w:hint="eastAsia" w:ascii="仿宋_GB2312" w:hAnsi="仿宋" w:eastAsia="仿宋_GB2312" w:cs="Times New Roman"/>
          <w:sz w:val="32"/>
          <w:szCs w:val="40"/>
        </w:rPr>
        <w:t>1</w:t>
      </w:r>
      <w:r>
        <w:rPr>
          <w:rFonts w:hint="eastAsia" w:ascii="仿宋_GB2312" w:hAnsi="仿宋" w:eastAsia="仿宋_GB2312" w:cs="Times New Roman"/>
          <w:sz w:val="32"/>
          <w:szCs w:val="40"/>
          <w:lang w:val="en"/>
        </w:rPr>
        <w:t>）</w:t>
      </w:r>
      <w:r>
        <w:rPr>
          <w:rFonts w:hint="eastAsia" w:ascii="仿宋_GB2312" w:hAnsi="仿宋" w:eastAsia="仿宋_GB2312" w:cs="Times New Roman"/>
          <w:sz w:val="32"/>
          <w:szCs w:val="40"/>
        </w:rPr>
        <w:t>专家意见</w:t>
      </w:r>
    </w:p>
    <w:p w14:paraId="121FB804">
      <w:pPr>
        <w:spacing w:line="600" w:lineRule="exact"/>
        <w:ind w:firstLine="640" w:firstLineChars="200"/>
        <w:rPr>
          <w:rFonts w:hint="eastAsia" w:ascii="仿宋_GB2312" w:hAnsi="仿宋" w:eastAsia="仿宋_GB2312" w:cs="Times New Roman"/>
          <w:sz w:val="32"/>
          <w:szCs w:val="40"/>
        </w:rPr>
      </w:pPr>
      <w:r>
        <w:rPr>
          <w:rFonts w:hint="eastAsia" w:ascii="仿宋_GB2312" w:hAnsi="仿宋" w:eastAsia="仿宋_GB2312" w:cs="Times New Roman"/>
          <w:sz w:val="32"/>
          <w:szCs w:val="40"/>
        </w:rPr>
        <w:t>天津市北辰区生态环境局于2025年8月27日召开专家会，以会议形式征求</w:t>
      </w:r>
      <w:r>
        <w:rPr>
          <w:rFonts w:ascii="仿宋_GB2312" w:hAnsi="仿宋_GB2312" w:eastAsia="仿宋_GB2312" w:cs="仿宋_GB2312"/>
          <w:kern w:val="44"/>
          <w:sz w:val="34"/>
          <w:szCs w:val="34"/>
        </w:rPr>
        <w:t>《</w:t>
      </w:r>
      <w:r>
        <w:rPr>
          <w:rFonts w:hint="eastAsia" w:ascii="仿宋_GB2312" w:hAnsi="仿宋_GB2312" w:eastAsia="仿宋_GB2312" w:cs="仿宋_GB2312"/>
          <w:kern w:val="44"/>
          <w:sz w:val="34"/>
          <w:szCs w:val="34"/>
        </w:rPr>
        <w:t>天津市北辰区全面推进美丽北辰建设暨持续深入打好污染防治攻坚战2025年工作计划</w:t>
      </w:r>
      <w:r>
        <w:rPr>
          <w:rFonts w:ascii="仿宋_GB2312" w:hAnsi="仿宋_GB2312" w:eastAsia="仿宋_GB2312" w:cs="仿宋_GB2312"/>
          <w:kern w:val="44"/>
          <w:sz w:val="34"/>
          <w:szCs w:val="34"/>
        </w:rPr>
        <w:t>(征求意见稿)》</w:t>
      </w:r>
      <w:r>
        <w:rPr>
          <w:rFonts w:hint="eastAsia" w:ascii="仿宋_GB2312" w:hAnsi="仿宋_GB2312" w:eastAsia="仿宋_GB2312" w:cs="仿宋_GB2312"/>
          <w:kern w:val="44"/>
          <w:sz w:val="34"/>
          <w:szCs w:val="34"/>
        </w:rPr>
        <w:t>五位专家意见</w:t>
      </w:r>
      <w:r>
        <w:rPr>
          <w:rFonts w:hint="eastAsia" w:ascii="仿宋_GB2312" w:hAnsi="仿宋" w:eastAsia="仿宋_GB2312" w:cs="Times New Roman"/>
          <w:sz w:val="32"/>
          <w:szCs w:val="40"/>
        </w:rPr>
        <w:t>。</w:t>
      </w:r>
    </w:p>
    <w:p w14:paraId="65E32F1E">
      <w:pPr>
        <w:spacing w:line="600" w:lineRule="exact"/>
        <w:ind w:firstLine="723" w:firstLineChars="200"/>
        <w:rPr>
          <w:rFonts w:hint="eastAsia" w:ascii="仿宋_GB2312" w:hAnsi="仿宋" w:eastAsia="仿宋_GB2312" w:cs="Times New Roman"/>
          <w:sz w:val="32"/>
          <w:szCs w:val="40"/>
        </w:rPr>
      </w:pPr>
      <w:r>
        <w:rPr>
          <w:rFonts w:hint="eastAsia" w:ascii="Times New Roman" w:hAnsi="Times New Roman" w:eastAsia="黑体" w:cs="Times New Roman"/>
          <w:b/>
          <w:bCs/>
          <w:kern w:val="44"/>
          <w:sz w:val="36"/>
          <w:szCs w:val="52"/>
        </w:rPr>
        <w:drawing>
          <wp:anchor distT="0" distB="0" distL="114300" distR="114300" simplePos="0" relativeHeight="251663360" behindDoc="1" locked="0" layoutInCell="1" allowOverlap="1">
            <wp:simplePos x="0" y="0"/>
            <wp:positionH relativeFrom="column">
              <wp:posOffset>-43815</wp:posOffset>
            </wp:positionH>
            <wp:positionV relativeFrom="paragraph">
              <wp:posOffset>196215</wp:posOffset>
            </wp:positionV>
            <wp:extent cx="5264785" cy="3771900"/>
            <wp:effectExtent l="0" t="0" r="12065" b="0"/>
            <wp:wrapNone/>
            <wp:docPr id="3" name="图片 3" descr="884da8d952d124ce09235acae455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84da8d952d124ce09235acae4552a4"/>
                    <pic:cNvPicPr>
                      <a:picLocks noChangeAspect="1"/>
                    </pic:cNvPicPr>
                  </pic:nvPicPr>
                  <pic:blipFill>
                    <a:blip r:embed="rId7"/>
                    <a:stretch>
                      <a:fillRect/>
                    </a:stretch>
                  </pic:blipFill>
                  <pic:spPr>
                    <a:xfrm>
                      <a:off x="0" y="0"/>
                      <a:ext cx="5264785" cy="3771900"/>
                    </a:xfrm>
                    <a:prstGeom prst="rect">
                      <a:avLst/>
                    </a:prstGeom>
                  </pic:spPr>
                </pic:pic>
              </a:graphicData>
            </a:graphic>
          </wp:anchor>
        </w:drawing>
      </w:r>
    </w:p>
    <w:p w14:paraId="57937E8B">
      <w:pPr>
        <w:spacing w:line="600" w:lineRule="exact"/>
        <w:jc w:val="center"/>
        <w:outlineLvl w:val="0"/>
        <w:rPr>
          <w:rFonts w:ascii="Times New Roman" w:hAnsi="Times New Roman" w:eastAsia="黑体" w:cs="Times New Roman"/>
          <w:b/>
          <w:bCs/>
          <w:kern w:val="44"/>
          <w:sz w:val="36"/>
          <w:szCs w:val="52"/>
        </w:rPr>
      </w:pPr>
    </w:p>
    <w:p w14:paraId="506A82DF">
      <w:pPr>
        <w:spacing w:line="600" w:lineRule="exact"/>
        <w:jc w:val="center"/>
        <w:outlineLvl w:val="0"/>
        <w:rPr>
          <w:rFonts w:ascii="Times New Roman" w:hAnsi="Times New Roman" w:eastAsia="黑体" w:cs="Times New Roman"/>
          <w:b/>
          <w:bCs/>
          <w:kern w:val="44"/>
          <w:sz w:val="36"/>
          <w:szCs w:val="52"/>
        </w:rPr>
      </w:pPr>
    </w:p>
    <w:p w14:paraId="212B7FD4">
      <w:pPr>
        <w:spacing w:line="600" w:lineRule="exact"/>
        <w:jc w:val="center"/>
        <w:outlineLvl w:val="0"/>
        <w:rPr>
          <w:rFonts w:ascii="Times New Roman" w:hAnsi="Times New Roman" w:eastAsia="黑体" w:cs="Times New Roman"/>
          <w:b/>
          <w:bCs/>
          <w:kern w:val="44"/>
          <w:sz w:val="36"/>
          <w:szCs w:val="52"/>
        </w:rPr>
      </w:pPr>
    </w:p>
    <w:p w14:paraId="1CD3A130">
      <w:pPr>
        <w:spacing w:line="600" w:lineRule="exact"/>
        <w:jc w:val="center"/>
        <w:outlineLvl w:val="0"/>
        <w:rPr>
          <w:rFonts w:ascii="Times New Roman" w:hAnsi="Times New Roman" w:eastAsia="黑体" w:cs="Times New Roman"/>
          <w:b/>
          <w:bCs/>
          <w:kern w:val="44"/>
          <w:sz w:val="36"/>
          <w:szCs w:val="52"/>
        </w:rPr>
      </w:pPr>
    </w:p>
    <w:p w14:paraId="7DDB789D">
      <w:pPr>
        <w:spacing w:line="600" w:lineRule="exact"/>
        <w:jc w:val="center"/>
        <w:outlineLvl w:val="0"/>
        <w:rPr>
          <w:rFonts w:ascii="Times New Roman" w:hAnsi="Times New Roman" w:eastAsia="黑体" w:cs="Times New Roman"/>
          <w:b/>
          <w:bCs/>
          <w:kern w:val="44"/>
          <w:sz w:val="36"/>
          <w:szCs w:val="52"/>
        </w:rPr>
      </w:pPr>
    </w:p>
    <w:p w14:paraId="67AF187E">
      <w:pPr>
        <w:spacing w:line="600" w:lineRule="exact"/>
        <w:jc w:val="center"/>
        <w:outlineLvl w:val="0"/>
        <w:rPr>
          <w:rFonts w:ascii="Times New Roman" w:hAnsi="Times New Roman" w:eastAsia="黑体" w:cs="Times New Roman"/>
          <w:b/>
          <w:bCs/>
          <w:kern w:val="44"/>
          <w:sz w:val="36"/>
          <w:szCs w:val="52"/>
        </w:rPr>
      </w:pPr>
    </w:p>
    <w:p w14:paraId="434B848C">
      <w:pPr>
        <w:spacing w:line="600" w:lineRule="exact"/>
        <w:jc w:val="center"/>
        <w:outlineLvl w:val="0"/>
        <w:rPr>
          <w:rFonts w:ascii="Times New Roman" w:hAnsi="Times New Roman" w:eastAsia="黑体" w:cs="Times New Roman"/>
          <w:b/>
          <w:bCs/>
          <w:kern w:val="44"/>
          <w:sz w:val="36"/>
          <w:szCs w:val="52"/>
        </w:rPr>
      </w:pPr>
    </w:p>
    <w:p w14:paraId="4328C27B">
      <w:pPr>
        <w:spacing w:line="600" w:lineRule="exact"/>
        <w:jc w:val="center"/>
        <w:outlineLvl w:val="0"/>
        <w:rPr>
          <w:rFonts w:ascii="Times New Roman" w:hAnsi="Times New Roman" w:eastAsia="黑体" w:cs="Times New Roman"/>
          <w:b/>
          <w:bCs/>
          <w:kern w:val="44"/>
          <w:sz w:val="36"/>
          <w:szCs w:val="52"/>
        </w:rPr>
      </w:pPr>
    </w:p>
    <w:p w14:paraId="0DB9B770">
      <w:pPr>
        <w:spacing w:line="600" w:lineRule="exact"/>
        <w:jc w:val="center"/>
        <w:outlineLvl w:val="0"/>
        <w:rPr>
          <w:rFonts w:ascii="Times New Roman" w:hAnsi="Times New Roman" w:eastAsia="黑体" w:cs="Times New Roman"/>
          <w:b/>
          <w:bCs/>
          <w:kern w:val="44"/>
          <w:sz w:val="36"/>
          <w:szCs w:val="52"/>
        </w:rPr>
      </w:pPr>
    </w:p>
    <w:p w14:paraId="28BEF37E">
      <w:pPr>
        <w:spacing w:line="600" w:lineRule="exact"/>
        <w:jc w:val="center"/>
        <w:outlineLvl w:val="0"/>
        <w:rPr>
          <w:rFonts w:ascii="Times New Roman" w:hAnsi="Times New Roman" w:eastAsia="黑体" w:cs="Times New Roman"/>
          <w:b/>
          <w:bCs/>
          <w:kern w:val="44"/>
          <w:sz w:val="36"/>
          <w:szCs w:val="52"/>
        </w:rPr>
      </w:pPr>
    </w:p>
    <w:p w14:paraId="408FFE44">
      <w:pPr>
        <w:spacing w:line="600" w:lineRule="exact"/>
        <w:ind w:firstLine="640" w:firstLineChars="200"/>
        <w:rPr>
          <w:rFonts w:hint="eastAsia" w:ascii="仿宋_GB2312" w:hAnsi="仿宋" w:eastAsia="仿宋_GB2312" w:cs="Times New Roman"/>
          <w:sz w:val="32"/>
          <w:szCs w:val="40"/>
        </w:rPr>
      </w:pPr>
      <w:r>
        <w:rPr>
          <w:rFonts w:hint="eastAsia" w:ascii="仿宋_GB2312" w:hAnsi="仿宋" w:eastAsia="仿宋_GB2312" w:cs="Times New Roman"/>
          <w:sz w:val="32"/>
          <w:szCs w:val="40"/>
        </w:rPr>
        <w:t>（2）区级单位及镇街</w:t>
      </w:r>
    </w:p>
    <w:p w14:paraId="6F1A5A35">
      <w:pPr>
        <w:spacing w:line="600" w:lineRule="exact"/>
        <w:ind w:firstLine="640" w:firstLineChars="200"/>
        <w:rPr>
          <w:rFonts w:hint="eastAsia" w:ascii="仿宋_GB2312" w:hAnsi="仿宋" w:eastAsia="仿宋_GB2312" w:cs="Times New Roman"/>
          <w:sz w:val="32"/>
          <w:szCs w:val="40"/>
        </w:rPr>
      </w:pPr>
      <w:r>
        <w:rPr>
          <w:rFonts w:hint="eastAsia" w:ascii="仿宋_GB2312" w:hAnsi="仿宋" w:eastAsia="仿宋_GB2312" w:cs="Times New Roman"/>
          <w:sz w:val="32"/>
          <w:szCs w:val="40"/>
        </w:rPr>
        <w:t>天津市北辰区生态环境局分别于2025年4月14日、4月22日，以发函形式下发</w:t>
      </w:r>
      <w:r>
        <w:rPr>
          <w:rFonts w:ascii="仿宋_GB2312" w:hAnsi="仿宋_GB2312" w:eastAsia="仿宋_GB2312" w:cs="仿宋_GB2312"/>
          <w:kern w:val="44"/>
          <w:sz w:val="34"/>
          <w:szCs w:val="34"/>
        </w:rPr>
        <w:t>《</w:t>
      </w:r>
      <w:r>
        <w:rPr>
          <w:rFonts w:hint="eastAsia" w:ascii="仿宋_GB2312" w:hAnsi="仿宋_GB2312" w:eastAsia="仿宋_GB2312" w:cs="仿宋_GB2312"/>
          <w:kern w:val="44"/>
          <w:sz w:val="34"/>
          <w:szCs w:val="34"/>
        </w:rPr>
        <w:t>天津市北辰区全面推进美丽北辰建设暨持续深入打好污染防治攻坚战2025年工作计划</w:t>
      </w:r>
      <w:r>
        <w:rPr>
          <w:rFonts w:ascii="仿宋_GB2312" w:hAnsi="仿宋_GB2312" w:eastAsia="仿宋_GB2312" w:cs="仿宋_GB2312"/>
          <w:kern w:val="44"/>
          <w:sz w:val="34"/>
          <w:szCs w:val="34"/>
        </w:rPr>
        <w:t>(征求意见稿)》</w:t>
      </w:r>
      <w:r>
        <w:rPr>
          <w:rFonts w:hint="eastAsia" w:ascii="仿宋_GB2312" w:hAnsi="仿宋_GB2312" w:eastAsia="仿宋_GB2312" w:cs="仿宋_GB2312"/>
          <w:kern w:val="44"/>
          <w:sz w:val="34"/>
          <w:szCs w:val="34"/>
        </w:rPr>
        <w:t>。征求区发改委、区城管委、区住建委、区农委、区工信局、区商务局、区卫健委、公安北辰分局、规自北辰分局、区水务局、土整中心、区财政局、区运管局、区市场监管局、区应急管理局、区气象局、区教育局各镇街及开发区34个单位意见。</w:t>
      </w:r>
    </w:p>
    <w:p w14:paraId="6103857C">
      <w:pPr>
        <w:spacing w:line="600" w:lineRule="exact"/>
        <w:ind w:firstLine="640" w:firstLineChars="200"/>
        <w:rPr>
          <w:rFonts w:hint="eastAsia" w:ascii="仿宋_GB2312" w:hAnsi="仿宋" w:eastAsia="仿宋_GB2312" w:cs="Times New Roman"/>
          <w:sz w:val="32"/>
          <w:szCs w:val="40"/>
        </w:rPr>
      </w:pPr>
      <w:r>
        <w:rPr>
          <w:rFonts w:hint="eastAsia" w:ascii="仿宋_GB2312" w:hAnsi="仿宋" w:eastAsia="仿宋_GB2312" w:cs="Times New Roman"/>
          <w:sz w:val="32"/>
          <w:szCs w:val="40"/>
        </w:rPr>
        <w:t>3.4.4问卷调查</w:t>
      </w:r>
    </w:p>
    <w:p w14:paraId="5F24C4FB">
      <w:pPr>
        <w:spacing w:line="600" w:lineRule="exact"/>
        <w:ind w:firstLine="680" w:firstLineChars="20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本次问卷调查采取网上、不记名的调研形式，问卷形式通过公示公告、基层政府宣传等形式开展。</w:t>
      </w:r>
    </w:p>
    <w:p w14:paraId="20A5B058">
      <w:pPr>
        <w:spacing w:line="600" w:lineRule="exact"/>
        <w:ind w:firstLine="680" w:firstLineChars="20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本次问卷共设置16题，其中选择题15题，开放性问题1题。</w:t>
      </w:r>
    </w:p>
    <w:p w14:paraId="0F6AEDAC">
      <w:pPr>
        <w:spacing w:line="600" w:lineRule="exact"/>
        <w:ind w:firstLine="680" w:firstLineChars="20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drawing>
          <wp:anchor distT="0" distB="0" distL="114300" distR="114300" simplePos="0" relativeHeight="251664384" behindDoc="1" locked="0" layoutInCell="1" allowOverlap="1">
            <wp:simplePos x="0" y="0"/>
            <wp:positionH relativeFrom="column">
              <wp:posOffset>167005</wp:posOffset>
            </wp:positionH>
            <wp:positionV relativeFrom="paragraph">
              <wp:posOffset>100330</wp:posOffset>
            </wp:positionV>
            <wp:extent cx="5268595" cy="5003800"/>
            <wp:effectExtent l="0" t="0" r="8255" b="6350"/>
            <wp:wrapNone/>
            <wp:docPr id="5" name="图片 5" descr="问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问卷二维码"/>
                    <pic:cNvPicPr>
                      <a:picLocks noChangeAspect="1"/>
                    </pic:cNvPicPr>
                  </pic:nvPicPr>
                  <pic:blipFill>
                    <a:blip r:embed="rId8"/>
                    <a:stretch>
                      <a:fillRect/>
                    </a:stretch>
                  </pic:blipFill>
                  <pic:spPr>
                    <a:xfrm>
                      <a:off x="0" y="0"/>
                      <a:ext cx="5268595" cy="5003800"/>
                    </a:xfrm>
                    <a:prstGeom prst="rect">
                      <a:avLst/>
                    </a:prstGeom>
                  </pic:spPr>
                </pic:pic>
              </a:graphicData>
            </a:graphic>
          </wp:anchor>
        </w:drawing>
      </w:r>
    </w:p>
    <w:p w14:paraId="142CA0D3">
      <w:pPr>
        <w:spacing w:line="600" w:lineRule="exact"/>
        <w:ind w:firstLine="680" w:firstLineChars="200"/>
        <w:rPr>
          <w:rFonts w:hint="eastAsia" w:ascii="仿宋_GB2312" w:hAnsi="仿宋_GB2312" w:eastAsia="仿宋_GB2312" w:cs="仿宋_GB2312"/>
          <w:kern w:val="44"/>
          <w:sz w:val="34"/>
          <w:szCs w:val="34"/>
        </w:rPr>
      </w:pPr>
    </w:p>
    <w:p w14:paraId="0F22811E">
      <w:pPr>
        <w:spacing w:line="600" w:lineRule="exact"/>
        <w:ind w:firstLine="680" w:firstLineChars="200"/>
        <w:rPr>
          <w:rFonts w:hint="eastAsia" w:ascii="仿宋_GB2312" w:hAnsi="仿宋_GB2312" w:eastAsia="仿宋_GB2312" w:cs="仿宋_GB2312"/>
          <w:kern w:val="44"/>
          <w:sz w:val="34"/>
          <w:szCs w:val="34"/>
        </w:rPr>
      </w:pPr>
    </w:p>
    <w:p w14:paraId="39C013CC">
      <w:pPr>
        <w:spacing w:line="600" w:lineRule="exact"/>
        <w:ind w:firstLine="680" w:firstLineChars="200"/>
        <w:rPr>
          <w:rFonts w:hint="eastAsia" w:ascii="仿宋_GB2312" w:hAnsi="仿宋_GB2312" w:eastAsia="仿宋_GB2312" w:cs="仿宋_GB2312"/>
          <w:kern w:val="44"/>
          <w:sz w:val="34"/>
          <w:szCs w:val="34"/>
        </w:rPr>
      </w:pPr>
    </w:p>
    <w:p w14:paraId="18C43FEB">
      <w:pPr>
        <w:spacing w:line="600" w:lineRule="exact"/>
        <w:ind w:firstLine="680" w:firstLineChars="200"/>
        <w:rPr>
          <w:rFonts w:hint="eastAsia" w:ascii="仿宋_GB2312" w:hAnsi="仿宋_GB2312" w:eastAsia="仿宋_GB2312" w:cs="仿宋_GB2312"/>
          <w:kern w:val="44"/>
          <w:sz w:val="34"/>
          <w:szCs w:val="34"/>
        </w:rPr>
      </w:pPr>
    </w:p>
    <w:p w14:paraId="3BD4E6CC">
      <w:pPr>
        <w:spacing w:line="600" w:lineRule="exact"/>
        <w:ind w:firstLine="680" w:firstLineChars="200"/>
        <w:rPr>
          <w:rFonts w:hint="eastAsia" w:ascii="仿宋_GB2312" w:hAnsi="仿宋_GB2312" w:eastAsia="仿宋_GB2312" w:cs="仿宋_GB2312"/>
          <w:kern w:val="44"/>
          <w:sz w:val="34"/>
          <w:szCs w:val="34"/>
        </w:rPr>
      </w:pPr>
    </w:p>
    <w:p w14:paraId="71A70470">
      <w:pPr>
        <w:spacing w:line="600" w:lineRule="exact"/>
        <w:ind w:firstLine="680" w:firstLineChars="200"/>
        <w:rPr>
          <w:rFonts w:hint="eastAsia" w:ascii="仿宋_GB2312" w:hAnsi="仿宋_GB2312" w:eastAsia="仿宋_GB2312" w:cs="仿宋_GB2312"/>
          <w:kern w:val="44"/>
          <w:sz w:val="34"/>
          <w:szCs w:val="34"/>
        </w:rPr>
      </w:pPr>
    </w:p>
    <w:p w14:paraId="2F621ED8">
      <w:pPr>
        <w:spacing w:line="600" w:lineRule="exact"/>
        <w:ind w:firstLine="680" w:firstLineChars="200"/>
        <w:rPr>
          <w:rFonts w:hint="eastAsia" w:ascii="仿宋_GB2312" w:hAnsi="仿宋_GB2312" w:eastAsia="仿宋_GB2312" w:cs="仿宋_GB2312"/>
          <w:kern w:val="44"/>
          <w:sz w:val="34"/>
          <w:szCs w:val="34"/>
        </w:rPr>
      </w:pPr>
    </w:p>
    <w:p w14:paraId="62461C82">
      <w:pPr>
        <w:spacing w:line="600" w:lineRule="exact"/>
        <w:ind w:firstLine="680" w:firstLineChars="200"/>
        <w:rPr>
          <w:rFonts w:hint="eastAsia" w:ascii="仿宋_GB2312" w:hAnsi="仿宋_GB2312" w:eastAsia="仿宋_GB2312" w:cs="仿宋_GB2312"/>
          <w:kern w:val="44"/>
          <w:sz w:val="34"/>
          <w:szCs w:val="34"/>
        </w:rPr>
      </w:pPr>
    </w:p>
    <w:p w14:paraId="36C0917A">
      <w:pPr>
        <w:spacing w:line="600" w:lineRule="exact"/>
        <w:ind w:firstLine="680" w:firstLineChars="200"/>
        <w:rPr>
          <w:rFonts w:hint="eastAsia" w:ascii="仿宋_GB2312" w:hAnsi="仿宋_GB2312" w:eastAsia="仿宋_GB2312" w:cs="仿宋_GB2312"/>
          <w:kern w:val="44"/>
          <w:sz w:val="34"/>
          <w:szCs w:val="34"/>
        </w:rPr>
      </w:pPr>
    </w:p>
    <w:p w14:paraId="1499BE87">
      <w:pPr>
        <w:spacing w:line="600" w:lineRule="exact"/>
        <w:ind w:firstLine="680" w:firstLineChars="200"/>
        <w:rPr>
          <w:rFonts w:hint="eastAsia" w:ascii="仿宋_GB2312" w:hAnsi="仿宋_GB2312" w:eastAsia="仿宋_GB2312" w:cs="仿宋_GB2312"/>
          <w:kern w:val="44"/>
          <w:sz w:val="34"/>
          <w:szCs w:val="34"/>
        </w:rPr>
      </w:pPr>
    </w:p>
    <w:p w14:paraId="692F0646">
      <w:pPr>
        <w:spacing w:line="600" w:lineRule="exact"/>
        <w:ind w:firstLine="680" w:firstLineChars="200"/>
        <w:rPr>
          <w:rFonts w:hint="eastAsia" w:ascii="仿宋_GB2312" w:hAnsi="仿宋_GB2312" w:eastAsia="仿宋_GB2312" w:cs="仿宋_GB2312"/>
          <w:kern w:val="44"/>
          <w:sz w:val="34"/>
          <w:szCs w:val="34"/>
        </w:rPr>
      </w:pPr>
    </w:p>
    <w:p w14:paraId="4C10A556">
      <w:pPr>
        <w:spacing w:line="600" w:lineRule="exact"/>
        <w:jc w:val="center"/>
        <w:outlineLvl w:val="0"/>
        <w:rPr>
          <w:rFonts w:ascii="Times New Roman" w:hAnsi="Times New Roman" w:eastAsia="黑体" w:cs="Times New Roman"/>
          <w:b/>
          <w:bCs/>
          <w:kern w:val="44"/>
          <w:sz w:val="36"/>
          <w:szCs w:val="52"/>
        </w:rPr>
      </w:pPr>
    </w:p>
    <w:p w14:paraId="35A3C263">
      <w:pPr>
        <w:spacing w:line="600" w:lineRule="exact"/>
        <w:jc w:val="center"/>
        <w:outlineLvl w:val="0"/>
        <w:rPr>
          <w:rFonts w:ascii="Times New Roman" w:hAnsi="Times New Roman" w:eastAsia="黑体" w:cs="Times New Roman"/>
          <w:b/>
          <w:bCs/>
          <w:kern w:val="44"/>
          <w:sz w:val="36"/>
          <w:szCs w:val="52"/>
        </w:rPr>
      </w:pPr>
    </w:p>
    <w:p w14:paraId="66652A40">
      <w:pPr>
        <w:spacing w:line="600" w:lineRule="exact"/>
        <w:jc w:val="center"/>
        <w:outlineLvl w:val="0"/>
        <w:rPr>
          <w:rFonts w:ascii="Times New Roman" w:hAnsi="Times New Roman" w:eastAsia="黑体" w:cs="Times New Roman"/>
          <w:b/>
          <w:bCs/>
          <w:kern w:val="44"/>
          <w:sz w:val="36"/>
          <w:szCs w:val="52"/>
        </w:rPr>
      </w:pPr>
    </w:p>
    <w:p w14:paraId="5212D4BB">
      <w:pPr>
        <w:spacing w:line="600" w:lineRule="exact"/>
        <w:jc w:val="center"/>
        <w:outlineLvl w:val="0"/>
        <w:rPr>
          <w:rFonts w:ascii="Times New Roman" w:hAnsi="Times New Roman" w:eastAsia="黑体" w:cs="Times New Roman"/>
          <w:b/>
          <w:bCs/>
          <w:kern w:val="44"/>
          <w:sz w:val="36"/>
          <w:szCs w:val="52"/>
        </w:rPr>
      </w:pPr>
      <w:r>
        <w:rPr>
          <w:rFonts w:hint="eastAsia" w:ascii="Times New Roman" w:hAnsi="Times New Roman" w:eastAsia="黑体" w:cs="Times New Roman"/>
          <w:b/>
          <w:bCs/>
          <w:kern w:val="44"/>
          <w:sz w:val="36"/>
          <w:szCs w:val="52"/>
        </w:rPr>
        <w:drawing>
          <wp:anchor distT="0" distB="0" distL="114300" distR="114300" simplePos="0" relativeHeight="251666432" behindDoc="1" locked="0" layoutInCell="1" allowOverlap="1">
            <wp:simplePos x="0" y="0"/>
            <wp:positionH relativeFrom="column">
              <wp:posOffset>3046730</wp:posOffset>
            </wp:positionH>
            <wp:positionV relativeFrom="paragraph">
              <wp:posOffset>41910</wp:posOffset>
            </wp:positionV>
            <wp:extent cx="1656080" cy="8848090"/>
            <wp:effectExtent l="0" t="0" r="1270" b="10160"/>
            <wp:wrapNone/>
            <wp:docPr id="7" name="图片 7" descr="fd229211edd0009f0816ba4638d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d229211edd0009f0816ba4638d1653"/>
                    <pic:cNvPicPr>
                      <a:picLocks noChangeAspect="1"/>
                    </pic:cNvPicPr>
                  </pic:nvPicPr>
                  <pic:blipFill>
                    <a:blip r:embed="rId9"/>
                    <a:stretch>
                      <a:fillRect/>
                    </a:stretch>
                  </pic:blipFill>
                  <pic:spPr>
                    <a:xfrm>
                      <a:off x="0" y="0"/>
                      <a:ext cx="1656080" cy="8848090"/>
                    </a:xfrm>
                    <a:prstGeom prst="rect">
                      <a:avLst/>
                    </a:prstGeom>
                  </pic:spPr>
                </pic:pic>
              </a:graphicData>
            </a:graphic>
          </wp:anchor>
        </w:drawing>
      </w:r>
      <w:r>
        <w:rPr>
          <w:rFonts w:hint="eastAsia" w:ascii="Times New Roman" w:hAnsi="Times New Roman" w:eastAsia="黑体" w:cs="Times New Roman"/>
          <w:b/>
          <w:bCs/>
          <w:kern w:val="44"/>
          <w:sz w:val="36"/>
          <w:szCs w:val="52"/>
        </w:rPr>
        <w:drawing>
          <wp:anchor distT="0" distB="0" distL="114300" distR="114300" simplePos="0" relativeHeight="251665408" behindDoc="1" locked="0" layoutInCell="1" allowOverlap="1">
            <wp:simplePos x="0" y="0"/>
            <wp:positionH relativeFrom="column">
              <wp:posOffset>561975</wp:posOffset>
            </wp:positionH>
            <wp:positionV relativeFrom="paragraph">
              <wp:posOffset>86360</wp:posOffset>
            </wp:positionV>
            <wp:extent cx="1656080" cy="8848090"/>
            <wp:effectExtent l="0" t="0" r="1270" b="10160"/>
            <wp:wrapNone/>
            <wp:docPr id="6" name="图片 6" descr="37bc96f2c2c7468da1a9bde15f90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7bc96f2c2c7468da1a9bde15f90f14"/>
                    <pic:cNvPicPr>
                      <a:picLocks noChangeAspect="1"/>
                    </pic:cNvPicPr>
                  </pic:nvPicPr>
                  <pic:blipFill>
                    <a:blip r:embed="rId10"/>
                    <a:stretch>
                      <a:fillRect/>
                    </a:stretch>
                  </pic:blipFill>
                  <pic:spPr>
                    <a:xfrm>
                      <a:off x="0" y="0"/>
                      <a:ext cx="1656080" cy="8848090"/>
                    </a:xfrm>
                    <a:prstGeom prst="rect">
                      <a:avLst/>
                    </a:prstGeom>
                  </pic:spPr>
                </pic:pic>
              </a:graphicData>
            </a:graphic>
          </wp:anchor>
        </w:drawing>
      </w:r>
    </w:p>
    <w:p w14:paraId="3777F0F6">
      <w:pPr>
        <w:spacing w:line="600" w:lineRule="exact"/>
        <w:jc w:val="center"/>
        <w:outlineLvl w:val="0"/>
        <w:rPr>
          <w:rFonts w:ascii="Times New Roman" w:hAnsi="Times New Roman" w:eastAsia="黑体" w:cs="Times New Roman"/>
          <w:b/>
          <w:bCs/>
          <w:kern w:val="44"/>
          <w:sz w:val="36"/>
          <w:szCs w:val="52"/>
        </w:rPr>
      </w:pPr>
    </w:p>
    <w:p w14:paraId="0F63DDD8">
      <w:pPr>
        <w:spacing w:line="600" w:lineRule="exact"/>
        <w:jc w:val="center"/>
        <w:outlineLvl w:val="0"/>
        <w:rPr>
          <w:rFonts w:ascii="Times New Roman" w:hAnsi="Times New Roman" w:eastAsia="黑体" w:cs="Times New Roman"/>
          <w:b/>
          <w:bCs/>
          <w:kern w:val="44"/>
          <w:sz w:val="36"/>
          <w:szCs w:val="52"/>
        </w:rPr>
      </w:pPr>
    </w:p>
    <w:p w14:paraId="05425E18">
      <w:pPr>
        <w:spacing w:line="600" w:lineRule="exact"/>
        <w:jc w:val="center"/>
        <w:outlineLvl w:val="0"/>
        <w:rPr>
          <w:rFonts w:ascii="Times New Roman" w:hAnsi="Times New Roman" w:eastAsia="黑体" w:cs="Times New Roman"/>
          <w:b/>
          <w:bCs/>
          <w:kern w:val="44"/>
          <w:sz w:val="36"/>
          <w:szCs w:val="52"/>
        </w:rPr>
      </w:pPr>
    </w:p>
    <w:p w14:paraId="5E208227">
      <w:pPr>
        <w:spacing w:line="600" w:lineRule="exact"/>
        <w:jc w:val="center"/>
        <w:outlineLvl w:val="0"/>
        <w:rPr>
          <w:rFonts w:ascii="Times New Roman" w:hAnsi="Times New Roman" w:eastAsia="黑体" w:cs="Times New Roman"/>
          <w:b/>
          <w:bCs/>
          <w:kern w:val="44"/>
          <w:sz w:val="36"/>
          <w:szCs w:val="52"/>
        </w:rPr>
      </w:pPr>
    </w:p>
    <w:p w14:paraId="202DFE4B">
      <w:pPr>
        <w:spacing w:line="600" w:lineRule="exact"/>
        <w:jc w:val="center"/>
        <w:outlineLvl w:val="0"/>
        <w:rPr>
          <w:rFonts w:ascii="Times New Roman" w:hAnsi="Times New Roman" w:eastAsia="黑体" w:cs="Times New Roman"/>
          <w:b/>
          <w:bCs/>
          <w:kern w:val="44"/>
          <w:sz w:val="36"/>
          <w:szCs w:val="52"/>
        </w:rPr>
      </w:pPr>
    </w:p>
    <w:p w14:paraId="1F813AD8">
      <w:pPr>
        <w:spacing w:line="600" w:lineRule="exact"/>
        <w:jc w:val="center"/>
        <w:outlineLvl w:val="0"/>
        <w:rPr>
          <w:rFonts w:ascii="Times New Roman" w:hAnsi="Times New Roman" w:eastAsia="黑体" w:cs="Times New Roman"/>
          <w:b/>
          <w:bCs/>
          <w:kern w:val="44"/>
          <w:sz w:val="36"/>
          <w:szCs w:val="52"/>
        </w:rPr>
      </w:pPr>
    </w:p>
    <w:p w14:paraId="3BBB41C4">
      <w:pPr>
        <w:spacing w:line="600" w:lineRule="exact"/>
        <w:jc w:val="center"/>
        <w:outlineLvl w:val="0"/>
        <w:rPr>
          <w:rFonts w:ascii="Times New Roman" w:hAnsi="Times New Roman" w:eastAsia="黑体" w:cs="Times New Roman"/>
          <w:b/>
          <w:bCs/>
          <w:kern w:val="44"/>
          <w:sz w:val="36"/>
          <w:szCs w:val="52"/>
        </w:rPr>
      </w:pPr>
    </w:p>
    <w:p w14:paraId="19D6D91E">
      <w:pPr>
        <w:spacing w:line="600" w:lineRule="exact"/>
        <w:jc w:val="center"/>
        <w:outlineLvl w:val="0"/>
        <w:rPr>
          <w:rFonts w:ascii="Times New Roman" w:hAnsi="Times New Roman" w:eastAsia="黑体" w:cs="Times New Roman"/>
          <w:b/>
          <w:bCs/>
          <w:kern w:val="44"/>
          <w:sz w:val="36"/>
          <w:szCs w:val="52"/>
        </w:rPr>
      </w:pPr>
    </w:p>
    <w:p w14:paraId="6254105D">
      <w:pPr>
        <w:spacing w:line="600" w:lineRule="exact"/>
        <w:jc w:val="center"/>
        <w:outlineLvl w:val="0"/>
        <w:rPr>
          <w:rFonts w:ascii="Times New Roman" w:hAnsi="Times New Roman" w:eastAsia="黑体" w:cs="Times New Roman"/>
          <w:b/>
          <w:bCs/>
          <w:kern w:val="44"/>
          <w:sz w:val="36"/>
          <w:szCs w:val="52"/>
        </w:rPr>
      </w:pPr>
    </w:p>
    <w:p w14:paraId="4E04B007">
      <w:pPr>
        <w:spacing w:line="600" w:lineRule="exact"/>
        <w:jc w:val="center"/>
        <w:outlineLvl w:val="0"/>
        <w:rPr>
          <w:rFonts w:ascii="Times New Roman" w:hAnsi="Times New Roman" w:eastAsia="黑体" w:cs="Times New Roman"/>
          <w:b/>
          <w:bCs/>
          <w:kern w:val="44"/>
          <w:sz w:val="36"/>
          <w:szCs w:val="52"/>
        </w:rPr>
      </w:pPr>
    </w:p>
    <w:p w14:paraId="24E1DA21">
      <w:pPr>
        <w:spacing w:line="600" w:lineRule="exact"/>
        <w:jc w:val="center"/>
        <w:outlineLvl w:val="0"/>
        <w:rPr>
          <w:rFonts w:ascii="Times New Roman" w:hAnsi="Times New Roman" w:eastAsia="黑体" w:cs="Times New Roman"/>
          <w:b/>
          <w:bCs/>
          <w:kern w:val="44"/>
          <w:sz w:val="36"/>
          <w:szCs w:val="52"/>
        </w:rPr>
      </w:pPr>
    </w:p>
    <w:p w14:paraId="0779F8D0">
      <w:pPr>
        <w:spacing w:line="600" w:lineRule="exact"/>
        <w:jc w:val="center"/>
        <w:outlineLvl w:val="0"/>
        <w:rPr>
          <w:rFonts w:ascii="Times New Roman" w:hAnsi="Times New Roman" w:eastAsia="黑体" w:cs="Times New Roman"/>
          <w:b/>
          <w:bCs/>
          <w:kern w:val="44"/>
          <w:sz w:val="36"/>
          <w:szCs w:val="52"/>
        </w:rPr>
      </w:pPr>
    </w:p>
    <w:p w14:paraId="6D4AE85A">
      <w:pPr>
        <w:spacing w:line="600" w:lineRule="exact"/>
        <w:jc w:val="center"/>
        <w:outlineLvl w:val="0"/>
        <w:rPr>
          <w:rFonts w:ascii="Times New Roman" w:hAnsi="Times New Roman" w:eastAsia="黑体" w:cs="Times New Roman"/>
          <w:b/>
          <w:bCs/>
          <w:kern w:val="44"/>
          <w:sz w:val="36"/>
          <w:szCs w:val="52"/>
        </w:rPr>
      </w:pPr>
    </w:p>
    <w:p w14:paraId="6DC0A5A6">
      <w:pPr>
        <w:spacing w:line="600" w:lineRule="exact"/>
        <w:jc w:val="center"/>
        <w:outlineLvl w:val="0"/>
        <w:rPr>
          <w:rFonts w:ascii="Times New Roman" w:hAnsi="Times New Roman" w:eastAsia="黑体" w:cs="Times New Roman"/>
          <w:b/>
          <w:bCs/>
          <w:kern w:val="44"/>
          <w:sz w:val="36"/>
          <w:szCs w:val="52"/>
        </w:rPr>
      </w:pPr>
    </w:p>
    <w:p w14:paraId="129FD34F">
      <w:pPr>
        <w:spacing w:line="600" w:lineRule="exact"/>
        <w:jc w:val="center"/>
        <w:outlineLvl w:val="0"/>
        <w:rPr>
          <w:rFonts w:ascii="Times New Roman" w:hAnsi="Times New Roman" w:eastAsia="黑体" w:cs="Times New Roman"/>
          <w:b/>
          <w:bCs/>
          <w:kern w:val="44"/>
          <w:sz w:val="36"/>
          <w:szCs w:val="52"/>
        </w:rPr>
      </w:pPr>
    </w:p>
    <w:p w14:paraId="187A36DF">
      <w:pPr>
        <w:spacing w:line="600" w:lineRule="exact"/>
        <w:jc w:val="center"/>
        <w:outlineLvl w:val="0"/>
        <w:rPr>
          <w:rFonts w:ascii="Times New Roman" w:hAnsi="Times New Roman" w:eastAsia="黑体" w:cs="Times New Roman"/>
          <w:b/>
          <w:bCs/>
          <w:kern w:val="44"/>
          <w:sz w:val="36"/>
          <w:szCs w:val="52"/>
        </w:rPr>
      </w:pPr>
    </w:p>
    <w:p w14:paraId="2397D331">
      <w:pPr>
        <w:spacing w:line="600" w:lineRule="exact"/>
        <w:jc w:val="center"/>
        <w:outlineLvl w:val="0"/>
        <w:rPr>
          <w:rFonts w:ascii="Times New Roman" w:hAnsi="Times New Roman" w:eastAsia="黑体" w:cs="Times New Roman"/>
          <w:b/>
          <w:bCs/>
          <w:kern w:val="44"/>
          <w:sz w:val="36"/>
          <w:szCs w:val="52"/>
        </w:rPr>
      </w:pPr>
    </w:p>
    <w:p w14:paraId="128DD1E6">
      <w:pPr>
        <w:spacing w:line="600" w:lineRule="exact"/>
        <w:jc w:val="center"/>
        <w:outlineLvl w:val="0"/>
        <w:rPr>
          <w:rFonts w:ascii="Times New Roman" w:hAnsi="Times New Roman" w:eastAsia="黑体" w:cs="Times New Roman"/>
          <w:b/>
          <w:bCs/>
          <w:kern w:val="44"/>
          <w:sz w:val="36"/>
          <w:szCs w:val="52"/>
        </w:rPr>
      </w:pPr>
    </w:p>
    <w:p w14:paraId="65BA28E3">
      <w:pPr>
        <w:spacing w:line="600" w:lineRule="exact"/>
        <w:jc w:val="center"/>
        <w:outlineLvl w:val="0"/>
        <w:rPr>
          <w:rFonts w:ascii="Times New Roman" w:hAnsi="Times New Roman" w:eastAsia="黑体" w:cs="Times New Roman"/>
          <w:b/>
          <w:bCs/>
          <w:kern w:val="44"/>
          <w:sz w:val="36"/>
          <w:szCs w:val="52"/>
        </w:rPr>
      </w:pPr>
    </w:p>
    <w:p w14:paraId="31BF7F7B">
      <w:pPr>
        <w:spacing w:line="600" w:lineRule="exact"/>
        <w:jc w:val="center"/>
        <w:outlineLvl w:val="0"/>
        <w:rPr>
          <w:rFonts w:ascii="Times New Roman" w:hAnsi="Times New Roman" w:eastAsia="黑体" w:cs="Times New Roman"/>
          <w:b/>
          <w:bCs/>
          <w:kern w:val="44"/>
          <w:sz w:val="36"/>
          <w:szCs w:val="52"/>
        </w:rPr>
      </w:pPr>
    </w:p>
    <w:p w14:paraId="1A8A648F">
      <w:pPr>
        <w:spacing w:line="600" w:lineRule="exact"/>
        <w:jc w:val="center"/>
        <w:outlineLvl w:val="0"/>
        <w:rPr>
          <w:rFonts w:ascii="Times New Roman" w:hAnsi="Times New Roman" w:eastAsia="黑体" w:cs="Times New Roman"/>
          <w:b/>
          <w:bCs/>
          <w:kern w:val="44"/>
          <w:sz w:val="36"/>
          <w:szCs w:val="52"/>
        </w:rPr>
      </w:pPr>
    </w:p>
    <w:p w14:paraId="4A407161">
      <w:pPr>
        <w:spacing w:line="600" w:lineRule="exact"/>
        <w:jc w:val="center"/>
        <w:outlineLvl w:val="0"/>
        <w:rPr>
          <w:rFonts w:ascii="Times New Roman" w:hAnsi="Times New Roman" w:eastAsia="黑体" w:cs="Times New Roman"/>
          <w:b/>
          <w:bCs/>
          <w:kern w:val="44"/>
          <w:sz w:val="36"/>
          <w:szCs w:val="52"/>
        </w:rPr>
      </w:pPr>
    </w:p>
    <w:p w14:paraId="254A6F41">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3.5调查结果及各方意见采纳</w:t>
      </w:r>
    </w:p>
    <w:p w14:paraId="339AE25C">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3.5.1《天津市北辰区全面推进美丽北辰建设暨持续深入打好污染防治攻坚战2025年工作计划（征求意见稿）》公众意见征求结果</w:t>
      </w:r>
    </w:p>
    <w:p w14:paraId="57EAC3C7">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天津市北辰区生态环境局于2025年5月26日-6月25日，通过天津市北辰区人民政府官网，向社会征求《天津市北辰区全面推进美丽北辰建设暨持续深入打好污染防治攻坚战2025年工作计划（征求意见稿）》意见，公示期间未收到反对意见及相关建议。</w:t>
      </w:r>
    </w:p>
    <w:p w14:paraId="646599C2">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drawing>
          <wp:anchor distT="0" distB="0" distL="114300" distR="114300" simplePos="0" relativeHeight="251667456" behindDoc="1" locked="0" layoutInCell="1" allowOverlap="1">
            <wp:simplePos x="0" y="0"/>
            <wp:positionH relativeFrom="column">
              <wp:posOffset>102235</wp:posOffset>
            </wp:positionH>
            <wp:positionV relativeFrom="paragraph">
              <wp:posOffset>116840</wp:posOffset>
            </wp:positionV>
            <wp:extent cx="5266055" cy="2766060"/>
            <wp:effectExtent l="0" t="0" r="10795" b="15240"/>
            <wp:wrapNone/>
            <wp:docPr id="8" name="图片 8" descr="fa30718ab22b550f3c6851488f50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a30718ab22b550f3c6851488f507b3"/>
                    <pic:cNvPicPr>
                      <a:picLocks noChangeAspect="1"/>
                    </pic:cNvPicPr>
                  </pic:nvPicPr>
                  <pic:blipFill>
                    <a:blip r:embed="rId11"/>
                    <a:stretch>
                      <a:fillRect/>
                    </a:stretch>
                  </pic:blipFill>
                  <pic:spPr>
                    <a:xfrm>
                      <a:off x="0" y="0"/>
                      <a:ext cx="5266055" cy="2766060"/>
                    </a:xfrm>
                    <a:prstGeom prst="rect">
                      <a:avLst/>
                    </a:prstGeom>
                  </pic:spPr>
                </pic:pic>
              </a:graphicData>
            </a:graphic>
          </wp:anchor>
        </w:drawing>
      </w:r>
    </w:p>
    <w:p w14:paraId="28C899F8">
      <w:pPr>
        <w:spacing w:line="600" w:lineRule="exact"/>
        <w:jc w:val="center"/>
        <w:outlineLvl w:val="0"/>
        <w:rPr>
          <w:rFonts w:ascii="Times New Roman" w:hAnsi="Times New Roman" w:eastAsia="黑体" w:cs="Times New Roman"/>
          <w:b/>
          <w:bCs/>
          <w:kern w:val="44"/>
          <w:sz w:val="36"/>
          <w:szCs w:val="52"/>
        </w:rPr>
      </w:pPr>
    </w:p>
    <w:p w14:paraId="32C7878D">
      <w:pPr>
        <w:spacing w:line="600" w:lineRule="exact"/>
        <w:jc w:val="center"/>
        <w:outlineLvl w:val="0"/>
        <w:rPr>
          <w:rFonts w:ascii="Times New Roman" w:hAnsi="Times New Roman" w:eastAsia="黑体" w:cs="Times New Roman"/>
          <w:b/>
          <w:bCs/>
          <w:kern w:val="44"/>
          <w:sz w:val="36"/>
          <w:szCs w:val="52"/>
        </w:rPr>
      </w:pPr>
    </w:p>
    <w:p w14:paraId="2BA7F880">
      <w:pPr>
        <w:spacing w:line="600" w:lineRule="exact"/>
        <w:jc w:val="center"/>
        <w:outlineLvl w:val="0"/>
        <w:rPr>
          <w:rFonts w:ascii="Times New Roman" w:hAnsi="Times New Roman" w:eastAsia="黑体" w:cs="Times New Roman"/>
          <w:b/>
          <w:bCs/>
          <w:kern w:val="44"/>
          <w:sz w:val="36"/>
          <w:szCs w:val="52"/>
        </w:rPr>
      </w:pPr>
    </w:p>
    <w:p w14:paraId="65F51CE4">
      <w:pPr>
        <w:spacing w:line="600" w:lineRule="exact"/>
        <w:jc w:val="center"/>
        <w:outlineLvl w:val="0"/>
        <w:rPr>
          <w:rFonts w:ascii="Times New Roman" w:hAnsi="Times New Roman" w:eastAsia="黑体" w:cs="Times New Roman"/>
          <w:b/>
          <w:bCs/>
          <w:kern w:val="44"/>
          <w:sz w:val="36"/>
          <w:szCs w:val="52"/>
        </w:rPr>
      </w:pPr>
    </w:p>
    <w:p w14:paraId="0762413B">
      <w:pPr>
        <w:spacing w:line="600" w:lineRule="exact"/>
        <w:jc w:val="center"/>
        <w:outlineLvl w:val="0"/>
        <w:rPr>
          <w:rFonts w:ascii="Times New Roman" w:hAnsi="Times New Roman" w:eastAsia="黑体" w:cs="Times New Roman"/>
          <w:b/>
          <w:bCs/>
          <w:kern w:val="44"/>
          <w:sz w:val="36"/>
          <w:szCs w:val="52"/>
        </w:rPr>
      </w:pPr>
    </w:p>
    <w:p w14:paraId="5F6D2536">
      <w:pPr>
        <w:spacing w:line="600" w:lineRule="exact"/>
        <w:jc w:val="center"/>
        <w:outlineLvl w:val="0"/>
        <w:rPr>
          <w:rFonts w:ascii="Times New Roman" w:hAnsi="Times New Roman" w:eastAsia="黑体" w:cs="Times New Roman"/>
          <w:b/>
          <w:bCs/>
          <w:kern w:val="44"/>
          <w:sz w:val="36"/>
          <w:szCs w:val="52"/>
        </w:rPr>
      </w:pPr>
    </w:p>
    <w:p w14:paraId="79396BF8">
      <w:pPr>
        <w:spacing w:line="600" w:lineRule="exact"/>
        <w:jc w:val="center"/>
        <w:outlineLvl w:val="0"/>
        <w:rPr>
          <w:rFonts w:ascii="Times New Roman" w:hAnsi="Times New Roman" w:eastAsia="黑体" w:cs="Times New Roman"/>
          <w:b/>
          <w:bCs/>
          <w:kern w:val="44"/>
          <w:sz w:val="36"/>
          <w:szCs w:val="52"/>
        </w:rPr>
      </w:pPr>
    </w:p>
    <w:p w14:paraId="2AF003C1">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3.5.2《天津市北辰区全面推进美丽北辰建设暨持续深入打好污染防治攻坚战2025年工作计划（征求意见稿）》专家论证意见及修改情况</w:t>
      </w:r>
    </w:p>
    <w:p w14:paraId="54CCC3ED">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2025年8月27日，顺利通过《天津市北辰区全面推进美丽北辰建设暨持续深入打好污染防治攻坚战2025年工作计划》专家会，并根据专家意见进行修改完善。</w:t>
      </w:r>
    </w:p>
    <w:p w14:paraId="4E853982">
      <w:pPr>
        <w:spacing w:line="600" w:lineRule="exact"/>
        <w:jc w:val="center"/>
        <w:outlineLvl w:val="0"/>
        <w:rPr>
          <w:rFonts w:ascii="Times New Roman" w:hAnsi="Times New Roman" w:eastAsia="黑体" w:cs="Times New Roman"/>
          <w:b/>
          <w:bCs/>
          <w:kern w:val="44"/>
          <w:sz w:val="36"/>
          <w:szCs w:val="52"/>
        </w:rPr>
      </w:pPr>
      <w:r>
        <w:rPr>
          <w:rFonts w:hint="eastAsia" w:ascii="Times New Roman" w:hAnsi="Times New Roman" w:eastAsia="黑体" w:cs="Times New Roman"/>
          <w:b/>
          <w:bCs/>
          <w:kern w:val="44"/>
          <w:sz w:val="36"/>
          <w:szCs w:val="52"/>
        </w:rPr>
        <w:drawing>
          <wp:anchor distT="0" distB="0" distL="114300" distR="114300" simplePos="0" relativeHeight="251668480" behindDoc="1" locked="0" layoutInCell="1" allowOverlap="1">
            <wp:simplePos x="0" y="0"/>
            <wp:positionH relativeFrom="column">
              <wp:posOffset>43815</wp:posOffset>
            </wp:positionH>
            <wp:positionV relativeFrom="paragraph">
              <wp:posOffset>212725</wp:posOffset>
            </wp:positionV>
            <wp:extent cx="5264150" cy="3624580"/>
            <wp:effectExtent l="0" t="0" r="12700" b="13970"/>
            <wp:wrapNone/>
            <wp:docPr id="10" name="图片 10" descr="4aa0a52a3515e77933284a60d9a9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a0a52a3515e77933284a60d9a9f88"/>
                    <pic:cNvPicPr>
                      <a:picLocks noChangeAspect="1"/>
                    </pic:cNvPicPr>
                  </pic:nvPicPr>
                  <pic:blipFill>
                    <a:blip r:embed="rId12"/>
                    <a:stretch>
                      <a:fillRect/>
                    </a:stretch>
                  </pic:blipFill>
                  <pic:spPr>
                    <a:xfrm>
                      <a:off x="0" y="0"/>
                      <a:ext cx="5264150" cy="3624580"/>
                    </a:xfrm>
                    <a:prstGeom prst="rect">
                      <a:avLst/>
                    </a:prstGeom>
                  </pic:spPr>
                </pic:pic>
              </a:graphicData>
            </a:graphic>
          </wp:anchor>
        </w:drawing>
      </w:r>
    </w:p>
    <w:p w14:paraId="67FC04F8">
      <w:pPr>
        <w:spacing w:line="600" w:lineRule="exact"/>
        <w:jc w:val="center"/>
        <w:outlineLvl w:val="0"/>
        <w:rPr>
          <w:rFonts w:ascii="Times New Roman" w:hAnsi="Times New Roman" w:eastAsia="黑体" w:cs="Times New Roman"/>
          <w:b/>
          <w:bCs/>
          <w:kern w:val="44"/>
          <w:sz w:val="36"/>
          <w:szCs w:val="52"/>
        </w:rPr>
      </w:pPr>
    </w:p>
    <w:p w14:paraId="4A5788A4">
      <w:pPr>
        <w:spacing w:line="600" w:lineRule="exact"/>
        <w:jc w:val="center"/>
        <w:outlineLvl w:val="0"/>
        <w:rPr>
          <w:rFonts w:ascii="Times New Roman" w:hAnsi="Times New Roman" w:eastAsia="黑体" w:cs="Times New Roman"/>
          <w:b/>
          <w:bCs/>
          <w:kern w:val="44"/>
          <w:sz w:val="36"/>
          <w:szCs w:val="52"/>
        </w:rPr>
      </w:pPr>
    </w:p>
    <w:p w14:paraId="1B21E0A9">
      <w:pPr>
        <w:spacing w:line="600" w:lineRule="exact"/>
        <w:jc w:val="center"/>
        <w:outlineLvl w:val="0"/>
        <w:rPr>
          <w:rFonts w:ascii="Times New Roman" w:hAnsi="Times New Roman" w:eastAsia="黑体" w:cs="Times New Roman"/>
          <w:b/>
          <w:bCs/>
          <w:kern w:val="44"/>
          <w:sz w:val="36"/>
          <w:szCs w:val="52"/>
        </w:rPr>
      </w:pPr>
    </w:p>
    <w:p w14:paraId="7DB46824">
      <w:pPr>
        <w:spacing w:line="600" w:lineRule="exact"/>
        <w:jc w:val="center"/>
        <w:outlineLvl w:val="0"/>
        <w:rPr>
          <w:rFonts w:ascii="Times New Roman" w:hAnsi="Times New Roman" w:eastAsia="黑体" w:cs="Times New Roman"/>
          <w:b/>
          <w:bCs/>
          <w:kern w:val="44"/>
          <w:sz w:val="36"/>
          <w:szCs w:val="52"/>
        </w:rPr>
      </w:pPr>
    </w:p>
    <w:p w14:paraId="0D0C287D">
      <w:pPr>
        <w:spacing w:line="600" w:lineRule="exact"/>
        <w:jc w:val="center"/>
        <w:outlineLvl w:val="0"/>
        <w:rPr>
          <w:rFonts w:ascii="Times New Roman" w:hAnsi="Times New Roman" w:eastAsia="黑体" w:cs="Times New Roman"/>
          <w:b/>
          <w:bCs/>
          <w:kern w:val="44"/>
          <w:sz w:val="36"/>
          <w:szCs w:val="52"/>
        </w:rPr>
      </w:pPr>
    </w:p>
    <w:p w14:paraId="2679FD2F">
      <w:pPr>
        <w:spacing w:line="600" w:lineRule="exact"/>
        <w:jc w:val="center"/>
        <w:outlineLvl w:val="0"/>
        <w:rPr>
          <w:rFonts w:ascii="Times New Roman" w:hAnsi="Times New Roman" w:eastAsia="黑体" w:cs="Times New Roman"/>
          <w:b/>
          <w:bCs/>
          <w:kern w:val="44"/>
          <w:sz w:val="36"/>
          <w:szCs w:val="52"/>
        </w:rPr>
      </w:pPr>
    </w:p>
    <w:p w14:paraId="30F2A946">
      <w:pPr>
        <w:spacing w:line="600" w:lineRule="exact"/>
        <w:jc w:val="center"/>
        <w:outlineLvl w:val="0"/>
        <w:rPr>
          <w:rFonts w:ascii="Times New Roman" w:hAnsi="Times New Roman" w:eastAsia="黑体" w:cs="Times New Roman"/>
          <w:b/>
          <w:bCs/>
          <w:kern w:val="44"/>
          <w:sz w:val="36"/>
          <w:szCs w:val="52"/>
        </w:rPr>
      </w:pPr>
    </w:p>
    <w:p w14:paraId="6854BAEB">
      <w:pPr>
        <w:spacing w:line="600" w:lineRule="exact"/>
        <w:jc w:val="center"/>
        <w:outlineLvl w:val="0"/>
        <w:rPr>
          <w:rFonts w:ascii="Times New Roman" w:hAnsi="Times New Roman" w:eastAsia="黑体" w:cs="Times New Roman"/>
          <w:b/>
          <w:bCs/>
          <w:kern w:val="44"/>
          <w:sz w:val="36"/>
          <w:szCs w:val="52"/>
        </w:rPr>
      </w:pPr>
    </w:p>
    <w:p w14:paraId="1593B712">
      <w:pPr>
        <w:spacing w:line="600" w:lineRule="exact"/>
        <w:jc w:val="center"/>
        <w:outlineLvl w:val="0"/>
        <w:rPr>
          <w:rFonts w:ascii="Times New Roman" w:hAnsi="Times New Roman" w:eastAsia="黑体" w:cs="Times New Roman"/>
          <w:b/>
          <w:bCs/>
          <w:kern w:val="44"/>
          <w:sz w:val="36"/>
          <w:szCs w:val="52"/>
        </w:rPr>
      </w:pPr>
    </w:p>
    <w:p w14:paraId="5EE2DE04">
      <w:pPr>
        <w:spacing w:line="600" w:lineRule="exact"/>
        <w:jc w:val="center"/>
        <w:outlineLvl w:val="0"/>
        <w:rPr>
          <w:rFonts w:ascii="Times New Roman" w:hAnsi="Times New Roman" w:eastAsia="黑体" w:cs="Times New Roman"/>
          <w:b/>
          <w:bCs/>
          <w:kern w:val="44"/>
          <w:sz w:val="36"/>
          <w:szCs w:val="52"/>
        </w:rPr>
      </w:pPr>
      <w:r>
        <w:rPr>
          <w:rFonts w:hint="eastAsia" w:ascii="Times New Roman" w:hAnsi="Times New Roman" w:eastAsia="黑体" w:cs="Times New Roman"/>
          <w:b/>
          <w:bCs/>
          <w:kern w:val="44"/>
          <w:sz w:val="36"/>
          <w:szCs w:val="52"/>
        </w:rPr>
        <w:drawing>
          <wp:anchor distT="0" distB="0" distL="114300" distR="114300" simplePos="0" relativeHeight="251669504" behindDoc="1" locked="0" layoutInCell="1" allowOverlap="1">
            <wp:simplePos x="0" y="0"/>
            <wp:positionH relativeFrom="column">
              <wp:posOffset>21590</wp:posOffset>
            </wp:positionH>
            <wp:positionV relativeFrom="paragraph">
              <wp:posOffset>234315</wp:posOffset>
            </wp:positionV>
            <wp:extent cx="5272405" cy="4658995"/>
            <wp:effectExtent l="0" t="0" r="4445" b="8255"/>
            <wp:wrapNone/>
            <wp:docPr id="11" name="图片 11" descr="95e6fc33606d06658ce6aca5608c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5e6fc33606d06658ce6aca5608c4c6"/>
                    <pic:cNvPicPr>
                      <a:picLocks noChangeAspect="1"/>
                    </pic:cNvPicPr>
                  </pic:nvPicPr>
                  <pic:blipFill>
                    <a:blip r:embed="rId13"/>
                    <a:stretch>
                      <a:fillRect/>
                    </a:stretch>
                  </pic:blipFill>
                  <pic:spPr>
                    <a:xfrm>
                      <a:off x="0" y="0"/>
                      <a:ext cx="5272405" cy="4658995"/>
                    </a:xfrm>
                    <a:prstGeom prst="rect">
                      <a:avLst/>
                    </a:prstGeom>
                  </pic:spPr>
                </pic:pic>
              </a:graphicData>
            </a:graphic>
          </wp:anchor>
        </w:drawing>
      </w:r>
    </w:p>
    <w:p w14:paraId="406C2D4C">
      <w:pPr>
        <w:spacing w:line="600" w:lineRule="exact"/>
        <w:jc w:val="center"/>
        <w:outlineLvl w:val="0"/>
        <w:rPr>
          <w:rFonts w:ascii="Times New Roman" w:hAnsi="Times New Roman" w:eastAsia="黑体" w:cs="Times New Roman"/>
          <w:b/>
          <w:bCs/>
          <w:kern w:val="44"/>
          <w:sz w:val="36"/>
          <w:szCs w:val="52"/>
        </w:rPr>
      </w:pPr>
    </w:p>
    <w:p w14:paraId="1112A164">
      <w:pPr>
        <w:spacing w:line="600" w:lineRule="exact"/>
        <w:jc w:val="center"/>
        <w:outlineLvl w:val="0"/>
        <w:rPr>
          <w:rFonts w:ascii="Times New Roman" w:hAnsi="Times New Roman" w:eastAsia="黑体" w:cs="Times New Roman"/>
          <w:b/>
          <w:bCs/>
          <w:kern w:val="44"/>
          <w:sz w:val="36"/>
          <w:szCs w:val="52"/>
        </w:rPr>
      </w:pPr>
    </w:p>
    <w:p w14:paraId="12C63892">
      <w:pPr>
        <w:spacing w:line="600" w:lineRule="exact"/>
        <w:jc w:val="center"/>
        <w:outlineLvl w:val="0"/>
        <w:rPr>
          <w:rFonts w:ascii="Times New Roman" w:hAnsi="Times New Roman" w:eastAsia="黑体" w:cs="Times New Roman"/>
          <w:b/>
          <w:bCs/>
          <w:kern w:val="44"/>
          <w:sz w:val="36"/>
          <w:szCs w:val="52"/>
        </w:rPr>
      </w:pPr>
    </w:p>
    <w:p w14:paraId="5974F834">
      <w:pPr>
        <w:spacing w:line="600" w:lineRule="exact"/>
        <w:jc w:val="center"/>
        <w:outlineLvl w:val="0"/>
        <w:rPr>
          <w:rFonts w:ascii="Times New Roman" w:hAnsi="Times New Roman" w:eastAsia="黑体" w:cs="Times New Roman"/>
          <w:b/>
          <w:bCs/>
          <w:kern w:val="44"/>
          <w:sz w:val="36"/>
          <w:szCs w:val="52"/>
        </w:rPr>
      </w:pPr>
    </w:p>
    <w:p w14:paraId="7762C172">
      <w:pPr>
        <w:spacing w:line="600" w:lineRule="exact"/>
        <w:jc w:val="center"/>
        <w:outlineLvl w:val="0"/>
        <w:rPr>
          <w:rFonts w:ascii="Times New Roman" w:hAnsi="Times New Roman" w:eastAsia="黑体" w:cs="Times New Roman"/>
          <w:b/>
          <w:bCs/>
          <w:kern w:val="44"/>
          <w:sz w:val="36"/>
          <w:szCs w:val="52"/>
        </w:rPr>
      </w:pPr>
    </w:p>
    <w:p w14:paraId="22A43B76">
      <w:pPr>
        <w:spacing w:line="600" w:lineRule="exact"/>
        <w:jc w:val="center"/>
        <w:outlineLvl w:val="0"/>
        <w:rPr>
          <w:rFonts w:ascii="Times New Roman" w:hAnsi="Times New Roman" w:eastAsia="黑体" w:cs="Times New Roman"/>
          <w:b/>
          <w:bCs/>
          <w:kern w:val="44"/>
          <w:sz w:val="36"/>
          <w:szCs w:val="52"/>
        </w:rPr>
      </w:pPr>
    </w:p>
    <w:p w14:paraId="1189D9E3">
      <w:pPr>
        <w:spacing w:line="600" w:lineRule="exact"/>
        <w:jc w:val="center"/>
        <w:outlineLvl w:val="0"/>
        <w:rPr>
          <w:rFonts w:ascii="Times New Roman" w:hAnsi="Times New Roman" w:eastAsia="黑体" w:cs="Times New Roman"/>
          <w:b/>
          <w:bCs/>
          <w:kern w:val="44"/>
          <w:sz w:val="36"/>
          <w:szCs w:val="52"/>
        </w:rPr>
      </w:pPr>
    </w:p>
    <w:p w14:paraId="70789FE5">
      <w:pPr>
        <w:spacing w:line="600" w:lineRule="exact"/>
        <w:jc w:val="center"/>
        <w:outlineLvl w:val="0"/>
        <w:rPr>
          <w:rFonts w:ascii="Times New Roman" w:hAnsi="Times New Roman" w:eastAsia="黑体" w:cs="Times New Roman"/>
          <w:b/>
          <w:bCs/>
          <w:kern w:val="44"/>
          <w:sz w:val="36"/>
          <w:szCs w:val="52"/>
        </w:rPr>
      </w:pPr>
    </w:p>
    <w:p w14:paraId="5E9B0A80">
      <w:pPr>
        <w:spacing w:line="600" w:lineRule="exact"/>
        <w:jc w:val="center"/>
        <w:outlineLvl w:val="0"/>
        <w:rPr>
          <w:rFonts w:ascii="Times New Roman" w:hAnsi="Times New Roman" w:eastAsia="黑体" w:cs="Times New Roman"/>
          <w:b/>
          <w:bCs/>
          <w:kern w:val="44"/>
          <w:sz w:val="36"/>
          <w:szCs w:val="52"/>
        </w:rPr>
      </w:pPr>
    </w:p>
    <w:p w14:paraId="7CEEC981">
      <w:pPr>
        <w:spacing w:line="600" w:lineRule="exact"/>
        <w:jc w:val="center"/>
        <w:outlineLvl w:val="0"/>
        <w:rPr>
          <w:rFonts w:ascii="Times New Roman" w:hAnsi="Times New Roman" w:eastAsia="黑体" w:cs="Times New Roman"/>
          <w:b/>
          <w:bCs/>
          <w:kern w:val="44"/>
          <w:sz w:val="36"/>
          <w:szCs w:val="52"/>
        </w:rPr>
      </w:pPr>
    </w:p>
    <w:p w14:paraId="6FB5677A">
      <w:pPr>
        <w:spacing w:line="600" w:lineRule="exact"/>
        <w:jc w:val="center"/>
        <w:outlineLvl w:val="0"/>
        <w:rPr>
          <w:rFonts w:ascii="Times New Roman" w:hAnsi="Times New Roman" w:eastAsia="黑体" w:cs="Times New Roman"/>
          <w:b/>
          <w:bCs/>
          <w:kern w:val="44"/>
          <w:sz w:val="36"/>
          <w:szCs w:val="52"/>
        </w:rPr>
      </w:pPr>
    </w:p>
    <w:p w14:paraId="1D4F98DA">
      <w:pPr>
        <w:spacing w:line="600" w:lineRule="exact"/>
        <w:jc w:val="center"/>
        <w:outlineLvl w:val="0"/>
        <w:rPr>
          <w:rFonts w:ascii="Times New Roman" w:hAnsi="Times New Roman" w:eastAsia="黑体" w:cs="Times New Roman"/>
          <w:b/>
          <w:bCs/>
          <w:kern w:val="44"/>
          <w:sz w:val="36"/>
          <w:szCs w:val="52"/>
        </w:rPr>
      </w:pPr>
    </w:p>
    <w:p w14:paraId="11A79B78">
      <w:pPr>
        <w:spacing w:line="600" w:lineRule="exact"/>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3.5.3区级单位及镇街对该事项实施的意见及修改情况</w:t>
      </w:r>
    </w:p>
    <w:p w14:paraId="66040DE1">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针对</w:t>
      </w:r>
      <w:r>
        <w:rPr>
          <w:rFonts w:hint="eastAsia" w:ascii="仿宋_GB2312" w:hAnsi="仿宋" w:eastAsia="仿宋_GB2312" w:cs="Times New Roman"/>
          <w:sz w:val="32"/>
          <w:szCs w:val="40"/>
        </w:rPr>
        <w:t>天津市北辰区生态环境局2025年4月14日、4月22日，以下发</w:t>
      </w:r>
      <w:r>
        <w:rPr>
          <w:rFonts w:ascii="仿宋_GB2312" w:hAnsi="仿宋_GB2312" w:eastAsia="仿宋_GB2312" w:cs="仿宋_GB2312"/>
          <w:kern w:val="44"/>
          <w:sz w:val="34"/>
          <w:szCs w:val="34"/>
        </w:rPr>
        <w:t>《</w:t>
      </w:r>
      <w:r>
        <w:rPr>
          <w:rFonts w:hint="eastAsia" w:ascii="仿宋_GB2312" w:hAnsi="仿宋_GB2312" w:eastAsia="仿宋_GB2312" w:cs="仿宋_GB2312"/>
          <w:kern w:val="44"/>
          <w:sz w:val="34"/>
          <w:szCs w:val="34"/>
        </w:rPr>
        <w:t>天津市北辰区全面推进美丽北辰建设暨持续深入打好污染防治攻坚战2025年工作计划</w:t>
      </w:r>
      <w:r>
        <w:rPr>
          <w:rFonts w:ascii="仿宋_GB2312" w:hAnsi="仿宋_GB2312" w:eastAsia="仿宋_GB2312" w:cs="仿宋_GB2312"/>
          <w:kern w:val="44"/>
          <w:sz w:val="34"/>
          <w:szCs w:val="34"/>
        </w:rPr>
        <w:t>(征求意见稿)》</w:t>
      </w:r>
      <w:r>
        <w:rPr>
          <w:rFonts w:hint="eastAsia" w:ascii="仿宋_GB2312" w:hAnsi="仿宋_GB2312" w:eastAsia="仿宋_GB2312" w:cs="仿宋_GB2312"/>
          <w:kern w:val="44"/>
          <w:sz w:val="34"/>
          <w:szCs w:val="34"/>
        </w:rPr>
        <w:t>的函。区发改委、区城管委、区住建委、区农委、区工信局、区商务局、区卫健委、公安北辰分局、规自北辰分局、区水务局、土整中心、区财政局、区运管局、区市场监管局、区应急管理局、区气象局、区教育局各镇街及开发区均已回函反馈修改意见建议。</w:t>
      </w:r>
    </w:p>
    <w:p w14:paraId="44954EEC">
      <w:pPr>
        <w:spacing w:line="600" w:lineRule="exact"/>
        <w:ind w:firstLine="723" w:firstLineChars="200"/>
        <w:outlineLvl w:val="0"/>
        <w:rPr>
          <w:rFonts w:hint="eastAsia" w:ascii="仿宋_GB2312" w:hAnsi="仿宋_GB2312" w:eastAsia="仿宋_GB2312" w:cs="仿宋_GB2312"/>
          <w:kern w:val="44"/>
          <w:sz w:val="34"/>
          <w:szCs w:val="34"/>
        </w:rPr>
      </w:pPr>
      <w:r>
        <w:rPr>
          <w:rFonts w:hint="eastAsia" w:ascii="Times New Roman" w:hAnsi="Times New Roman" w:eastAsia="黑体" w:cs="Times New Roman"/>
          <w:b/>
          <w:bCs/>
          <w:kern w:val="44"/>
          <w:sz w:val="36"/>
          <w:szCs w:val="52"/>
        </w:rPr>
        <w:drawing>
          <wp:anchor distT="0" distB="0" distL="114300" distR="114300" simplePos="0" relativeHeight="251670528" behindDoc="1" locked="0" layoutInCell="1" allowOverlap="1">
            <wp:simplePos x="0" y="0"/>
            <wp:positionH relativeFrom="column">
              <wp:posOffset>1092200</wp:posOffset>
            </wp:positionH>
            <wp:positionV relativeFrom="paragraph">
              <wp:posOffset>189230</wp:posOffset>
            </wp:positionV>
            <wp:extent cx="3248025" cy="5154930"/>
            <wp:effectExtent l="0" t="0" r="9525" b="7620"/>
            <wp:wrapNone/>
            <wp:docPr id="12" name="图片 12" descr="a9c002730ee9438f220458f3b06d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c002730ee9438f220458f3b06d897"/>
                    <pic:cNvPicPr>
                      <a:picLocks noChangeAspect="1"/>
                    </pic:cNvPicPr>
                  </pic:nvPicPr>
                  <pic:blipFill>
                    <a:blip r:embed="rId14"/>
                    <a:stretch>
                      <a:fillRect/>
                    </a:stretch>
                  </pic:blipFill>
                  <pic:spPr>
                    <a:xfrm>
                      <a:off x="0" y="0"/>
                      <a:ext cx="3248025" cy="5154930"/>
                    </a:xfrm>
                    <a:prstGeom prst="rect">
                      <a:avLst/>
                    </a:prstGeom>
                  </pic:spPr>
                </pic:pic>
              </a:graphicData>
            </a:graphic>
          </wp:anchor>
        </w:drawing>
      </w:r>
    </w:p>
    <w:p w14:paraId="2F0199F0">
      <w:pPr>
        <w:spacing w:line="600" w:lineRule="exact"/>
        <w:outlineLvl w:val="0"/>
        <w:rPr>
          <w:rFonts w:ascii="Times New Roman" w:hAnsi="Times New Roman" w:eastAsia="黑体" w:cs="Times New Roman"/>
          <w:b/>
          <w:bCs/>
          <w:kern w:val="44"/>
          <w:sz w:val="36"/>
          <w:szCs w:val="52"/>
        </w:rPr>
      </w:pPr>
    </w:p>
    <w:p w14:paraId="6B7B5CBC">
      <w:pPr>
        <w:spacing w:line="600" w:lineRule="exact"/>
        <w:outlineLvl w:val="0"/>
        <w:rPr>
          <w:rFonts w:ascii="Times New Roman" w:hAnsi="Times New Roman" w:eastAsia="黑体" w:cs="Times New Roman"/>
          <w:b/>
          <w:bCs/>
          <w:kern w:val="44"/>
          <w:sz w:val="36"/>
          <w:szCs w:val="52"/>
        </w:rPr>
      </w:pPr>
    </w:p>
    <w:p w14:paraId="76A17C40">
      <w:pPr>
        <w:spacing w:line="600" w:lineRule="exact"/>
        <w:outlineLvl w:val="0"/>
        <w:rPr>
          <w:rFonts w:ascii="Times New Roman" w:hAnsi="Times New Roman" w:eastAsia="黑体" w:cs="Times New Roman"/>
          <w:b/>
          <w:bCs/>
          <w:kern w:val="44"/>
          <w:sz w:val="36"/>
          <w:szCs w:val="52"/>
        </w:rPr>
      </w:pPr>
    </w:p>
    <w:p w14:paraId="2C288914">
      <w:pPr>
        <w:spacing w:line="600" w:lineRule="exact"/>
        <w:outlineLvl w:val="0"/>
        <w:rPr>
          <w:rFonts w:ascii="Times New Roman" w:hAnsi="Times New Roman" w:eastAsia="黑体" w:cs="Times New Roman"/>
          <w:b/>
          <w:bCs/>
          <w:kern w:val="44"/>
          <w:sz w:val="36"/>
          <w:szCs w:val="52"/>
        </w:rPr>
      </w:pPr>
    </w:p>
    <w:p w14:paraId="2A1F9869">
      <w:pPr>
        <w:spacing w:line="600" w:lineRule="exact"/>
        <w:outlineLvl w:val="0"/>
        <w:rPr>
          <w:rFonts w:ascii="Times New Roman" w:hAnsi="Times New Roman" w:eastAsia="黑体" w:cs="Times New Roman"/>
          <w:b/>
          <w:bCs/>
          <w:kern w:val="44"/>
          <w:sz w:val="36"/>
          <w:szCs w:val="52"/>
        </w:rPr>
      </w:pPr>
    </w:p>
    <w:p w14:paraId="1926CD50">
      <w:pPr>
        <w:spacing w:line="600" w:lineRule="exact"/>
        <w:outlineLvl w:val="0"/>
        <w:rPr>
          <w:rFonts w:ascii="Times New Roman" w:hAnsi="Times New Roman" w:eastAsia="黑体" w:cs="Times New Roman"/>
          <w:b/>
          <w:bCs/>
          <w:kern w:val="44"/>
          <w:sz w:val="36"/>
          <w:szCs w:val="52"/>
        </w:rPr>
      </w:pPr>
    </w:p>
    <w:p w14:paraId="009F2F63">
      <w:pPr>
        <w:spacing w:line="600" w:lineRule="exact"/>
        <w:outlineLvl w:val="0"/>
        <w:rPr>
          <w:rFonts w:ascii="Times New Roman" w:hAnsi="Times New Roman" w:eastAsia="黑体" w:cs="Times New Roman"/>
          <w:b/>
          <w:bCs/>
          <w:kern w:val="44"/>
          <w:sz w:val="36"/>
          <w:szCs w:val="52"/>
        </w:rPr>
      </w:pPr>
    </w:p>
    <w:p w14:paraId="75E99AB7">
      <w:pPr>
        <w:spacing w:line="600" w:lineRule="exact"/>
        <w:outlineLvl w:val="0"/>
        <w:rPr>
          <w:rFonts w:ascii="Times New Roman" w:hAnsi="Times New Roman" w:eastAsia="黑体" w:cs="Times New Roman"/>
          <w:b/>
          <w:bCs/>
          <w:kern w:val="44"/>
          <w:sz w:val="36"/>
          <w:szCs w:val="52"/>
        </w:rPr>
      </w:pPr>
    </w:p>
    <w:p w14:paraId="1DE14FB3">
      <w:pPr>
        <w:spacing w:line="600" w:lineRule="exact"/>
        <w:outlineLvl w:val="0"/>
        <w:rPr>
          <w:rFonts w:ascii="Times New Roman" w:hAnsi="Times New Roman" w:eastAsia="黑体" w:cs="Times New Roman"/>
          <w:b/>
          <w:bCs/>
          <w:kern w:val="44"/>
          <w:sz w:val="36"/>
          <w:szCs w:val="52"/>
        </w:rPr>
      </w:pPr>
    </w:p>
    <w:p w14:paraId="67BB56B9">
      <w:pPr>
        <w:spacing w:line="600" w:lineRule="exact"/>
        <w:outlineLvl w:val="0"/>
        <w:rPr>
          <w:rFonts w:ascii="Times New Roman" w:hAnsi="Times New Roman" w:eastAsia="黑体" w:cs="Times New Roman"/>
          <w:b/>
          <w:bCs/>
          <w:kern w:val="44"/>
          <w:sz w:val="36"/>
          <w:szCs w:val="52"/>
        </w:rPr>
      </w:pPr>
    </w:p>
    <w:p w14:paraId="18FAE91A">
      <w:pPr>
        <w:spacing w:line="600" w:lineRule="exact"/>
        <w:outlineLvl w:val="0"/>
        <w:rPr>
          <w:rFonts w:ascii="Times New Roman" w:hAnsi="Times New Roman" w:eastAsia="黑体" w:cs="Times New Roman"/>
          <w:b/>
          <w:bCs/>
          <w:kern w:val="44"/>
          <w:sz w:val="36"/>
          <w:szCs w:val="52"/>
        </w:rPr>
      </w:pPr>
    </w:p>
    <w:p w14:paraId="6CCD4184">
      <w:pPr>
        <w:spacing w:line="600" w:lineRule="exact"/>
        <w:outlineLvl w:val="0"/>
        <w:rPr>
          <w:rFonts w:ascii="Times New Roman" w:hAnsi="Times New Roman" w:eastAsia="黑体" w:cs="Times New Roman"/>
          <w:b/>
          <w:bCs/>
          <w:kern w:val="44"/>
          <w:sz w:val="36"/>
          <w:szCs w:val="52"/>
        </w:rPr>
      </w:pPr>
    </w:p>
    <w:p w14:paraId="19575234">
      <w:pPr>
        <w:spacing w:line="600" w:lineRule="exact"/>
        <w:outlineLvl w:val="0"/>
        <w:rPr>
          <w:rFonts w:ascii="Times New Roman" w:hAnsi="Times New Roman" w:eastAsia="黑体" w:cs="Times New Roman"/>
          <w:b/>
          <w:bCs/>
          <w:kern w:val="44"/>
          <w:sz w:val="36"/>
          <w:szCs w:val="52"/>
        </w:rPr>
      </w:pPr>
    </w:p>
    <w:p w14:paraId="45F94213">
      <w:pPr>
        <w:spacing w:line="600" w:lineRule="exact"/>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3.5.4风险评估公示公告结果</w:t>
      </w:r>
    </w:p>
    <w:p w14:paraId="06689AB0">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2025年8月**日至9月**日，北辰区人民政府进行风险评估公示公告，通过问卷、网站公开等方式征求公众意见。</w:t>
      </w:r>
    </w:p>
    <w:p w14:paraId="760305DC">
      <w:pPr>
        <w:spacing w:line="600" w:lineRule="exact"/>
        <w:ind w:firstLine="680" w:firstLineChars="200"/>
        <w:outlineLvl w:val="0"/>
        <w:rPr>
          <w:rFonts w:hint="eastAsia" w:ascii="仿宋_GB2312" w:hAnsi="仿宋_GB2312" w:eastAsia="仿宋_GB2312" w:cs="仿宋_GB2312"/>
          <w:kern w:val="44"/>
          <w:sz w:val="34"/>
          <w:szCs w:val="34"/>
        </w:rPr>
      </w:pPr>
    </w:p>
    <w:p w14:paraId="6D04C467">
      <w:pPr>
        <w:spacing w:line="600" w:lineRule="exact"/>
        <w:ind w:firstLine="680" w:firstLineChars="200"/>
        <w:outlineLvl w:val="0"/>
        <w:rPr>
          <w:rFonts w:hint="eastAsia" w:ascii="仿宋_GB2312" w:hAnsi="仿宋_GB2312" w:eastAsia="仿宋_GB2312" w:cs="仿宋_GB2312"/>
          <w:kern w:val="44"/>
          <w:sz w:val="34"/>
          <w:szCs w:val="34"/>
        </w:rPr>
      </w:pPr>
    </w:p>
    <w:p w14:paraId="6AEF8A71">
      <w:pPr>
        <w:spacing w:line="600" w:lineRule="exact"/>
        <w:ind w:firstLine="680" w:firstLineChars="200"/>
        <w:outlineLvl w:val="0"/>
        <w:rPr>
          <w:rFonts w:hint="eastAsia" w:ascii="仿宋_GB2312" w:hAnsi="仿宋_GB2312" w:eastAsia="仿宋_GB2312" w:cs="仿宋_GB2312"/>
          <w:kern w:val="44"/>
          <w:sz w:val="34"/>
          <w:szCs w:val="34"/>
        </w:rPr>
      </w:pPr>
    </w:p>
    <w:p w14:paraId="029F07F7">
      <w:pPr>
        <w:spacing w:line="600" w:lineRule="exact"/>
        <w:ind w:firstLine="680" w:firstLineChars="200"/>
        <w:outlineLvl w:val="0"/>
        <w:rPr>
          <w:rFonts w:hint="eastAsia" w:ascii="仿宋_GB2312" w:hAnsi="仿宋_GB2312" w:eastAsia="仿宋_GB2312" w:cs="仿宋_GB2312"/>
          <w:kern w:val="44"/>
          <w:sz w:val="34"/>
          <w:szCs w:val="34"/>
        </w:rPr>
      </w:pPr>
    </w:p>
    <w:p w14:paraId="2A014C66">
      <w:pPr>
        <w:spacing w:line="600" w:lineRule="exact"/>
        <w:ind w:firstLine="680" w:firstLineChars="200"/>
        <w:outlineLvl w:val="0"/>
        <w:rPr>
          <w:rFonts w:hint="eastAsia" w:ascii="仿宋_GB2312" w:hAnsi="仿宋_GB2312" w:eastAsia="仿宋_GB2312" w:cs="仿宋_GB2312"/>
          <w:kern w:val="44"/>
          <w:sz w:val="34"/>
          <w:szCs w:val="34"/>
        </w:rPr>
      </w:pPr>
    </w:p>
    <w:p w14:paraId="0EDCAB58">
      <w:pPr>
        <w:spacing w:line="600" w:lineRule="exact"/>
        <w:ind w:firstLine="680" w:firstLineChars="200"/>
        <w:outlineLvl w:val="0"/>
        <w:rPr>
          <w:rFonts w:hint="eastAsia" w:ascii="仿宋_GB2312" w:hAnsi="仿宋_GB2312" w:eastAsia="仿宋_GB2312" w:cs="仿宋_GB2312"/>
          <w:kern w:val="44"/>
          <w:sz w:val="34"/>
          <w:szCs w:val="34"/>
        </w:rPr>
      </w:pPr>
    </w:p>
    <w:p w14:paraId="42A6019F">
      <w:pPr>
        <w:spacing w:line="600" w:lineRule="exact"/>
        <w:ind w:firstLine="680" w:firstLineChars="200"/>
        <w:outlineLvl w:val="0"/>
        <w:rPr>
          <w:rFonts w:hint="eastAsia" w:ascii="仿宋_GB2312" w:hAnsi="仿宋_GB2312" w:eastAsia="仿宋_GB2312" w:cs="仿宋_GB2312"/>
          <w:kern w:val="44"/>
          <w:sz w:val="34"/>
          <w:szCs w:val="34"/>
        </w:rPr>
      </w:pPr>
    </w:p>
    <w:p w14:paraId="75990281">
      <w:pPr>
        <w:spacing w:line="600" w:lineRule="exact"/>
        <w:ind w:firstLine="680" w:firstLineChars="200"/>
        <w:outlineLvl w:val="0"/>
        <w:rPr>
          <w:rFonts w:hint="eastAsia" w:ascii="仿宋_GB2312" w:hAnsi="仿宋_GB2312" w:eastAsia="仿宋_GB2312" w:cs="仿宋_GB2312"/>
          <w:kern w:val="44"/>
          <w:sz w:val="34"/>
          <w:szCs w:val="34"/>
        </w:rPr>
      </w:pPr>
    </w:p>
    <w:p w14:paraId="0A021597">
      <w:pPr>
        <w:spacing w:line="600" w:lineRule="exact"/>
        <w:ind w:firstLine="680" w:firstLineChars="200"/>
        <w:outlineLvl w:val="0"/>
        <w:rPr>
          <w:rFonts w:hint="eastAsia" w:ascii="仿宋_GB2312" w:hAnsi="仿宋_GB2312" w:eastAsia="仿宋_GB2312" w:cs="仿宋_GB2312"/>
          <w:kern w:val="44"/>
          <w:sz w:val="34"/>
          <w:szCs w:val="34"/>
        </w:rPr>
      </w:pPr>
    </w:p>
    <w:p w14:paraId="0D02E5C0">
      <w:pPr>
        <w:spacing w:line="600" w:lineRule="exact"/>
        <w:ind w:firstLine="680" w:firstLineChars="200"/>
        <w:outlineLvl w:val="0"/>
        <w:rPr>
          <w:rFonts w:hint="eastAsia" w:ascii="仿宋_GB2312" w:hAnsi="仿宋_GB2312" w:eastAsia="仿宋_GB2312" w:cs="仿宋_GB2312"/>
          <w:kern w:val="44"/>
          <w:sz w:val="34"/>
          <w:szCs w:val="34"/>
        </w:rPr>
      </w:pPr>
    </w:p>
    <w:p w14:paraId="4334AA73">
      <w:pPr>
        <w:spacing w:line="600" w:lineRule="exact"/>
        <w:ind w:firstLine="680" w:firstLineChars="200"/>
        <w:outlineLvl w:val="0"/>
        <w:rPr>
          <w:rFonts w:hint="eastAsia" w:ascii="仿宋_GB2312" w:hAnsi="仿宋_GB2312" w:eastAsia="仿宋_GB2312" w:cs="仿宋_GB2312"/>
          <w:kern w:val="44"/>
          <w:sz w:val="34"/>
          <w:szCs w:val="34"/>
        </w:rPr>
      </w:pPr>
    </w:p>
    <w:p w14:paraId="567BE45A">
      <w:pPr>
        <w:spacing w:line="600" w:lineRule="exact"/>
        <w:ind w:firstLine="680" w:firstLineChars="200"/>
        <w:outlineLvl w:val="0"/>
        <w:rPr>
          <w:rFonts w:hint="eastAsia" w:ascii="仿宋_GB2312" w:hAnsi="仿宋_GB2312" w:eastAsia="仿宋_GB2312" w:cs="仿宋_GB2312"/>
          <w:kern w:val="44"/>
          <w:sz w:val="34"/>
          <w:szCs w:val="34"/>
        </w:rPr>
      </w:pPr>
    </w:p>
    <w:p w14:paraId="69F44415">
      <w:pPr>
        <w:spacing w:line="600" w:lineRule="exact"/>
        <w:ind w:firstLine="680" w:firstLineChars="200"/>
        <w:outlineLvl w:val="0"/>
        <w:rPr>
          <w:rFonts w:hint="eastAsia" w:ascii="仿宋_GB2312" w:hAnsi="仿宋_GB2312" w:eastAsia="仿宋_GB2312" w:cs="仿宋_GB2312"/>
          <w:kern w:val="44"/>
          <w:sz w:val="34"/>
          <w:szCs w:val="34"/>
        </w:rPr>
      </w:pPr>
    </w:p>
    <w:p w14:paraId="5AE4CF57">
      <w:pPr>
        <w:spacing w:line="600" w:lineRule="exact"/>
        <w:ind w:firstLine="680" w:firstLineChars="200"/>
        <w:outlineLvl w:val="0"/>
        <w:rPr>
          <w:rFonts w:hint="eastAsia" w:ascii="仿宋_GB2312" w:hAnsi="仿宋_GB2312" w:eastAsia="仿宋_GB2312" w:cs="仿宋_GB2312"/>
          <w:kern w:val="44"/>
          <w:sz w:val="34"/>
          <w:szCs w:val="34"/>
        </w:rPr>
      </w:pPr>
    </w:p>
    <w:p w14:paraId="16F32429">
      <w:pPr>
        <w:spacing w:line="600" w:lineRule="exact"/>
        <w:ind w:firstLine="680" w:firstLineChars="200"/>
        <w:outlineLvl w:val="0"/>
        <w:rPr>
          <w:rFonts w:hint="eastAsia" w:ascii="仿宋_GB2312" w:hAnsi="仿宋_GB2312" w:eastAsia="仿宋_GB2312" w:cs="仿宋_GB2312"/>
          <w:kern w:val="44"/>
          <w:sz w:val="34"/>
          <w:szCs w:val="34"/>
        </w:rPr>
      </w:pPr>
    </w:p>
    <w:p w14:paraId="08BEED6C">
      <w:pPr>
        <w:spacing w:line="600" w:lineRule="exact"/>
        <w:ind w:firstLine="680" w:firstLineChars="200"/>
        <w:outlineLvl w:val="0"/>
        <w:rPr>
          <w:rFonts w:hint="eastAsia" w:ascii="仿宋_GB2312" w:hAnsi="仿宋_GB2312" w:eastAsia="仿宋_GB2312" w:cs="仿宋_GB2312"/>
          <w:kern w:val="44"/>
          <w:sz w:val="34"/>
          <w:szCs w:val="34"/>
        </w:rPr>
      </w:pPr>
    </w:p>
    <w:p w14:paraId="1FA70860">
      <w:pPr>
        <w:spacing w:line="600" w:lineRule="exact"/>
        <w:ind w:firstLine="680" w:firstLineChars="200"/>
        <w:outlineLvl w:val="0"/>
        <w:rPr>
          <w:rFonts w:hint="eastAsia" w:ascii="仿宋_GB2312" w:hAnsi="仿宋_GB2312" w:eastAsia="仿宋_GB2312" w:cs="仿宋_GB2312"/>
          <w:kern w:val="44"/>
          <w:sz w:val="34"/>
          <w:szCs w:val="34"/>
        </w:rPr>
      </w:pPr>
    </w:p>
    <w:p w14:paraId="65F910EE">
      <w:pPr>
        <w:spacing w:line="600" w:lineRule="exact"/>
        <w:ind w:firstLine="680" w:firstLineChars="200"/>
        <w:outlineLvl w:val="0"/>
        <w:rPr>
          <w:rFonts w:hint="eastAsia" w:ascii="仿宋_GB2312" w:hAnsi="仿宋_GB2312" w:eastAsia="仿宋_GB2312" w:cs="仿宋_GB2312"/>
          <w:kern w:val="44"/>
          <w:sz w:val="34"/>
          <w:szCs w:val="34"/>
        </w:rPr>
      </w:pPr>
    </w:p>
    <w:p w14:paraId="1F0B744C">
      <w:pPr>
        <w:spacing w:line="600" w:lineRule="exact"/>
        <w:ind w:firstLine="680" w:firstLineChars="200"/>
        <w:outlineLvl w:val="0"/>
        <w:rPr>
          <w:rFonts w:hint="eastAsia" w:ascii="仿宋_GB2312" w:hAnsi="仿宋_GB2312" w:eastAsia="仿宋_GB2312" w:cs="仿宋_GB2312"/>
          <w:kern w:val="44"/>
          <w:sz w:val="34"/>
          <w:szCs w:val="34"/>
        </w:rPr>
      </w:pPr>
    </w:p>
    <w:p w14:paraId="1579486D">
      <w:pPr>
        <w:spacing w:line="600" w:lineRule="exact"/>
        <w:jc w:val="center"/>
        <w:outlineLvl w:val="0"/>
        <w:rPr>
          <w:rFonts w:hint="eastAsia" w:ascii="方正小标宋简体" w:hAnsi="方正小标宋简体" w:eastAsia="方正小标宋简体" w:cs="方正小标宋简体"/>
          <w:kern w:val="44"/>
          <w:sz w:val="44"/>
          <w:szCs w:val="44"/>
        </w:rPr>
      </w:pPr>
      <w:r>
        <w:rPr>
          <w:rFonts w:hint="eastAsia" w:ascii="方正小标宋简体" w:hAnsi="方正小标宋简体" w:eastAsia="方正小标宋简体" w:cs="方正小标宋简体"/>
          <w:kern w:val="44"/>
          <w:sz w:val="44"/>
          <w:szCs w:val="44"/>
        </w:rPr>
        <w:t>第四章  风险识别</w:t>
      </w:r>
    </w:p>
    <w:p w14:paraId="68DC35A4">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4.1风险识别方法</w:t>
      </w:r>
    </w:p>
    <w:p w14:paraId="6302CFAF">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根据中共中央办公厅国务院办公厅印发《关于加强新形势下重大决策社会稳定风险评估机制建设的意见》的通知(中办发(2021)11号)《重大行政决策程序暂行条例》(国务院令第713号)、《天津市重大行政决策程序规定》(天津市人民政府令第19号)、《天津市重大决策社会稳定风险评估实施办法》(津党办发(2021)19号)、《天津市人民政府关于印发天津市重大行政决策公众参与工作规则等五个重大行政决策程序规定配套文件的通知》(津政办发(2022)38号)以及《北辰区重大行政决策程序规定实施细则(试行)》及相关配套制度(北辰政发(2021)10号)等文件关于重大决策社会稳定风险评估要求，应当重点就决策事项可能给社会稳定、生态环境、生产安全、财政金融、舆情以及其他可能引发的公共安全、经济安全等方面进行风险的可控性进行评估:</w:t>
      </w:r>
    </w:p>
    <w:p w14:paraId="7DE6571E">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(一)社会稳定风险，包括可能引发复杂社会矛盾、群体性事件或者过激敏感等事件的情形;</w:t>
      </w:r>
    </w:p>
    <w:p w14:paraId="08A92558">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(二)生态环境风险，包括可能造成重大环境污染、生态破坏或者次生自然灾害等不良影响的情形;</w:t>
      </w:r>
    </w:p>
    <w:p w14:paraId="5C0A55CB">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(三)生产安全风险，包括可能存在影响生产安全因素的情形;</w:t>
      </w:r>
    </w:p>
    <w:p w14:paraId="138A28C3">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(四)财政金融风险，包括可能造成大额财政资金流失、带来重大政府性债务、导致系统性金融风险隐患的情形;</w:t>
      </w:r>
    </w:p>
    <w:p w14:paraId="364A766A">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(五)舆情风险，包括可能产生负面评价、恶意炒作舆论的情形;</w:t>
      </w:r>
    </w:p>
    <w:p w14:paraId="61AD957A">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(六)其他可能引发危及国家安全、公共安全、经济社会安全的风险。</w:t>
      </w:r>
    </w:p>
    <w:p w14:paraId="5B4C4269">
      <w:pPr>
        <w:spacing w:line="600" w:lineRule="exact"/>
        <w:outlineLvl w:val="0"/>
        <w:rPr>
          <w:rFonts w:hint="eastAsia" w:ascii="黑体" w:hAnsi="黑体" w:eastAsia="黑体" w:cs="黑体"/>
          <w:b/>
          <w:bCs/>
          <w:kern w:val="44"/>
          <w:sz w:val="34"/>
          <w:szCs w:val="34"/>
        </w:rPr>
      </w:pPr>
      <w:r>
        <w:rPr>
          <w:rFonts w:hint="eastAsia" w:ascii="黑体" w:hAnsi="黑体" w:eastAsia="黑体" w:cs="黑体"/>
          <w:b/>
          <w:bCs/>
          <w:kern w:val="44"/>
          <w:sz w:val="34"/>
          <w:szCs w:val="34"/>
        </w:rPr>
        <w:t>4.2风险识别结果</w:t>
      </w:r>
    </w:p>
    <w:p w14:paraId="179C8EDD">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4.2.1社会稳定风险</w:t>
      </w:r>
    </w:p>
    <w:p w14:paraId="6C216A28">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本次计划编制目标是为适应高质量发展要求，通过一系列具体措施，持续改善生态环境质量，实现美丽北辰建设。通过充分调研走访、征求意见，对北辰区域的企业和居民进行了意见征询，编制过程中充分考虑当地社会包容性，不会影响公众原有的社会关系，对公众原有的生活方式没有颠性影响，与区域所在地人文文化、道德价值观没有较大冲突，因此，复杂社会矛盾风险不作为本决策事项的主要风险。</w:t>
      </w:r>
    </w:p>
    <w:p w14:paraId="58F2715F">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本次计划修编过程中，天津市北辰区生态环境局通过北辰区人民政府网站、实地走访、座谈调研等多种方式，对本区域的利益相关者进行了调研走访，征求公众对规划修编的建议及态度。在开展风险评估阶段，在北辰区人民政府网站和单位网站进行公示公告，征求社会公众对规划修编的态度、建议以及支持情况。根据多阶段详尽的调研和座谈结果，本次北辰区计划修编工作深度融入了民意，确保了绝大多数居民的利益，并赢得了公众的广泛支持。有一部分公众群体较为关注治理设施改造升级是否会增加经营负担，从而降低升级改造意愿。北辰区人民政府于2025年5月26日-6月25日进行意见征求,但仍有可能存在一部分公众因信息获取渠道限制或对政务关注不足，而未能充分参与到意见征集过程中，或其所提出的见解与建议未能获得直接采纳，不排除这部分人群采取相应措施影响本决策事项制定实施的进程，进而造成群体性事件风险。</w:t>
      </w:r>
    </w:p>
    <w:p w14:paraId="67F438A1">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因此，识别群体性事件风险为本决策事项的主要风险，具体的风险因素体现在前期过程的公众参与度不高、公众利益诉求表达不畅、风险管理责任及联动机制不完善等方面</w:t>
      </w:r>
      <w:r>
        <w:rPr>
          <w:rFonts w:hint="eastAsia" w:ascii="仿宋_GB2312" w:hAnsi="仿宋_GB2312" w:eastAsia="仿宋_GB2312" w:cs="仿宋_GB2312"/>
          <w:kern w:val="44"/>
          <w:sz w:val="34"/>
          <w:szCs w:val="34"/>
        </w:rPr>
        <w:t>。</w:t>
      </w:r>
    </w:p>
    <w:p w14:paraId="1F2D60A4">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4.2.2生态环境风险</w:t>
      </w:r>
    </w:p>
    <w:p w14:paraId="2AE1397D">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内部风险。第一，污染防治攻坚工作需要各部门分工协作，当前，北辰区“党委领导、政府负责、环境保护部门统一监管、部门分工协作、公众积极参与”的长效机制还有欠缺，全区生态环境保护考核体系还不尽完善，考核方式还较为单一。而这些问题并非短期内就能得到根本改变的，对计划完成效果是一个不得不考虑的风险因素。</w:t>
      </w:r>
    </w:p>
    <w:p w14:paraId="1D6735F2">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第二，当前北辰仍处于高质量发展的关键阶段，存在拆迁工地多、扬尘总量大；传统行业多、老旧企业多，环保升级改造进度缓慢等历史性客观问题，对PM</w:t>
      </w:r>
      <w:r>
        <w:rPr>
          <w:rFonts w:hint="eastAsia" w:ascii="仿宋_GB2312" w:hAnsi="仿宋_GB2312" w:eastAsia="仿宋_GB2312" w:cs="仿宋_GB2312"/>
          <w:kern w:val="44"/>
          <w:sz w:val="22"/>
        </w:rPr>
        <w:t>2.5</w:t>
      </w:r>
      <w:r>
        <w:rPr>
          <w:rFonts w:hint="eastAsia" w:ascii="仿宋_GB2312" w:hAnsi="仿宋_GB2312" w:eastAsia="仿宋_GB2312" w:cs="仿宋_GB2312"/>
          <w:kern w:val="44"/>
          <w:sz w:val="34"/>
          <w:szCs w:val="34"/>
        </w:rPr>
        <w:t>、优良天数比例等关键指标的完成存在影响，部分企业的升级改造任务存在较大压力。</w:t>
      </w:r>
    </w:p>
    <w:p w14:paraId="1B8D4DF9">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外部风险。第一，外部经济压力大，导致污染防治攻坚工作压力和难度增加，从而影响部分任务的实施进度和效果。同时，今年受极端气候影响，生产用电、生活取暖等能源供应问题越来越突出，碳达峰、碳中和目标阶段性目标压力，都会加大计划实施的难度和风险。</w:t>
      </w:r>
    </w:p>
    <w:p w14:paraId="16F500C2">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第二，受制于区位问题，北辰区地表水环境质量易受到临近区的影响，如西河闸断面水质受上游入境泄洪水量大且排水水质差等因素影响，污染治理及水质提升存在极大风险与困难。</w:t>
      </w:r>
    </w:p>
    <w:p w14:paraId="502AC7E6">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4.2.3生产安全风险</w:t>
      </w:r>
    </w:p>
    <w:p w14:paraId="1443AFF4">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本次计划编修涉及企业环保治理设施升级改造、合流制片区改造、污染管控工程等措施等。企业的安全生产责任制制度组织完备、风险管理管控严格，但在日常生产运营中，仍可能存在运营管理不到位、操作人员失误、安全意识淡薄、技能水平不足、违反规章制度等情况，造成日常生产安全问题，对企业和公众造成一定影响。因此，识别日常生产安全管理风险和突发安全事故风险为本决策事项的主要风险。</w:t>
      </w:r>
    </w:p>
    <w:p w14:paraId="03C1DE9D">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4.2.4资金管理风险</w:t>
      </w:r>
    </w:p>
    <w:p w14:paraId="3F85DEA3">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本次计划编修中提到的企业升级改造资金为主体自筹，不涉及政府投资。如，创建金隅振兴“铁路+新能源车”砂石骨料清洁运输示范项目为企业自行筹措资金实施改造。</w:t>
      </w:r>
    </w:p>
    <w:p w14:paraId="0DBAF680">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政府投资部分积极争取中央环保专项资金、超长期特别国债等资金支持。如，完成天穆都市产业园合流制片区改造任务。积极争取中央水环境污染治理专项资金，推动双口一、二、三村实施雨污分流改造项目，初步拟定以工代赈项目资金支持。</w:t>
      </w:r>
    </w:p>
    <w:p w14:paraId="588F3376">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上述工程项目建设实施广泛接触经济社会发展的多个方面，其复杂性与广泛性不言而喻。因此，可能存在投资规模过于庞大、投资效益难以保证、存在重复建设与过度建设隐患等潜在问题，这些均可能导致规划实施过程中政府投资效益面临风险。</w:t>
      </w:r>
    </w:p>
    <w:p w14:paraId="08B62118">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4.2.5网络舆情风险</w:t>
      </w:r>
    </w:p>
    <w:p w14:paraId="4E20466C">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w:t>
      </w:r>
      <w:r>
        <w:rPr>
          <w:rFonts w:hint="eastAsia" w:ascii="仿宋_GB2312" w:hAnsi="仿宋_GB2312" w:eastAsia="仿宋_GB2312" w:cs="仿宋_GB2312"/>
          <w:kern w:val="44"/>
          <w:sz w:val="34"/>
          <w:szCs w:val="34"/>
        </w:rPr>
        <w:t>计划</w:t>
      </w:r>
      <w:r>
        <w:rPr>
          <w:rFonts w:ascii="仿宋_GB2312" w:hAnsi="仿宋_GB2312" w:eastAsia="仿宋_GB2312" w:cs="仿宋_GB2312"/>
          <w:kern w:val="44"/>
          <w:sz w:val="34"/>
          <w:szCs w:val="34"/>
        </w:rPr>
        <w:t>》编制过程中已按照程序进行政府网站公示、座谈交流、调研走访、专家论证、征询区级单位及街镇意见，落实了合理建议，公众参与完备，但可能存在小部分公众因信息获取渠道限制或对政务关注不足，而未能充分参与到意见征集过程中，或其所提出的见解与建议未能获得直接采纳，会被公众质疑公示公告不全面，进而引发社会舆论，造成一定的社会影响。因此公众参与风险作为本决策事项的主要风险。</w:t>
      </w:r>
    </w:p>
    <w:p w14:paraId="473A799F">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此外，</w:t>
      </w:r>
      <w:r>
        <w:rPr>
          <w:rFonts w:ascii="仿宋_GB2312" w:hAnsi="仿宋_GB2312" w:eastAsia="仿宋_GB2312" w:cs="仿宋_GB2312"/>
          <w:kern w:val="44"/>
          <w:sz w:val="34"/>
          <w:szCs w:val="34"/>
        </w:rPr>
        <w:t>《</w:t>
      </w:r>
      <w:r>
        <w:rPr>
          <w:rFonts w:hint="eastAsia" w:ascii="仿宋_GB2312" w:hAnsi="仿宋_GB2312" w:eastAsia="仿宋_GB2312" w:cs="仿宋_GB2312"/>
          <w:kern w:val="44"/>
          <w:sz w:val="34"/>
          <w:szCs w:val="34"/>
        </w:rPr>
        <w:t>计划</w:t>
      </w:r>
      <w:r>
        <w:rPr>
          <w:rFonts w:ascii="仿宋_GB2312" w:hAnsi="仿宋_GB2312" w:eastAsia="仿宋_GB2312" w:cs="仿宋_GB2312"/>
          <w:kern w:val="44"/>
          <w:sz w:val="34"/>
          <w:szCs w:val="34"/>
        </w:rPr>
        <w:t>》实施周期较长，随着自媒体时代的到来，个人依托网络向社会传播信息，使网民以极低的门槛成为信息的创造者和传播者，舆论信息随时随地互动传播。同时，</w:t>
      </w:r>
      <w:r>
        <w:rPr>
          <w:rFonts w:hint="eastAsia" w:ascii="仿宋_GB2312" w:hAnsi="仿宋_GB2312" w:eastAsia="仿宋_GB2312" w:cs="仿宋_GB2312"/>
          <w:kern w:val="44"/>
          <w:sz w:val="34"/>
          <w:szCs w:val="34"/>
        </w:rPr>
        <w:t>生态环境</w:t>
      </w:r>
      <w:r>
        <w:rPr>
          <w:rFonts w:ascii="仿宋_GB2312" w:hAnsi="仿宋_GB2312" w:eastAsia="仿宋_GB2312" w:cs="仿宋_GB2312"/>
          <w:kern w:val="44"/>
          <w:sz w:val="34"/>
          <w:szCs w:val="34"/>
        </w:rPr>
        <w:t>与居民切身利益相关，</w:t>
      </w:r>
      <w:r>
        <w:rPr>
          <w:rFonts w:hint="eastAsia" w:ascii="仿宋_GB2312" w:hAnsi="仿宋_GB2312" w:eastAsia="仿宋_GB2312" w:cs="仿宋_GB2312"/>
          <w:kern w:val="44"/>
          <w:sz w:val="34"/>
          <w:szCs w:val="34"/>
        </w:rPr>
        <w:t>《计划》</w:t>
      </w:r>
      <w:r>
        <w:rPr>
          <w:rFonts w:ascii="仿宋_GB2312" w:hAnsi="仿宋_GB2312" w:eastAsia="仿宋_GB2312" w:cs="仿宋_GB2312"/>
          <w:kern w:val="44"/>
          <w:sz w:val="34"/>
          <w:szCs w:val="34"/>
        </w:rPr>
        <w:t>实施后，</w:t>
      </w:r>
      <w:r>
        <w:rPr>
          <w:rFonts w:hint="eastAsia" w:ascii="仿宋_GB2312" w:hAnsi="仿宋_GB2312" w:eastAsia="仿宋_GB2312" w:cs="仿宋_GB2312"/>
          <w:kern w:val="44"/>
          <w:sz w:val="34"/>
          <w:szCs w:val="34"/>
        </w:rPr>
        <w:t>环境质量</w:t>
      </w:r>
      <w:r>
        <w:rPr>
          <w:rFonts w:ascii="仿宋_GB2312" w:hAnsi="仿宋_GB2312" w:eastAsia="仿宋_GB2312" w:cs="仿宋_GB2312"/>
          <w:kern w:val="44"/>
          <w:sz w:val="34"/>
          <w:szCs w:val="34"/>
        </w:rPr>
        <w:t>能否满足居民需求</w:t>
      </w:r>
      <w:r>
        <w:rPr>
          <w:rFonts w:hint="eastAsia" w:ascii="仿宋_GB2312" w:hAnsi="仿宋_GB2312" w:eastAsia="仿宋_GB2312" w:cs="仿宋_GB2312"/>
          <w:kern w:val="44"/>
          <w:sz w:val="34"/>
          <w:szCs w:val="34"/>
        </w:rPr>
        <w:t>，</w:t>
      </w:r>
      <w:r>
        <w:rPr>
          <w:rFonts w:ascii="仿宋_GB2312" w:hAnsi="仿宋_GB2312" w:eastAsia="仿宋_GB2312" w:cs="仿宋_GB2312"/>
          <w:kern w:val="44"/>
          <w:sz w:val="34"/>
          <w:szCs w:val="34"/>
        </w:rPr>
        <w:t>可能在自媒体和网络社交媒体的传播过程中被歪曲失真，导致部分群众、媒体质疑，形成社会舆论，进而引发社会稳定风险。</w:t>
      </w:r>
    </w:p>
    <w:p w14:paraId="2958A12E">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尽管区级相关部门在实施过程中对可能存在的风险事件进行了充足研判和准备，也具备跟踪舆情发展、应对负面舆论信息、通过官方途径发声的能力、制度、经验。但在及时性、合理性上仍存在潜在风险，不能完全保证对所有突发性事件</w:t>
      </w:r>
      <w:r>
        <w:rPr>
          <w:rFonts w:hint="eastAsia" w:ascii="仿宋_GB2312" w:hAnsi="仿宋_GB2312" w:eastAsia="仿宋_GB2312" w:cs="仿宋_GB2312"/>
          <w:kern w:val="44"/>
          <w:sz w:val="34"/>
          <w:szCs w:val="34"/>
        </w:rPr>
        <w:t>的</w:t>
      </w:r>
      <w:r>
        <w:rPr>
          <w:rFonts w:ascii="仿宋_GB2312" w:hAnsi="仿宋_GB2312" w:eastAsia="仿宋_GB2312" w:cs="仿宋_GB2312"/>
          <w:kern w:val="44"/>
          <w:sz w:val="34"/>
          <w:szCs w:val="34"/>
        </w:rPr>
        <w:t>避免，因此识别舆情应对风险为本决策事项的主要风险。</w:t>
      </w:r>
    </w:p>
    <w:p w14:paraId="482C2213">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综上所述，网络舆情为决策事项的主要风险</w:t>
      </w:r>
      <w:r>
        <w:rPr>
          <w:rFonts w:hint="eastAsia" w:ascii="仿宋_GB2312" w:hAnsi="仿宋_GB2312" w:eastAsia="仿宋_GB2312" w:cs="仿宋_GB2312"/>
          <w:kern w:val="44"/>
          <w:sz w:val="34"/>
          <w:szCs w:val="34"/>
        </w:rPr>
        <w:t>。</w:t>
      </w:r>
    </w:p>
    <w:p w14:paraId="60240DDD">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4.3风险识别影响</w:t>
      </w:r>
    </w:p>
    <w:p w14:paraId="6234C4C1">
      <w:pPr>
        <w:tabs>
          <w:tab w:val="left" w:pos="691"/>
        </w:tabs>
        <w:ind w:firstLine="680" w:firstLineChars="200"/>
        <w:jc w:val="left"/>
        <w:rPr>
          <w:rFonts w:hint="eastAsia"/>
        </w:rPr>
      </w:pPr>
      <w:r>
        <w:rPr>
          <w:rFonts w:hint="eastAsia" w:ascii="仿宋_GB2312" w:hAnsi="仿宋_GB2312" w:eastAsia="仿宋_GB2312" w:cs="仿宋_GB2312"/>
          <w:kern w:val="44"/>
          <w:sz w:val="34"/>
          <w:szCs w:val="34"/>
        </w:rPr>
        <w:t>综合社会稳定、生态环境、生产安全、资金管理、网络舆情风险分析研判，重大行政决策风险对《计划》作出和实施无明显影响。</w:t>
      </w:r>
    </w:p>
    <w:p w14:paraId="1D6D086A">
      <w:pPr>
        <w:keepNext/>
        <w:keepLines/>
        <w:spacing w:line="600" w:lineRule="exact"/>
        <w:jc w:val="center"/>
        <w:outlineLvl w:val="0"/>
        <w:rPr>
          <w:rFonts w:hint="eastAsia" w:ascii="方正小标宋简体" w:hAnsi="方正小标宋简体" w:eastAsia="方正小标宋简体" w:cs="方正小标宋简体"/>
          <w:kern w:val="44"/>
          <w:sz w:val="44"/>
          <w:szCs w:val="44"/>
        </w:rPr>
      </w:pPr>
      <w:r>
        <w:rPr>
          <w:rFonts w:hint="eastAsia" w:ascii="方正小标宋简体" w:hAnsi="方正小标宋简体" w:eastAsia="方正小标宋简体" w:cs="方正小标宋简体"/>
          <w:kern w:val="44"/>
          <w:sz w:val="44"/>
          <w:szCs w:val="44"/>
        </w:rPr>
        <w:t>第五章  重大行政决策风险等级</w:t>
      </w:r>
    </w:p>
    <w:p w14:paraId="7AE89E59">
      <w:pPr>
        <w:keepNext/>
        <w:keepLines/>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5.1风险评估方法</w:t>
      </w:r>
    </w:p>
    <w:p w14:paraId="490FC65A">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通过采用定性与定量相结合的方法，找出主要风险因素，并对每个主要风险因素的风险程度进行分析、预测和估计，层层剖析引发风险的直接和间接原因，预测和估计可能引发的风险事件，分析其引发风险事件的可能性，估计发生的概率，分析影响程度(后果)，判断发生的时间、形式、风险程度。</w:t>
      </w:r>
    </w:p>
    <w:p w14:paraId="7D3934A5">
      <w:pPr>
        <w:keepNext/>
        <w:keepLines/>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5.2风险评估等级</w:t>
      </w:r>
    </w:p>
    <w:p w14:paraId="16A5A8DC">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通过评估小组整体分析、研判、讨论风险等级及对应影响评估如下：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31E6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C4BD0C4">
            <w:pPr>
              <w:keepNext/>
              <w:keepLines/>
              <w:spacing w:line="600" w:lineRule="exact"/>
              <w:jc w:val="center"/>
              <w:outlineLvl w:val="0"/>
              <w:rPr>
                <w:rFonts w:hint="eastAsia" w:ascii="黑体" w:hAnsi="黑体" w:eastAsia="黑体" w:cs="黑体"/>
                <w:kern w:val="44"/>
                <w:sz w:val="34"/>
                <w:szCs w:val="34"/>
              </w:rPr>
            </w:pPr>
            <w:r>
              <w:rPr>
                <w:rFonts w:hint="eastAsia" w:ascii="黑体" w:hAnsi="黑体" w:eastAsia="黑体" w:cs="黑体"/>
                <w:kern w:val="44"/>
                <w:sz w:val="34"/>
                <w:szCs w:val="34"/>
              </w:rPr>
              <w:t>风险类型</w:t>
            </w:r>
          </w:p>
        </w:tc>
        <w:tc>
          <w:tcPr>
            <w:tcW w:w="2130" w:type="dxa"/>
          </w:tcPr>
          <w:p w14:paraId="3394EF08">
            <w:pPr>
              <w:keepNext/>
              <w:keepLines/>
              <w:spacing w:line="600" w:lineRule="exact"/>
              <w:jc w:val="center"/>
              <w:outlineLvl w:val="0"/>
              <w:rPr>
                <w:rFonts w:hint="eastAsia" w:ascii="黑体" w:hAnsi="黑体" w:eastAsia="黑体" w:cs="黑体"/>
                <w:kern w:val="44"/>
                <w:sz w:val="34"/>
                <w:szCs w:val="34"/>
              </w:rPr>
            </w:pPr>
            <w:r>
              <w:rPr>
                <w:rFonts w:hint="eastAsia" w:ascii="黑体" w:hAnsi="黑体" w:eastAsia="黑体" w:cs="黑体"/>
                <w:kern w:val="44"/>
                <w:sz w:val="34"/>
                <w:szCs w:val="34"/>
              </w:rPr>
              <w:t>风险概率</w:t>
            </w:r>
          </w:p>
        </w:tc>
        <w:tc>
          <w:tcPr>
            <w:tcW w:w="2131" w:type="dxa"/>
          </w:tcPr>
          <w:p w14:paraId="73A2DB3F">
            <w:pPr>
              <w:keepNext/>
              <w:keepLines/>
              <w:spacing w:line="600" w:lineRule="exact"/>
              <w:jc w:val="center"/>
              <w:outlineLvl w:val="0"/>
              <w:rPr>
                <w:rFonts w:hint="eastAsia" w:ascii="黑体" w:hAnsi="黑体" w:eastAsia="黑体" w:cs="黑体"/>
                <w:kern w:val="44"/>
                <w:sz w:val="34"/>
                <w:szCs w:val="34"/>
              </w:rPr>
            </w:pPr>
            <w:r>
              <w:rPr>
                <w:rFonts w:hint="eastAsia" w:ascii="黑体" w:hAnsi="黑体" w:eastAsia="黑体" w:cs="黑体"/>
                <w:kern w:val="44"/>
                <w:sz w:val="34"/>
                <w:szCs w:val="34"/>
              </w:rPr>
              <w:t>影响程度</w:t>
            </w:r>
          </w:p>
        </w:tc>
        <w:tc>
          <w:tcPr>
            <w:tcW w:w="2131" w:type="dxa"/>
          </w:tcPr>
          <w:p w14:paraId="49C1FBD1">
            <w:pPr>
              <w:keepNext/>
              <w:keepLines/>
              <w:spacing w:line="600" w:lineRule="exact"/>
              <w:jc w:val="center"/>
              <w:outlineLvl w:val="0"/>
              <w:rPr>
                <w:rFonts w:hint="eastAsia" w:ascii="黑体" w:hAnsi="黑体" w:eastAsia="黑体" w:cs="黑体"/>
                <w:kern w:val="44"/>
                <w:sz w:val="34"/>
                <w:szCs w:val="34"/>
              </w:rPr>
            </w:pPr>
            <w:r>
              <w:rPr>
                <w:rFonts w:hint="eastAsia" w:ascii="黑体" w:hAnsi="黑体" w:eastAsia="黑体" w:cs="黑体"/>
                <w:kern w:val="44"/>
                <w:sz w:val="34"/>
                <w:szCs w:val="34"/>
              </w:rPr>
              <w:t>风险程度</w:t>
            </w:r>
          </w:p>
        </w:tc>
      </w:tr>
      <w:tr w14:paraId="773E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FB8C5E7">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社会稳定</w:t>
            </w:r>
          </w:p>
        </w:tc>
        <w:tc>
          <w:tcPr>
            <w:tcW w:w="2130" w:type="dxa"/>
          </w:tcPr>
          <w:p w14:paraId="1E8D2C46">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较低</w:t>
            </w:r>
          </w:p>
        </w:tc>
        <w:tc>
          <w:tcPr>
            <w:tcW w:w="2131" w:type="dxa"/>
          </w:tcPr>
          <w:p w14:paraId="28E84EED">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较小</w:t>
            </w:r>
          </w:p>
        </w:tc>
        <w:tc>
          <w:tcPr>
            <w:tcW w:w="2131" w:type="dxa"/>
          </w:tcPr>
          <w:p w14:paraId="7328973D">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较小</w:t>
            </w:r>
          </w:p>
        </w:tc>
      </w:tr>
      <w:tr w14:paraId="1E91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2599843">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生态环境</w:t>
            </w:r>
          </w:p>
        </w:tc>
        <w:tc>
          <w:tcPr>
            <w:tcW w:w="2130" w:type="dxa"/>
          </w:tcPr>
          <w:p w14:paraId="02332194">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较低</w:t>
            </w:r>
          </w:p>
        </w:tc>
        <w:tc>
          <w:tcPr>
            <w:tcW w:w="2131" w:type="dxa"/>
          </w:tcPr>
          <w:p w14:paraId="7E9BD911">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中等</w:t>
            </w:r>
          </w:p>
        </w:tc>
        <w:tc>
          <w:tcPr>
            <w:tcW w:w="2131" w:type="dxa"/>
          </w:tcPr>
          <w:p w14:paraId="3BE36B1F">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较小</w:t>
            </w:r>
          </w:p>
        </w:tc>
      </w:tr>
      <w:tr w14:paraId="7AB7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9D3DD1E">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生产安全</w:t>
            </w:r>
          </w:p>
        </w:tc>
        <w:tc>
          <w:tcPr>
            <w:tcW w:w="2130" w:type="dxa"/>
          </w:tcPr>
          <w:p w14:paraId="5FD6A149">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较低</w:t>
            </w:r>
          </w:p>
        </w:tc>
        <w:tc>
          <w:tcPr>
            <w:tcW w:w="2131" w:type="dxa"/>
          </w:tcPr>
          <w:p w14:paraId="47F6621C">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中等</w:t>
            </w:r>
          </w:p>
        </w:tc>
        <w:tc>
          <w:tcPr>
            <w:tcW w:w="2131" w:type="dxa"/>
          </w:tcPr>
          <w:p w14:paraId="521E97EC">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一般</w:t>
            </w:r>
          </w:p>
        </w:tc>
      </w:tr>
      <w:tr w14:paraId="5B51E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FFC58C8">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资金管理</w:t>
            </w:r>
          </w:p>
        </w:tc>
        <w:tc>
          <w:tcPr>
            <w:tcW w:w="2130" w:type="dxa"/>
          </w:tcPr>
          <w:p w14:paraId="6EE6EB9C">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较低</w:t>
            </w:r>
          </w:p>
        </w:tc>
        <w:tc>
          <w:tcPr>
            <w:tcW w:w="2131" w:type="dxa"/>
          </w:tcPr>
          <w:p w14:paraId="2BE9C2A6">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中等</w:t>
            </w:r>
          </w:p>
        </w:tc>
        <w:tc>
          <w:tcPr>
            <w:tcW w:w="2131" w:type="dxa"/>
          </w:tcPr>
          <w:p w14:paraId="41DD2143">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一般</w:t>
            </w:r>
          </w:p>
        </w:tc>
      </w:tr>
      <w:tr w14:paraId="3F97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F4C927A">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网络舆情</w:t>
            </w:r>
          </w:p>
        </w:tc>
        <w:tc>
          <w:tcPr>
            <w:tcW w:w="2130" w:type="dxa"/>
          </w:tcPr>
          <w:p w14:paraId="679C3539">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较低</w:t>
            </w:r>
          </w:p>
        </w:tc>
        <w:tc>
          <w:tcPr>
            <w:tcW w:w="2131" w:type="dxa"/>
          </w:tcPr>
          <w:p w14:paraId="6EB2C2EA">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中等</w:t>
            </w:r>
          </w:p>
        </w:tc>
        <w:tc>
          <w:tcPr>
            <w:tcW w:w="2131" w:type="dxa"/>
          </w:tcPr>
          <w:p w14:paraId="5AEC8AD6">
            <w:pPr>
              <w:keepNext/>
              <w:keepLines/>
              <w:spacing w:line="600" w:lineRule="exact"/>
              <w:jc w:val="center"/>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较小</w:t>
            </w:r>
          </w:p>
        </w:tc>
      </w:tr>
    </w:tbl>
    <w:p w14:paraId="20446690">
      <w:pPr>
        <w:keepNext/>
        <w:keepLines/>
        <w:spacing w:line="600" w:lineRule="exact"/>
        <w:ind w:firstLine="680" w:firstLineChars="200"/>
        <w:outlineLvl w:val="0"/>
        <w:rPr>
          <w:rFonts w:hint="eastAsia" w:ascii="仿宋_GB2312" w:hAnsi="仿宋_GB2312" w:eastAsia="仿宋_GB2312" w:cs="仿宋_GB2312"/>
          <w:kern w:val="44"/>
          <w:sz w:val="34"/>
          <w:szCs w:val="34"/>
        </w:rPr>
      </w:pPr>
    </w:p>
    <w:p w14:paraId="7B1F666B">
      <w:pPr>
        <w:keepNext/>
        <w:keepLines/>
        <w:spacing w:line="600" w:lineRule="exact"/>
        <w:outlineLvl w:val="0"/>
        <w:rPr>
          <w:rFonts w:ascii="Times New Roman" w:hAnsi="Times New Roman" w:eastAsia="黑体" w:cs="Times New Roman"/>
          <w:b/>
          <w:bCs/>
          <w:kern w:val="44"/>
          <w:sz w:val="36"/>
          <w:szCs w:val="52"/>
        </w:rPr>
      </w:pPr>
    </w:p>
    <w:p w14:paraId="7EA91B57">
      <w:pPr>
        <w:keepNext/>
        <w:keepLines/>
        <w:spacing w:line="600" w:lineRule="exact"/>
        <w:outlineLvl w:val="0"/>
        <w:rPr>
          <w:rFonts w:ascii="Times New Roman" w:hAnsi="Times New Roman" w:eastAsia="黑体" w:cs="Times New Roman"/>
          <w:b/>
          <w:bCs/>
          <w:kern w:val="44"/>
          <w:sz w:val="36"/>
          <w:szCs w:val="52"/>
        </w:rPr>
      </w:pPr>
    </w:p>
    <w:p w14:paraId="388ADE34">
      <w:pPr>
        <w:keepNext/>
        <w:keepLines/>
        <w:spacing w:line="600" w:lineRule="exact"/>
        <w:outlineLvl w:val="0"/>
        <w:rPr>
          <w:rFonts w:ascii="Times New Roman" w:hAnsi="Times New Roman" w:eastAsia="黑体" w:cs="Times New Roman"/>
          <w:b/>
          <w:bCs/>
          <w:kern w:val="44"/>
          <w:sz w:val="36"/>
          <w:szCs w:val="52"/>
        </w:rPr>
      </w:pPr>
    </w:p>
    <w:p w14:paraId="427B45A2">
      <w:pPr>
        <w:keepNext/>
        <w:keepLines/>
        <w:spacing w:line="600" w:lineRule="exact"/>
        <w:outlineLvl w:val="0"/>
        <w:rPr>
          <w:rFonts w:ascii="Times New Roman" w:hAnsi="Times New Roman" w:eastAsia="黑体" w:cs="Times New Roman"/>
          <w:b/>
          <w:bCs/>
          <w:kern w:val="44"/>
          <w:sz w:val="36"/>
          <w:szCs w:val="52"/>
        </w:rPr>
      </w:pPr>
    </w:p>
    <w:p w14:paraId="0E2B4267">
      <w:pPr>
        <w:keepNext/>
        <w:keepLines/>
        <w:spacing w:line="600" w:lineRule="exact"/>
        <w:outlineLvl w:val="0"/>
        <w:rPr>
          <w:rFonts w:ascii="Times New Roman" w:hAnsi="Times New Roman" w:eastAsia="黑体" w:cs="Times New Roman"/>
          <w:b/>
          <w:bCs/>
          <w:kern w:val="44"/>
          <w:sz w:val="36"/>
          <w:szCs w:val="52"/>
        </w:rPr>
      </w:pPr>
    </w:p>
    <w:p w14:paraId="2C9F2822">
      <w:pPr>
        <w:keepNext/>
        <w:keepLines/>
        <w:spacing w:line="600" w:lineRule="exact"/>
        <w:jc w:val="center"/>
        <w:outlineLvl w:val="0"/>
        <w:rPr>
          <w:rFonts w:hint="eastAsia" w:ascii="方正小标宋简体" w:hAnsi="方正小标宋简体" w:eastAsia="方正小标宋简体" w:cs="方正小标宋简体"/>
          <w:kern w:val="44"/>
          <w:sz w:val="44"/>
          <w:szCs w:val="44"/>
        </w:rPr>
      </w:pPr>
      <w:r>
        <w:rPr>
          <w:rFonts w:hint="eastAsia" w:ascii="方正小标宋简体" w:hAnsi="方正小标宋简体" w:eastAsia="方正小标宋简体" w:cs="方正小标宋简体"/>
          <w:kern w:val="44"/>
          <w:sz w:val="44"/>
          <w:szCs w:val="44"/>
        </w:rPr>
        <w:t>第六章  风险防范和化解措施</w:t>
      </w:r>
    </w:p>
    <w:p w14:paraId="70D37B76">
      <w:pPr>
        <w:keepNext/>
        <w:keepLines/>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6.1社会稳定管理体系的风险防范和化解措施</w:t>
      </w:r>
    </w:p>
    <w:p w14:paraId="7C345945">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(1)加强各部门协同支持，设置风险防范沟通协调机制和风险管理责任制和联动机制</w:t>
      </w:r>
    </w:p>
    <w:p w14:paraId="7F51B28F">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①构建风险管理联动工作机制和矛盾分级分责化解责任制，明确责任范围，加强各单位、部门的衔接沟通，落实风险的预防、化解工作;</w:t>
      </w:r>
    </w:p>
    <w:p w14:paraId="7C3C19F2">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②建议由相关政府部门，基层组织成立专门协调小组，设置协调员，加强各部门间的相互协调、相互联动;</w:t>
      </w:r>
    </w:p>
    <w:p w14:paraId="28BC5ED0">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③建立各相关部门定期联席协商机制，在《计划》在实施过程中各部门定期研讨、协商，落实各项风险防范措施，在决策实施过程中及运营过程中全程跟踪，动态监测和评价，不断改进完善和落实风险控制措施，做到提早发现，提前预防，及时处置，妥善善后。</w:t>
      </w:r>
    </w:p>
    <w:p w14:paraId="5D8E1BD1">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(2)加强突发事件应急处置</w:t>
      </w:r>
    </w:p>
    <w:p w14:paraId="2FCDFAFE">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①建立应急处理机构，制定应急处理措施和应急处理预案;</w:t>
      </w:r>
    </w:p>
    <w:p w14:paraId="0C22A27E">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②为了从源头上防范、化解实施可能引起的风险，应根据其实施特点，明确风险防范、化解的目标，明确落实措施的责任主体、协助单位、防范责任和具体工作内容，明确风险控制的节点和时间，真正把项目社会稳定风险化解在萌芽状态，最大限度减少不和谐因素，发现重大社会稳定问题苗头或事件时，启动预案;</w:t>
      </w:r>
    </w:p>
    <w:p w14:paraId="27C06270">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③采取必要的形式，不间断的收集社会公众(利益相关群体)的意见建议，及时发现新的社会稳定风险隐患，协调相关部门化解实施过程中遇到的矛盾和问题，调整完善防范措施和应急预案，防止因风险处理不当而引起的事件范围的扩大、影响程度的恶化、连带风险的发生等风险升级，将风险控制在苗头阶段，做好全程跟踪与及时回馈，做到隐患的及时发现、及时上报、及时处置、及时善后。</w:t>
      </w:r>
    </w:p>
    <w:p w14:paraId="1A8D320A">
      <w:pPr>
        <w:keepNext/>
        <w:keepLines/>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6.2生态环境的风险防范和化解措施</w:t>
      </w:r>
    </w:p>
    <w:p w14:paraId="35C56AD2">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聚焦内部、外部风险，区生态环境局发挥好“统”的作用，对环保工作，特别是空气质量保障工作全盘统筹、强化调度，组织各镇街、各部门科学应对、协同发力，分行业、分区域、精细化落实管控措施。属地镇街对各项重点工作亲自部署、亲自过问、亲自协调、亲自督办，尤其在重要节点上靠前指挥、一线推动，确保不出问题。各相关部门紧盯各自领域，和属地一起想办法、出思路，共同把生态环保工作做好。压实企业主体责任，用好环境信用评价、信息强制性披露、环保黑名单管理等制度，推动企业自觉履行法定义务。</w:t>
      </w:r>
    </w:p>
    <w:p w14:paraId="719FD52D">
      <w:pPr>
        <w:keepNext/>
        <w:keepLines/>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6.3生产安全的风险防范和化解措施</w:t>
      </w:r>
    </w:p>
    <w:p w14:paraId="1BC205DA">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深化责任落实，提升执行能力。一是确保领导责任落实到位。严格执行安全生产“一岗双责制”，切实增强做好安全生产工作的责任感和使命感。二是确保部门监管责任落实到位。进一步强化政府相关部门的行业监管责任，按照“谁主管、谁负责”的原则，依法对所监管、主管的行业领域和生产经营单位实施全面监督管理。</w:t>
      </w:r>
    </w:p>
    <w:p w14:paraId="7D674240">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6.4资金管理的风险防范和化解措施</w:t>
      </w:r>
    </w:p>
    <w:p w14:paraId="7D658B14">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统筹预算资金安排</w:t>
      </w:r>
      <w:r>
        <w:rPr>
          <w:rFonts w:hint="eastAsia" w:ascii="仿宋_GB2312" w:hAnsi="仿宋_GB2312" w:eastAsia="仿宋_GB2312" w:cs="仿宋_GB2312"/>
          <w:kern w:val="44"/>
          <w:sz w:val="34"/>
          <w:szCs w:val="34"/>
        </w:rPr>
        <w:t>，</w:t>
      </w:r>
      <w:r>
        <w:rPr>
          <w:rFonts w:ascii="仿宋_GB2312" w:hAnsi="仿宋_GB2312" w:eastAsia="仿宋_GB2312" w:cs="仿宋_GB2312"/>
          <w:kern w:val="44"/>
          <w:sz w:val="34"/>
          <w:szCs w:val="34"/>
        </w:rPr>
        <w:t>依据北辰区国民经济和社会发展规划，与财政规划相衔接，统筹预算安排政府性项目投资。争取专项建设基金支持</w:t>
      </w:r>
      <w:r>
        <w:rPr>
          <w:rFonts w:hint="eastAsia" w:ascii="仿宋_GB2312" w:hAnsi="仿宋_GB2312" w:eastAsia="仿宋_GB2312" w:cs="仿宋_GB2312"/>
          <w:kern w:val="44"/>
          <w:sz w:val="34"/>
          <w:szCs w:val="34"/>
        </w:rPr>
        <w:t>，</w:t>
      </w:r>
      <w:r>
        <w:rPr>
          <w:rFonts w:ascii="仿宋_GB2312" w:hAnsi="仿宋_GB2312" w:eastAsia="仿宋_GB2312" w:cs="仿宋_GB2312"/>
          <w:kern w:val="44"/>
          <w:sz w:val="34"/>
          <w:szCs w:val="34"/>
        </w:rPr>
        <w:t>加强</w:t>
      </w:r>
      <w:r>
        <w:rPr>
          <w:rFonts w:hint="eastAsia" w:ascii="仿宋_GB2312" w:hAnsi="仿宋_GB2312" w:eastAsia="仿宋_GB2312" w:cs="仿宋_GB2312"/>
          <w:kern w:val="44"/>
          <w:sz w:val="34"/>
          <w:szCs w:val="34"/>
        </w:rPr>
        <w:t>中央环保</w:t>
      </w:r>
      <w:r>
        <w:rPr>
          <w:rFonts w:ascii="仿宋_GB2312" w:hAnsi="仿宋_GB2312" w:eastAsia="仿宋_GB2312" w:cs="仿宋_GB2312"/>
          <w:kern w:val="44"/>
          <w:sz w:val="34"/>
          <w:szCs w:val="34"/>
        </w:rPr>
        <w:t>项目谋划储备，加快推进项目前期工作，提高项目成熟度，争取更多项目获得国家支持。</w:t>
      </w:r>
    </w:p>
    <w:p w14:paraId="3B958BF5">
      <w:pPr>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6.5网络舆情的风险防范和化解措施</w:t>
      </w:r>
    </w:p>
    <w:p w14:paraId="7326FC0F">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(1)加强媒体舆论导向影响</w:t>
      </w:r>
    </w:p>
    <w:p w14:paraId="39A0C549">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①加强对决策的正面舆论宣传力度，可通过媒体访谈、报道，提高媒体舆论对规划的认知度;</w:t>
      </w:r>
    </w:p>
    <w:p w14:paraId="67BD427B">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②建立有效的舆情引导机制。主动加强与宣传部门的沟通联系，形成借助媒体消除危机的“宣传模式”</w:t>
      </w:r>
    </w:p>
    <w:p w14:paraId="62AC5507">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(2)加强与公众信息沟通</w:t>
      </w:r>
    </w:p>
    <w:p w14:paraId="0846E069">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加大宣传力度，可建立宣传小组深入</w:t>
      </w:r>
      <w:r>
        <w:rPr>
          <w:rFonts w:hint="eastAsia" w:ascii="仿宋_GB2312" w:hAnsi="仿宋_GB2312" w:eastAsia="仿宋_GB2312" w:cs="仿宋_GB2312"/>
          <w:kern w:val="44"/>
          <w:sz w:val="34"/>
          <w:szCs w:val="34"/>
        </w:rPr>
        <w:t>企业、</w:t>
      </w:r>
      <w:r>
        <w:rPr>
          <w:rFonts w:ascii="仿宋_GB2312" w:hAnsi="仿宋_GB2312" w:eastAsia="仿宋_GB2312" w:cs="仿宋_GB2312"/>
          <w:kern w:val="44"/>
          <w:sz w:val="34"/>
          <w:szCs w:val="34"/>
        </w:rPr>
        <w:t>社区、街道、村委等基层组织既做到面对面交流，也做好点对点沟通，畅通沟通渠道，精准、全面的提高与公众的信息沟通。</w:t>
      </w:r>
    </w:p>
    <w:p w14:paraId="221BE115">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w:t>
      </w:r>
      <w:r>
        <w:rPr>
          <w:rFonts w:hint="eastAsia" w:ascii="仿宋_GB2312" w:hAnsi="仿宋_GB2312" w:eastAsia="仿宋_GB2312" w:cs="仿宋_GB2312"/>
          <w:kern w:val="44"/>
          <w:sz w:val="34"/>
          <w:szCs w:val="34"/>
        </w:rPr>
        <w:t>3</w:t>
      </w:r>
      <w:r>
        <w:rPr>
          <w:rFonts w:ascii="仿宋_GB2312" w:hAnsi="仿宋_GB2312" w:eastAsia="仿宋_GB2312" w:cs="仿宋_GB2312"/>
          <w:kern w:val="44"/>
          <w:sz w:val="34"/>
          <w:szCs w:val="34"/>
        </w:rPr>
        <w:t>)加强舆情监测及应对</w:t>
      </w:r>
    </w:p>
    <w:p w14:paraId="22969A4E">
      <w:pPr>
        <w:spacing w:line="600" w:lineRule="exact"/>
        <w:ind w:firstLine="680" w:firstLineChars="200"/>
        <w:outlineLvl w:val="0"/>
        <w:rPr>
          <w:rFonts w:hint="eastAsia" w:ascii="仿宋_GB2312" w:hAnsi="仿宋_GB2312" w:eastAsia="仿宋_GB2312" w:cs="仿宋_GB2312"/>
          <w:kern w:val="44"/>
          <w:sz w:val="34"/>
          <w:szCs w:val="34"/>
        </w:rPr>
      </w:pPr>
      <w:r>
        <w:rPr>
          <w:rFonts w:ascii="仿宋_GB2312" w:hAnsi="仿宋_GB2312" w:eastAsia="仿宋_GB2312" w:cs="仿宋_GB2312"/>
          <w:kern w:val="44"/>
          <w:sz w:val="34"/>
          <w:szCs w:val="34"/>
        </w:rPr>
        <w:t>建立健全舆情监控搜集机制，加强对媒体与本项目相关问题的监测，及时掌握社会动态。同时，建立舆情监控应急处理机制。</w:t>
      </w:r>
    </w:p>
    <w:p w14:paraId="06AA543E">
      <w:pPr>
        <w:keepNext/>
        <w:keepLines/>
        <w:spacing w:line="600" w:lineRule="exact"/>
        <w:outlineLvl w:val="0"/>
        <w:rPr>
          <w:rFonts w:ascii="Times New Roman" w:hAnsi="Times New Roman" w:eastAsia="黑体" w:cs="Times New Roman"/>
          <w:b/>
          <w:bCs/>
          <w:kern w:val="44"/>
          <w:sz w:val="36"/>
          <w:szCs w:val="52"/>
        </w:rPr>
      </w:pPr>
      <w:r>
        <w:rPr>
          <w:rFonts w:hint="eastAsia" w:ascii="Times New Roman" w:hAnsi="Times New Roman" w:eastAsia="黑体" w:cs="Times New Roman"/>
          <w:b/>
          <w:bCs/>
          <w:kern w:val="44"/>
          <w:sz w:val="36"/>
          <w:szCs w:val="52"/>
        </w:rPr>
        <w:t>6.6应急处置预案</w:t>
      </w:r>
    </w:p>
    <w:p w14:paraId="4F6E80F3">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6.6.1 工作原则</w:t>
      </w:r>
    </w:p>
    <w:p w14:paraId="5D55CD7B">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处置群体性突发性事件总体要求:发现得早、化解得了、控制得住、处置得好。遵循以下原则:</w:t>
      </w:r>
    </w:p>
    <w:p w14:paraId="3FB8D468">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(1)统一领导、分级负责。</w:t>
      </w:r>
    </w:p>
    <w:p w14:paraId="30B962C3">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(2)预防为主、防患未然。</w:t>
      </w:r>
    </w:p>
    <w:p w14:paraId="530EA988">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(3)依法处置、防止激化。</w:t>
      </w:r>
    </w:p>
    <w:p w14:paraId="748AA650">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(4)快速反应、相互配合。</w:t>
      </w:r>
    </w:p>
    <w:p w14:paraId="061B3816">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6.6.2适用范围</w:t>
      </w:r>
    </w:p>
    <w:p w14:paraId="5D43628E">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本应急预案适用于决策实施引起的群体性突发事件的应急处置。群体性突发事件主要包括以下行为:</w:t>
      </w:r>
    </w:p>
    <w:p w14:paraId="7D28D51F">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(1)大规模集体上访;</w:t>
      </w:r>
    </w:p>
    <w:p w14:paraId="228509EA">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(2)人数较多的非法集会、游行、示威:</w:t>
      </w:r>
    </w:p>
    <w:p w14:paraId="64DA0F07">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(3)影响社会稳定的非法宗教活动;</w:t>
      </w:r>
    </w:p>
    <w:p w14:paraId="1C7F6227">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(4)罢工、聚众围堵、冲击党政机关、要害部门、重要场所;</w:t>
      </w:r>
    </w:p>
    <w:p w14:paraId="5DE52724">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(5)聚众堵塞交通枢纽、交通干线、破坏公共交通秩序或非法占据公共场所:</w:t>
      </w:r>
    </w:p>
    <w:p w14:paraId="3B1B7A07">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(6)重大活动中发生的群体性突发性事件;</w:t>
      </w:r>
    </w:p>
    <w:p w14:paraId="2825323D">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(7)其他严重破坏社会秩序、影响社会稳定、危害公共安全的活动或行为。</w:t>
      </w:r>
    </w:p>
    <w:p w14:paraId="360523E1">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6.6.3 组织机构与职责</w:t>
      </w:r>
    </w:p>
    <w:p w14:paraId="7E3E40C8">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成立信访维稳工作领导小组(以下简称领导小组)，作为处置信访因素诱发的突发性事件的指挥机构。组长由天津市北辰区生态环境局相关领导担任。</w:t>
      </w:r>
    </w:p>
    <w:p w14:paraId="354834E3">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(1)领导小组下设维稳组。</w:t>
      </w:r>
    </w:p>
    <w:p w14:paraId="2E21C899">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(2)应急领导小组主要职责:</w:t>
      </w:r>
    </w:p>
    <w:p w14:paraId="61197125">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①统一领导、指挥群体性突发事件的应急处置工作;②)决定事件处置决策、应对措施，启动或终止本预案:</w:t>
      </w:r>
    </w:p>
    <w:p w14:paraId="281670EF">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③组织和协调相关部门参加应急处置:</w:t>
      </w:r>
    </w:p>
    <w:p w14:paraId="7FF74827">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④负责收集、整理、上报相关信息;</w:t>
      </w:r>
    </w:p>
    <w:p w14:paraId="4C97FD5F">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⑤对在预防和处置群体性突发事件工作中失职、渎职或造成严重后果的责任人依法追究责任。</w:t>
      </w:r>
    </w:p>
    <w:p w14:paraId="7DE0136E">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6.6.4现场处置</w:t>
      </w:r>
    </w:p>
    <w:p w14:paraId="18564EB6">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凡出现涉及发生群体性突发事件苗头或尚处在酝酿过程中的，由直接涉事部门主管领导出面做好化解疏导工作，听取群众意见和要求，能够解决的要明确答复群众，不能解决的要说明原因、讲明道理，并做好思想教育和法制宣传工作，化解矛盾，避免事态扩大。同时及时将情况报告应急领导小组及维稳组，并准备好应急处置。</w:t>
      </w:r>
    </w:p>
    <w:p w14:paraId="42165763">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一旦群体性事件发生后，涉事部门的主管领导应立即向应急领导小组及维稳组报告，应急领导小组及维稳组接到报告后应立即率相关人员到达现场指挥，开展处置工作;必要时可取得政法机关的有力支持，并协助、配合政法机关对现场维护秩序，保护现场财产安全;协调和落实处置工作中的具体事宜，维稳组现场接访对话由应急领导小组、维稳组及相关部门负责:对外接待及媒体新闻报道应经应急领导小组同意的情况下，由维稳组具体负责。</w:t>
      </w:r>
    </w:p>
    <w:p w14:paraId="6E233E70">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(3)尽快控制事态的发展</w:t>
      </w:r>
    </w:p>
    <w:p w14:paraId="591F47D8">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①负责现场处置的人员应诚恳听取群众代表的意见和要求，面对面地做工作，对群众提出的符合法律法规和政策规定的意见和要求，应明确解决问题的态度。无法当场表明解决问题，责成有关部门限期研究解决;</w:t>
      </w:r>
    </w:p>
    <w:p w14:paraId="20141EBC">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②)对确因决策失误或工作不力造成群众利益受损的，据实向群众说明情况，公开承认失误，并尽快予以纠正:</w:t>
      </w:r>
    </w:p>
    <w:p w14:paraId="3EEBD00A">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③对群众提出的不合理要求，应讲清道理，耐心细致地做好政策宣传解释和说服教育工作，稳定群众情绪，及时疏导化解矛盾和冲突，控制事态发展;</w:t>
      </w:r>
    </w:p>
    <w:p w14:paraId="7798DCE1">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④查明挑头或组织者，现场处置领导要亲自与其谈话，表明态度进行思想工作和法制教育;</w:t>
      </w:r>
    </w:p>
    <w:p w14:paraId="3E5EAE5B">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⑤对煽动群众闹事、散布谣言的，由政法机关依法予以训诫，并视现场事态发展情况可强行将其带离，并及时收集证据，为事后处理做准备。</w:t>
      </w:r>
    </w:p>
    <w:p w14:paraId="5153B465">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6.6.5 善后工作</w:t>
      </w:r>
    </w:p>
    <w:p w14:paraId="133C70A5">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群体性突发事件现场平息后，对已承诺解决的问题，必须尽快解决到位，不得搞虚假承诺或者久拖不决;对法律法规和政策有明确规定而没有落实到位的，要加强监督检查，督促相关部门加以落实:对群众因不了解有关规定而存在误解的，要说明真相，做好深入细致的思想工作和法制教育工作;对相关规定不够完善的，应及时修订完善。坚决避免违背承诺、失信于民、重新引发群体性事件。同时，应将事件的原因、经过和处理情况及时上报上级主管部门与有关职能部门。</w:t>
      </w:r>
    </w:p>
    <w:p w14:paraId="10BA1747">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6.6.6防范预警</w:t>
      </w:r>
    </w:p>
    <w:p w14:paraId="4E1BAE26">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(1)做好日常上访人员的接待工作，本着以人为本、动之以情、晓之以理的原则文明接待，努力维护群众合法权益，耐心解释相关政策，争取事前化解矛盾，获得群众的理解与支持。</w:t>
      </w:r>
    </w:p>
    <w:p w14:paraId="16F4B9DB">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定期开展不稳定因素的排查、调处、化解，及时发现和掌握可能引发群体性事件的苗头、倾向性问题；要严格落实责任制，切实将不稳定因素解决在基层、解决在萌芽状态;要高度重视其中反映强烈的热点、难点问题，认真听取群众的意见，并依法按政策研究解决。</w:t>
      </w:r>
    </w:p>
    <w:p w14:paraId="458AB610">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(3)对存在的不稳定因素，要具体落实到部门、责任人，提出及时化解消除隐患的工作要求，切实做到责任不落实不放过、工作不到位不放过、隐患不排除不放过，限期解决问题。</w:t>
      </w:r>
    </w:p>
    <w:p w14:paraId="757763CB">
      <w:pPr>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(4)对不稳定因素产生的原因进行分析，研究处置对策，制定有针对性的处置预案，做到预防在先，防止和避免群体性突发事件。</w:t>
      </w:r>
    </w:p>
    <w:p w14:paraId="003C56BD">
      <w:pPr>
        <w:spacing w:line="600" w:lineRule="exact"/>
        <w:ind w:firstLine="680" w:firstLineChars="200"/>
        <w:outlineLvl w:val="0"/>
        <w:rPr>
          <w:rFonts w:ascii="Times New Roman" w:hAnsi="Times New Roman" w:eastAsia="黑体" w:cs="Times New Roman"/>
          <w:b/>
          <w:bCs/>
          <w:kern w:val="44"/>
          <w:sz w:val="36"/>
          <w:szCs w:val="52"/>
        </w:rPr>
      </w:pPr>
      <w:r>
        <w:rPr>
          <w:rFonts w:hint="eastAsia" w:ascii="仿宋_GB2312" w:hAnsi="仿宋_GB2312" w:eastAsia="仿宋_GB2312" w:cs="仿宋_GB2312"/>
          <w:kern w:val="44"/>
          <w:sz w:val="34"/>
          <w:szCs w:val="34"/>
        </w:rPr>
        <w:t>(5)充分做好应对疫情的组织准备、人员准备、技术准备和物资准备，全面提升应急能力。</w:t>
      </w:r>
    </w:p>
    <w:p w14:paraId="25D84B08">
      <w:pPr>
        <w:keepNext/>
        <w:keepLines/>
        <w:spacing w:line="600" w:lineRule="exact"/>
        <w:jc w:val="center"/>
        <w:outlineLvl w:val="0"/>
        <w:rPr>
          <w:rFonts w:hint="eastAsia" w:ascii="方正小标宋简体" w:hAnsi="方正小标宋简体" w:eastAsia="方正小标宋简体" w:cs="方正小标宋简体"/>
          <w:kern w:val="44"/>
          <w:sz w:val="44"/>
          <w:szCs w:val="44"/>
        </w:rPr>
      </w:pPr>
      <w:r>
        <w:rPr>
          <w:rFonts w:hint="eastAsia" w:ascii="方正小标宋简体" w:hAnsi="方正小标宋简体" w:eastAsia="方正小标宋简体" w:cs="方正小标宋简体"/>
          <w:kern w:val="44"/>
          <w:sz w:val="44"/>
          <w:szCs w:val="44"/>
        </w:rPr>
        <w:t>第七章  风险评估结论</w:t>
      </w:r>
    </w:p>
    <w:p w14:paraId="75C3387D">
      <w:pPr>
        <w:keepNext/>
        <w:keepLines/>
        <w:spacing w:line="600" w:lineRule="exact"/>
        <w:outlineLvl w:val="0"/>
        <w:rPr>
          <w:rFonts w:ascii="Times New Roman" w:hAnsi="Times New Roman" w:eastAsia="黑体" w:cs="Times New Roman"/>
          <w:b/>
          <w:bCs/>
          <w:kern w:val="44"/>
          <w:sz w:val="36"/>
          <w:szCs w:val="52"/>
        </w:rPr>
      </w:pPr>
    </w:p>
    <w:p w14:paraId="5D5AFFAE">
      <w:pPr>
        <w:keepNext/>
        <w:keepLines/>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7.1主要风险类型</w:t>
      </w:r>
    </w:p>
    <w:p w14:paraId="070FA230">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经评估，该决策事项主要风险类型有5项，分别为社会稳定风险、生态环境风险、生产安全风险、资金管理风险、网络舆情风险。</w:t>
      </w:r>
    </w:p>
    <w:p w14:paraId="7DCDB518">
      <w:pPr>
        <w:keepNext/>
        <w:keepLines/>
        <w:spacing w:line="600" w:lineRule="exact"/>
        <w:outlineLvl w:val="0"/>
        <w:rPr>
          <w:rFonts w:hint="eastAsia" w:ascii="黑体" w:hAnsi="黑体" w:eastAsia="黑体" w:cs="黑体"/>
          <w:kern w:val="44"/>
          <w:sz w:val="34"/>
          <w:szCs w:val="34"/>
        </w:rPr>
      </w:pPr>
      <w:r>
        <w:rPr>
          <w:rFonts w:hint="eastAsia" w:ascii="黑体" w:hAnsi="黑体" w:eastAsia="黑体" w:cs="黑体"/>
          <w:kern w:val="44"/>
          <w:sz w:val="34"/>
          <w:szCs w:val="34"/>
        </w:rPr>
        <w:t>7.2合法性、合理性、可行性、可控性评估结论</w:t>
      </w:r>
    </w:p>
    <w:p w14:paraId="57A9599F">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(1)合法性分析</w:t>
      </w:r>
    </w:p>
    <w:p w14:paraId="16E00500">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该决策事项符合法律法规、政策文件要求，决策事项的实施在天津市北辰区生态环境局的组织协调下有序开展，相关程序和重要环节合法合规。决策事项、决策主体和决策程序具有合法性。</w:t>
      </w:r>
    </w:p>
    <w:p w14:paraId="2B2C9B7B">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(2)合理性分析</w:t>
      </w:r>
    </w:p>
    <w:p w14:paraId="69558649">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决策事项以满足群众需求为出发点，以持续改善生态环境质量为目标，充分结合国家最新的政策、规划、标准、规范以及市场需求等情况，同时考虑了利益相关群体的接受程度决策事项具有合理性。</w:t>
      </w:r>
    </w:p>
    <w:p w14:paraId="110D9F1A">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(3)可行性分析</w:t>
      </w:r>
    </w:p>
    <w:p w14:paraId="529D503B">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风险调查结果显示，本《计划》实施后能够为北辰区的生态环境带来积极的作用，出现大规模集体上访、非法聚集事件、群体性事件的可能性较小，决策事项具有可行性。</w:t>
      </w:r>
    </w:p>
    <w:p w14:paraId="781BD294">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(4)可控性分析</w:t>
      </w:r>
    </w:p>
    <w:p w14:paraId="5E6A6E3A">
      <w:pPr>
        <w:keepNext/>
        <w:keepLines/>
        <w:spacing w:line="600" w:lineRule="exact"/>
        <w:ind w:firstLine="680" w:firstLineChars="200"/>
        <w:outlineLvl w:val="0"/>
        <w:rPr>
          <w:rFonts w:hint="eastAsia" w:ascii="仿宋_GB2312" w:hAnsi="仿宋_GB2312" w:eastAsia="仿宋_GB2312" w:cs="仿宋_GB2312"/>
          <w:kern w:val="44"/>
          <w:sz w:val="34"/>
          <w:szCs w:val="34"/>
        </w:rPr>
      </w:pPr>
      <w:r>
        <w:rPr>
          <w:rFonts w:hint="eastAsia" w:ascii="仿宋_GB2312" w:hAnsi="仿宋_GB2312" w:eastAsia="仿宋_GB2312" w:cs="仿宋_GB2312"/>
          <w:kern w:val="44"/>
          <w:sz w:val="34"/>
          <w:szCs w:val="34"/>
        </w:rPr>
        <w:t>该决策事项的实施存在可能引发风险的因素，但对可能出现的风险因素采取相应的防范、化解措施可有效地降低风险。同时已针对该决策事项制定了风险防范化解措施与应急处置预案。该决策事项的风险具有可控性。</w:t>
      </w:r>
    </w:p>
    <w:p w14:paraId="341387A7">
      <w:pPr>
        <w:keepNext/>
        <w:keepLines/>
        <w:spacing w:line="600" w:lineRule="exact"/>
        <w:outlineLvl w:val="0"/>
        <w:rPr>
          <w:rFonts w:hint="eastAsia" w:ascii="仿宋_GB2312" w:hAnsi="仿宋_GB2312" w:eastAsia="仿宋_GB2312" w:cs="仿宋_GB2312"/>
          <w:b/>
          <w:bCs/>
          <w:kern w:val="44"/>
          <w:sz w:val="34"/>
          <w:szCs w:val="34"/>
        </w:rPr>
      </w:pPr>
      <w:r>
        <w:rPr>
          <w:rFonts w:hint="eastAsia" w:ascii="仿宋_GB2312" w:hAnsi="仿宋_GB2312" w:eastAsia="仿宋_GB2312" w:cs="仿宋_GB2312"/>
          <w:b/>
          <w:bCs/>
          <w:kern w:val="44"/>
          <w:sz w:val="34"/>
          <w:szCs w:val="34"/>
        </w:rPr>
        <w:t>7.3 风险分析有关建议</w:t>
      </w:r>
    </w:p>
    <w:p w14:paraId="6C47F0AD">
      <w:pPr>
        <w:spacing w:line="600" w:lineRule="exact"/>
        <w:ind w:firstLine="640" w:firstLineChars="200"/>
        <w:rPr>
          <w:rFonts w:hint="eastAsia" w:ascii="仿宋_GB2312" w:hAnsi="仿宋" w:eastAsia="仿宋_GB2312" w:cs="Times New Roman"/>
          <w:sz w:val="32"/>
          <w:szCs w:val="40"/>
        </w:rPr>
      </w:pPr>
      <w:r>
        <w:rPr>
          <w:rFonts w:hint="eastAsia" w:ascii="仿宋_GB2312" w:hAnsi="仿宋" w:eastAsia="仿宋_GB2312" w:cs="Times New Roman"/>
          <w:sz w:val="32"/>
          <w:szCs w:val="40"/>
        </w:rPr>
        <w:t>首先，针对潜在风险建议将其列为专题，进一步深入开展调查研究，深入挖掘风险背后核心问题和根本原因，找出解决办法、制定工作方案、分配责任任务。各部门主动汇报计划落实情况，区生态环境局定期组织专题研究，推进计划及时合理有序调整。</w:t>
      </w:r>
    </w:p>
    <w:p w14:paraId="1EE902FA">
      <w:pPr>
        <w:spacing w:line="600" w:lineRule="exact"/>
        <w:ind w:firstLine="640" w:firstLineChars="200"/>
        <w:rPr>
          <w:rFonts w:hint="eastAsia" w:ascii="仿宋_GB2312" w:hAnsi="仿宋" w:eastAsia="仿宋_GB2312" w:cs="Times New Roman"/>
          <w:sz w:val="32"/>
          <w:szCs w:val="40"/>
        </w:rPr>
      </w:pPr>
      <w:r>
        <w:rPr>
          <w:rFonts w:hint="eastAsia" w:ascii="仿宋_GB2312" w:hAnsi="仿宋" w:eastAsia="仿宋_GB2312" w:cs="Times New Roman"/>
          <w:sz w:val="32"/>
          <w:szCs w:val="40"/>
        </w:rPr>
        <w:t>其次，认真做好总结复盘，加强区内区外交流衔接，积极参与京津冀尤其是周边区的交流互动，建立信息共享、问题共谋机制，加强资源互补、区域联动。计划体系的互补衔接可以有效降低风险概率，极大增强抵御风险的能力。</w:t>
      </w:r>
    </w:p>
    <w:p w14:paraId="6C23FA79">
      <w:pPr>
        <w:spacing w:line="600" w:lineRule="exact"/>
        <w:ind w:firstLine="640" w:firstLineChars="200"/>
        <w:rPr>
          <w:rFonts w:hint="eastAsia" w:ascii="仿宋_GB2312" w:hAnsi="仿宋" w:eastAsia="仿宋_GB2312" w:cs="Times New Roman"/>
          <w:sz w:val="32"/>
          <w:szCs w:val="40"/>
        </w:rPr>
      </w:pPr>
      <w:r>
        <w:rPr>
          <w:rFonts w:hint="eastAsia" w:ascii="仿宋_GB2312" w:hAnsi="仿宋" w:eastAsia="仿宋_GB2312" w:cs="Times New Roman"/>
          <w:sz w:val="32"/>
          <w:szCs w:val="40"/>
        </w:rPr>
        <w:t>最后，在计划实施阶段，要重视和加强宣传、培训。深入各部门、街镇、开发区、企业，不仅要让相关党员领导干部了解计划内容，也要让基层一线同志、企业负责人明确相关任务。</w:t>
      </w:r>
    </w:p>
    <w:bookmarkEnd w:id="3"/>
    <w:p w14:paraId="3B4CE300">
      <w:pPr>
        <w:spacing w:line="600" w:lineRule="exact"/>
        <w:ind w:firstLine="640" w:firstLineChars="200"/>
        <w:rPr>
          <w:rFonts w:hint="eastAsia" w:ascii="仿宋_GB2312" w:hAnsi="仿宋" w:eastAsia="仿宋_GB2312" w:cs="Times New Roman"/>
          <w:sz w:val="32"/>
          <w:szCs w:val="40"/>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1447013"/>
    </w:sdtPr>
    <w:sdtContent>
      <w:p w14:paraId="30C27270">
        <w:pPr>
          <w:pStyle w:val="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A80"/>
    <w:rsid w:val="000000F5"/>
    <w:rsid w:val="00002CCB"/>
    <w:rsid w:val="00002F46"/>
    <w:rsid w:val="00004D9D"/>
    <w:rsid w:val="0000551A"/>
    <w:rsid w:val="00005AA9"/>
    <w:rsid w:val="000060F0"/>
    <w:rsid w:val="00012684"/>
    <w:rsid w:val="000140A5"/>
    <w:rsid w:val="00015EFD"/>
    <w:rsid w:val="000166A5"/>
    <w:rsid w:val="000214F0"/>
    <w:rsid w:val="00022717"/>
    <w:rsid w:val="00022B72"/>
    <w:rsid w:val="00023624"/>
    <w:rsid w:val="00024E78"/>
    <w:rsid w:val="000256CE"/>
    <w:rsid w:val="00027706"/>
    <w:rsid w:val="0003188B"/>
    <w:rsid w:val="000342C1"/>
    <w:rsid w:val="00034F70"/>
    <w:rsid w:val="00040219"/>
    <w:rsid w:val="0004113D"/>
    <w:rsid w:val="00044C61"/>
    <w:rsid w:val="000452B7"/>
    <w:rsid w:val="000453CE"/>
    <w:rsid w:val="000467E1"/>
    <w:rsid w:val="00050AF2"/>
    <w:rsid w:val="000522B4"/>
    <w:rsid w:val="00053C1B"/>
    <w:rsid w:val="000566F4"/>
    <w:rsid w:val="00056F7F"/>
    <w:rsid w:val="00061B42"/>
    <w:rsid w:val="00064B90"/>
    <w:rsid w:val="00065A17"/>
    <w:rsid w:val="0007026F"/>
    <w:rsid w:val="00072E8B"/>
    <w:rsid w:val="00073854"/>
    <w:rsid w:val="00074B36"/>
    <w:rsid w:val="00075B41"/>
    <w:rsid w:val="00076181"/>
    <w:rsid w:val="0007753B"/>
    <w:rsid w:val="000814AA"/>
    <w:rsid w:val="000827B9"/>
    <w:rsid w:val="00082E91"/>
    <w:rsid w:val="00085324"/>
    <w:rsid w:val="0008658A"/>
    <w:rsid w:val="00091A60"/>
    <w:rsid w:val="00091ED0"/>
    <w:rsid w:val="0009235F"/>
    <w:rsid w:val="00092742"/>
    <w:rsid w:val="000949DC"/>
    <w:rsid w:val="00094DFB"/>
    <w:rsid w:val="000954C1"/>
    <w:rsid w:val="00097370"/>
    <w:rsid w:val="000A1585"/>
    <w:rsid w:val="000A1B9D"/>
    <w:rsid w:val="000A5088"/>
    <w:rsid w:val="000A53B9"/>
    <w:rsid w:val="000A70D8"/>
    <w:rsid w:val="000A7E8C"/>
    <w:rsid w:val="000B017D"/>
    <w:rsid w:val="000B1020"/>
    <w:rsid w:val="000B28DE"/>
    <w:rsid w:val="000B2E9D"/>
    <w:rsid w:val="000B5215"/>
    <w:rsid w:val="000B5877"/>
    <w:rsid w:val="000B5DC9"/>
    <w:rsid w:val="000B7237"/>
    <w:rsid w:val="000C092E"/>
    <w:rsid w:val="000C31C1"/>
    <w:rsid w:val="000C44D9"/>
    <w:rsid w:val="000C47DD"/>
    <w:rsid w:val="000C4B23"/>
    <w:rsid w:val="000C5F49"/>
    <w:rsid w:val="000C621D"/>
    <w:rsid w:val="000C66F7"/>
    <w:rsid w:val="000C72ED"/>
    <w:rsid w:val="000C75BC"/>
    <w:rsid w:val="000C7A8E"/>
    <w:rsid w:val="000D2F33"/>
    <w:rsid w:val="000D3C74"/>
    <w:rsid w:val="000D55DF"/>
    <w:rsid w:val="000D5B08"/>
    <w:rsid w:val="000D642C"/>
    <w:rsid w:val="000E002E"/>
    <w:rsid w:val="000E0200"/>
    <w:rsid w:val="000E09C5"/>
    <w:rsid w:val="000E166E"/>
    <w:rsid w:val="000E3B45"/>
    <w:rsid w:val="000E51F2"/>
    <w:rsid w:val="000E5BC1"/>
    <w:rsid w:val="000F0C16"/>
    <w:rsid w:val="000F2177"/>
    <w:rsid w:val="000F2EB1"/>
    <w:rsid w:val="000F2FA3"/>
    <w:rsid w:val="000F302F"/>
    <w:rsid w:val="000F46E7"/>
    <w:rsid w:val="000F638B"/>
    <w:rsid w:val="000F64E0"/>
    <w:rsid w:val="000F7689"/>
    <w:rsid w:val="000F77B1"/>
    <w:rsid w:val="00100340"/>
    <w:rsid w:val="001008ED"/>
    <w:rsid w:val="0010273D"/>
    <w:rsid w:val="00102ED6"/>
    <w:rsid w:val="001031EB"/>
    <w:rsid w:val="00104849"/>
    <w:rsid w:val="00106269"/>
    <w:rsid w:val="00106490"/>
    <w:rsid w:val="001068E8"/>
    <w:rsid w:val="00106BEB"/>
    <w:rsid w:val="00107395"/>
    <w:rsid w:val="00107B3F"/>
    <w:rsid w:val="00107D72"/>
    <w:rsid w:val="00110192"/>
    <w:rsid w:val="00111AB2"/>
    <w:rsid w:val="00113DD1"/>
    <w:rsid w:val="00114A49"/>
    <w:rsid w:val="00116C6E"/>
    <w:rsid w:val="0011795E"/>
    <w:rsid w:val="00117AFF"/>
    <w:rsid w:val="00120D40"/>
    <w:rsid w:val="001228BD"/>
    <w:rsid w:val="00122FC3"/>
    <w:rsid w:val="00125CC1"/>
    <w:rsid w:val="0012605D"/>
    <w:rsid w:val="001269BD"/>
    <w:rsid w:val="001274D9"/>
    <w:rsid w:val="00130F59"/>
    <w:rsid w:val="00133A3F"/>
    <w:rsid w:val="00133C69"/>
    <w:rsid w:val="00134541"/>
    <w:rsid w:val="00136C18"/>
    <w:rsid w:val="00137E4C"/>
    <w:rsid w:val="00142850"/>
    <w:rsid w:val="00143A8F"/>
    <w:rsid w:val="00144001"/>
    <w:rsid w:val="00145973"/>
    <w:rsid w:val="00147631"/>
    <w:rsid w:val="00150125"/>
    <w:rsid w:val="00150854"/>
    <w:rsid w:val="00150FD2"/>
    <w:rsid w:val="0015166A"/>
    <w:rsid w:val="00153B72"/>
    <w:rsid w:val="00154FE5"/>
    <w:rsid w:val="001550BD"/>
    <w:rsid w:val="001578C7"/>
    <w:rsid w:val="00160327"/>
    <w:rsid w:val="00161222"/>
    <w:rsid w:val="0016180B"/>
    <w:rsid w:val="00161A51"/>
    <w:rsid w:val="00162067"/>
    <w:rsid w:val="0016254B"/>
    <w:rsid w:val="001634BF"/>
    <w:rsid w:val="00167FA5"/>
    <w:rsid w:val="00172EBA"/>
    <w:rsid w:val="00173872"/>
    <w:rsid w:val="00174549"/>
    <w:rsid w:val="00180F58"/>
    <w:rsid w:val="001815E4"/>
    <w:rsid w:val="00183D5D"/>
    <w:rsid w:val="00191E86"/>
    <w:rsid w:val="00192872"/>
    <w:rsid w:val="00194220"/>
    <w:rsid w:val="00195244"/>
    <w:rsid w:val="00195D51"/>
    <w:rsid w:val="0019715A"/>
    <w:rsid w:val="001A0465"/>
    <w:rsid w:val="001A177F"/>
    <w:rsid w:val="001A234F"/>
    <w:rsid w:val="001A3E07"/>
    <w:rsid w:val="001A4286"/>
    <w:rsid w:val="001A690C"/>
    <w:rsid w:val="001A7224"/>
    <w:rsid w:val="001B2201"/>
    <w:rsid w:val="001B2B35"/>
    <w:rsid w:val="001B2CA0"/>
    <w:rsid w:val="001B300D"/>
    <w:rsid w:val="001B3BE6"/>
    <w:rsid w:val="001B4640"/>
    <w:rsid w:val="001B59E1"/>
    <w:rsid w:val="001B5AB2"/>
    <w:rsid w:val="001B610D"/>
    <w:rsid w:val="001B628A"/>
    <w:rsid w:val="001B6EBB"/>
    <w:rsid w:val="001C1036"/>
    <w:rsid w:val="001C180A"/>
    <w:rsid w:val="001C5BE1"/>
    <w:rsid w:val="001D024B"/>
    <w:rsid w:val="001D4709"/>
    <w:rsid w:val="001D493C"/>
    <w:rsid w:val="001D5C80"/>
    <w:rsid w:val="001D6551"/>
    <w:rsid w:val="001D73EE"/>
    <w:rsid w:val="001E0BCD"/>
    <w:rsid w:val="001E0EF9"/>
    <w:rsid w:val="001E2A72"/>
    <w:rsid w:val="001E6F73"/>
    <w:rsid w:val="001E7023"/>
    <w:rsid w:val="001F10A3"/>
    <w:rsid w:val="001F1517"/>
    <w:rsid w:val="001F25EC"/>
    <w:rsid w:val="001F2B3A"/>
    <w:rsid w:val="001F404F"/>
    <w:rsid w:val="001F513D"/>
    <w:rsid w:val="001F575C"/>
    <w:rsid w:val="001F7735"/>
    <w:rsid w:val="001F7DFC"/>
    <w:rsid w:val="00200895"/>
    <w:rsid w:val="00202440"/>
    <w:rsid w:val="00203445"/>
    <w:rsid w:val="00203F8C"/>
    <w:rsid w:val="002046A4"/>
    <w:rsid w:val="0020625D"/>
    <w:rsid w:val="00207AFC"/>
    <w:rsid w:val="00211EAC"/>
    <w:rsid w:val="00213828"/>
    <w:rsid w:val="00213E29"/>
    <w:rsid w:val="002150F4"/>
    <w:rsid w:val="002233D0"/>
    <w:rsid w:val="002235A9"/>
    <w:rsid w:val="00223F70"/>
    <w:rsid w:val="0022526F"/>
    <w:rsid w:val="00225EAD"/>
    <w:rsid w:val="00226542"/>
    <w:rsid w:val="00230229"/>
    <w:rsid w:val="00231997"/>
    <w:rsid w:val="002327FA"/>
    <w:rsid w:val="00232E36"/>
    <w:rsid w:val="00236364"/>
    <w:rsid w:val="00236DFA"/>
    <w:rsid w:val="00237263"/>
    <w:rsid w:val="00241519"/>
    <w:rsid w:val="002418DC"/>
    <w:rsid w:val="00242652"/>
    <w:rsid w:val="00242875"/>
    <w:rsid w:val="002465E5"/>
    <w:rsid w:val="00247D54"/>
    <w:rsid w:val="00251485"/>
    <w:rsid w:val="0025193A"/>
    <w:rsid w:val="0025196E"/>
    <w:rsid w:val="00253430"/>
    <w:rsid w:val="0025501F"/>
    <w:rsid w:val="00255AE0"/>
    <w:rsid w:val="00257EDA"/>
    <w:rsid w:val="002601AD"/>
    <w:rsid w:val="00261E5D"/>
    <w:rsid w:val="002620D5"/>
    <w:rsid w:val="00263E58"/>
    <w:rsid w:val="00264345"/>
    <w:rsid w:val="0026581C"/>
    <w:rsid w:val="002700F9"/>
    <w:rsid w:val="00273C91"/>
    <w:rsid w:val="002744D1"/>
    <w:rsid w:val="00275B2C"/>
    <w:rsid w:val="00280200"/>
    <w:rsid w:val="002814F8"/>
    <w:rsid w:val="002816C2"/>
    <w:rsid w:val="00281919"/>
    <w:rsid w:val="00284A14"/>
    <w:rsid w:val="00284C4C"/>
    <w:rsid w:val="00286720"/>
    <w:rsid w:val="002878E2"/>
    <w:rsid w:val="00291481"/>
    <w:rsid w:val="00292C85"/>
    <w:rsid w:val="0029333B"/>
    <w:rsid w:val="00294890"/>
    <w:rsid w:val="0029518B"/>
    <w:rsid w:val="00295461"/>
    <w:rsid w:val="002A0349"/>
    <w:rsid w:val="002A0B44"/>
    <w:rsid w:val="002A1E77"/>
    <w:rsid w:val="002A22E0"/>
    <w:rsid w:val="002A283E"/>
    <w:rsid w:val="002A28C2"/>
    <w:rsid w:val="002A7DA6"/>
    <w:rsid w:val="002B0D4D"/>
    <w:rsid w:val="002B1B09"/>
    <w:rsid w:val="002B2101"/>
    <w:rsid w:val="002B3997"/>
    <w:rsid w:val="002B3FEB"/>
    <w:rsid w:val="002B4617"/>
    <w:rsid w:val="002C041F"/>
    <w:rsid w:val="002C1A80"/>
    <w:rsid w:val="002C1E9F"/>
    <w:rsid w:val="002C3A40"/>
    <w:rsid w:val="002C6491"/>
    <w:rsid w:val="002C66FB"/>
    <w:rsid w:val="002C726A"/>
    <w:rsid w:val="002D15EC"/>
    <w:rsid w:val="002D4F74"/>
    <w:rsid w:val="002D6D18"/>
    <w:rsid w:val="002D7787"/>
    <w:rsid w:val="002E20C8"/>
    <w:rsid w:val="002E289B"/>
    <w:rsid w:val="002E577A"/>
    <w:rsid w:val="002E72E2"/>
    <w:rsid w:val="002E7572"/>
    <w:rsid w:val="002E76BC"/>
    <w:rsid w:val="002F0D56"/>
    <w:rsid w:val="002F192D"/>
    <w:rsid w:val="002F5E2C"/>
    <w:rsid w:val="002F64E2"/>
    <w:rsid w:val="002F6C2B"/>
    <w:rsid w:val="00300673"/>
    <w:rsid w:val="00302848"/>
    <w:rsid w:val="00302E33"/>
    <w:rsid w:val="003034C0"/>
    <w:rsid w:val="00303F59"/>
    <w:rsid w:val="00304362"/>
    <w:rsid w:val="003065B3"/>
    <w:rsid w:val="00306A47"/>
    <w:rsid w:val="00306B35"/>
    <w:rsid w:val="00307F5A"/>
    <w:rsid w:val="003105FC"/>
    <w:rsid w:val="00311E5E"/>
    <w:rsid w:val="003122F6"/>
    <w:rsid w:val="003138FB"/>
    <w:rsid w:val="00314240"/>
    <w:rsid w:val="00315497"/>
    <w:rsid w:val="00315BEC"/>
    <w:rsid w:val="0031603B"/>
    <w:rsid w:val="0031737B"/>
    <w:rsid w:val="003222C6"/>
    <w:rsid w:val="00323C59"/>
    <w:rsid w:val="003312B8"/>
    <w:rsid w:val="00331F25"/>
    <w:rsid w:val="0033226C"/>
    <w:rsid w:val="00333F79"/>
    <w:rsid w:val="0033613F"/>
    <w:rsid w:val="00336B19"/>
    <w:rsid w:val="003378E1"/>
    <w:rsid w:val="0034197F"/>
    <w:rsid w:val="003479FF"/>
    <w:rsid w:val="00347D71"/>
    <w:rsid w:val="003519DA"/>
    <w:rsid w:val="003547F0"/>
    <w:rsid w:val="00354E1B"/>
    <w:rsid w:val="003625CC"/>
    <w:rsid w:val="00363C1A"/>
    <w:rsid w:val="00363F82"/>
    <w:rsid w:val="003656D1"/>
    <w:rsid w:val="003662FF"/>
    <w:rsid w:val="0036662D"/>
    <w:rsid w:val="00366CA5"/>
    <w:rsid w:val="00367A18"/>
    <w:rsid w:val="00367F22"/>
    <w:rsid w:val="00371016"/>
    <w:rsid w:val="00372F1A"/>
    <w:rsid w:val="00373D67"/>
    <w:rsid w:val="00375C2F"/>
    <w:rsid w:val="0037651D"/>
    <w:rsid w:val="00376D27"/>
    <w:rsid w:val="00377F55"/>
    <w:rsid w:val="00380435"/>
    <w:rsid w:val="00380BB1"/>
    <w:rsid w:val="00380D35"/>
    <w:rsid w:val="003827C4"/>
    <w:rsid w:val="00384CB2"/>
    <w:rsid w:val="003901C5"/>
    <w:rsid w:val="00391D2E"/>
    <w:rsid w:val="00392D39"/>
    <w:rsid w:val="00392FEC"/>
    <w:rsid w:val="00394BA7"/>
    <w:rsid w:val="00394DEF"/>
    <w:rsid w:val="003958C2"/>
    <w:rsid w:val="0039612D"/>
    <w:rsid w:val="003A058D"/>
    <w:rsid w:val="003A1647"/>
    <w:rsid w:val="003A6AB6"/>
    <w:rsid w:val="003A7495"/>
    <w:rsid w:val="003A78CB"/>
    <w:rsid w:val="003B12EC"/>
    <w:rsid w:val="003B444D"/>
    <w:rsid w:val="003B4D0A"/>
    <w:rsid w:val="003B6A47"/>
    <w:rsid w:val="003C482A"/>
    <w:rsid w:val="003C55D3"/>
    <w:rsid w:val="003C5BAE"/>
    <w:rsid w:val="003C6A28"/>
    <w:rsid w:val="003C6AAB"/>
    <w:rsid w:val="003C7407"/>
    <w:rsid w:val="003D07E4"/>
    <w:rsid w:val="003D1465"/>
    <w:rsid w:val="003D48AE"/>
    <w:rsid w:val="003D6B86"/>
    <w:rsid w:val="003D6EDB"/>
    <w:rsid w:val="003E0AA9"/>
    <w:rsid w:val="003E12C6"/>
    <w:rsid w:val="003E4369"/>
    <w:rsid w:val="003E53BA"/>
    <w:rsid w:val="003F26D6"/>
    <w:rsid w:val="003F3D36"/>
    <w:rsid w:val="003F4F56"/>
    <w:rsid w:val="003F5B75"/>
    <w:rsid w:val="003F6D6C"/>
    <w:rsid w:val="003F6DA8"/>
    <w:rsid w:val="003F7E07"/>
    <w:rsid w:val="00402032"/>
    <w:rsid w:val="0040396C"/>
    <w:rsid w:val="004039FA"/>
    <w:rsid w:val="00403C66"/>
    <w:rsid w:val="00403C9D"/>
    <w:rsid w:val="00405AE9"/>
    <w:rsid w:val="00405E95"/>
    <w:rsid w:val="00406205"/>
    <w:rsid w:val="00407DF8"/>
    <w:rsid w:val="00407E9A"/>
    <w:rsid w:val="0041155D"/>
    <w:rsid w:val="00412993"/>
    <w:rsid w:val="004135D2"/>
    <w:rsid w:val="00413D07"/>
    <w:rsid w:val="00414245"/>
    <w:rsid w:val="00414B0D"/>
    <w:rsid w:val="004155BF"/>
    <w:rsid w:val="00416BBC"/>
    <w:rsid w:val="00420089"/>
    <w:rsid w:val="00420A03"/>
    <w:rsid w:val="004217DE"/>
    <w:rsid w:val="00421920"/>
    <w:rsid w:val="0042302A"/>
    <w:rsid w:val="004232D3"/>
    <w:rsid w:val="00423CAE"/>
    <w:rsid w:val="004260E1"/>
    <w:rsid w:val="00426F84"/>
    <w:rsid w:val="00430250"/>
    <w:rsid w:val="004336B0"/>
    <w:rsid w:val="00433E49"/>
    <w:rsid w:val="00433FF6"/>
    <w:rsid w:val="004341A5"/>
    <w:rsid w:val="00434329"/>
    <w:rsid w:val="00434ADE"/>
    <w:rsid w:val="00436D01"/>
    <w:rsid w:val="00437308"/>
    <w:rsid w:val="00441383"/>
    <w:rsid w:val="00443A6A"/>
    <w:rsid w:val="00446C4A"/>
    <w:rsid w:val="00447907"/>
    <w:rsid w:val="00447A9A"/>
    <w:rsid w:val="00451269"/>
    <w:rsid w:val="00451E3B"/>
    <w:rsid w:val="00452267"/>
    <w:rsid w:val="004552EC"/>
    <w:rsid w:val="004572AE"/>
    <w:rsid w:val="00457FE5"/>
    <w:rsid w:val="00461221"/>
    <w:rsid w:val="00462D52"/>
    <w:rsid w:val="004631CE"/>
    <w:rsid w:val="00464B32"/>
    <w:rsid w:val="00464BC6"/>
    <w:rsid w:val="0046538A"/>
    <w:rsid w:val="00465633"/>
    <w:rsid w:val="004678DF"/>
    <w:rsid w:val="00467EAF"/>
    <w:rsid w:val="00470187"/>
    <w:rsid w:val="004706C1"/>
    <w:rsid w:val="00472C16"/>
    <w:rsid w:val="00472C61"/>
    <w:rsid w:val="004735AE"/>
    <w:rsid w:val="00474E25"/>
    <w:rsid w:val="00474FF4"/>
    <w:rsid w:val="00475592"/>
    <w:rsid w:val="004758F9"/>
    <w:rsid w:val="004766C0"/>
    <w:rsid w:val="00477AAE"/>
    <w:rsid w:val="0048072B"/>
    <w:rsid w:val="00481EC3"/>
    <w:rsid w:val="0048225E"/>
    <w:rsid w:val="004871CD"/>
    <w:rsid w:val="00487807"/>
    <w:rsid w:val="00491AB8"/>
    <w:rsid w:val="00493B3D"/>
    <w:rsid w:val="0049421C"/>
    <w:rsid w:val="004948A4"/>
    <w:rsid w:val="00495092"/>
    <w:rsid w:val="00495162"/>
    <w:rsid w:val="0049620A"/>
    <w:rsid w:val="004977D6"/>
    <w:rsid w:val="004A0388"/>
    <w:rsid w:val="004A44A9"/>
    <w:rsid w:val="004A4726"/>
    <w:rsid w:val="004A7ED9"/>
    <w:rsid w:val="004B1F27"/>
    <w:rsid w:val="004B23BC"/>
    <w:rsid w:val="004B3828"/>
    <w:rsid w:val="004B3B3B"/>
    <w:rsid w:val="004B4B8F"/>
    <w:rsid w:val="004B62AE"/>
    <w:rsid w:val="004B679A"/>
    <w:rsid w:val="004C4A72"/>
    <w:rsid w:val="004C4B86"/>
    <w:rsid w:val="004D1136"/>
    <w:rsid w:val="004D17D6"/>
    <w:rsid w:val="004D3D37"/>
    <w:rsid w:val="004D4077"/>
    <w:rsid w:val="004D4BE2"/>
    <w:rsid w:val="004D63BC"/>
    <w:rsid w:val="004E0224"/>
    <w:rsid w:val="004E0EF1"/>
    <w:rsid w:val="004E1329"/>
    <w:rsid w:val="004E2498"/>
    <w:rsid w:val="004E27A5"/>
    <w:rsid w:val="004E2C14"/>
    <w:rsid w:val="004E34D7"/>
    <w:rsid w:val="004E4AF5"/>
    <w:rsid w:val="004E4D6F"/>
    <w:rsid w:val="004E7CCD"/>
    <w:rsid w:val="004F06BA"/>
    <w:rsid w:val="004F2295"/>
    <w:rsid w:val="004F3A7C"/>
    <w:rsid w:val="004F51EC"/>
    <w:rsid w:val="004F59A4"/>
    <w:rsid w:val="005001F0"/>
    <w:rsid w:val="00502A34"/>
    <w:rsid w:val="00505D9B"/>
    <w:rsid w:val="00505E1B"/>
    <w:rsid w:val="005064BE"/>
    <w:rsid w:val="00507739"/>
    <w:rsid w:val="00510253"/>
    <w:rsid w:val="00511101"/>
    <w:rsid w:val="005113C4"/>
    <w:rsid w:val="005117B9"/>
    <w:rsid w:val="00511835"/>
    <w:rsid w:val="0051257D"/>
    <w:rsid w:val="00513FC5"/>
    <w:rsid w:val="0051489F"/>
    <w:rsid w:val="00516D2A"/>
    <w:rsid w:val="005200CA"/>
    <w:rsid w:val="00520BEF"/>
    <w:rsid w:val="00520D3A"/>
    <w:rsid w:val="00521E5D"/>
    <w:rsid w:val="0052256E"/>
    <w:rsid w:val="00523E64"/>
    <w:rsid w:val="00523EC1"/>
    <w:rsid w:val="00524175"/>
    <w:rsid w:val="0052431D"/>
    <w:rsid w:val="005245D1"/>
    <w:rsid w:val="005249CA"/>
    <w:rsid w:val="005252CB"/>
    <w:rsid w:val="00530123"/>
    <w:rsid w:val="005318D8"/>
    <w:rsid w:val="00532A2F"/>
    <w:rsid w:val="0053415B"/>
    <w:rsid w:val="00534516"/>
    <w:rsid w:val="00540DDE"/>
    <w:rsid w:val="00547681"/>
    <w:rsid w:val="00553742"/>
    <w:rsid w:val="0055556D"/>
    <w:rsid w:val="00556F3C"/>
    <w:rsid w:val="0055727F"/>
    <w:rsid w:val="00557C0A"/>
    <w:rsid w:val="00560F21"/>
    <w:rsid w:val="005619A7"/>
    <w:rsid w:val="00562EC1"/>
    <w:rsid w:val="00563731"/>
    <w:rsid w:val="005639B0"/>
    <w:rsid w:val="00563B73"/>
    <w:rsid w:val="00565090"/>
    <w:rsid w:val="00566A67"/>
    <w:rsid w:val="005716B7"/>
    <w:rsid w:val="00572236"/>
    <w:rsid w:val="00573DD6"/>
    <w:rsid w:val="00575446"/>
    <w:rsid w:val="00580271"/>
    <w:rsid w:val="00591268"/>
    <w:rsid w:val="00592083"/>
    <w:rsid w:val="0059215A"/>
    <w:rsid w:val="005926BC"/>
    <w:rsid w:val="005929FD"/>
    <w:rsid w:val="00592F42"/>
    <w:rsid w:val="0059500B"/>
    <w:rsid w:val="0059530F"/>
    <w:rsid w:val="005971E0"/>
    <w:rsid w:val="005A05F6"/>
    <w:rsid w:val="005A1AB9"/>
    <w:rsid w:val="005A2181"/>
    <w:rsid w:val="005A61EC"/>
    <w:rsid w:val="005A6330"/>
    <w:rsid w:val="005A66A8"/>
    <w:rsid w:val="005A7237"/>
    <w:rsid w:val="005A7DFC"/>
    <w:rsid w:val="005B278E"/>
    <w:rsid w:val="005B6B03"/>
    <w:rsid w:val="005B769A"/>
    <w:rsid w:val="005C0D88"/>
    <w:rsid w:val="005C12A8"/>
    <w:rsid w:val="005C1633"/>
    <w:rsid w:val="005C2926"/>
    <w:rsid w:val="005C7004"/>
    <w:rsid w:val="005D0ED9"/>
    <w:rsid w:val="005D0FD8"/>
    <w:rsid w:val="005D1DD6"/>
    <w:rsid w:val="005D4BB3"/>
    <w:rsid w:val="005D4F66"/>
    <w:rsid w:val="005D72DA"/>
    <w:rsid w:val="005E0158"/>
    <w:rsid w:val="005E055A"/>
    <w:rsid w:val="005E1298"/>
    <w:rsid w:val="005E224B"/>
    <w:rsid w:val="005E28AD"/>
    <w:rsid w:val="005E2C3D"/>
    <w:rsid w:val="005E46F2"/>
    <w:rsid w:val="005E4BD3"/>
    <w:rsid w:val="005E5ABB"/>
    <w:rsid w:val="005E7154"/>
    <w:rsid w:val="005F0466"/>
    <w:rsid w:val="005F0BD6"/>
    <w:rsid w:val="005F0FC7"/>
    <w:rsid w:val="005F2086"/>
    <w:rsid w:val="005F6B31"/>
    <w:rsid w:val="005F6C20"/>
    <w:rsid w:val="005F7845"/>
    <w:rsid w:val="006007C7"/>
    <w:rsid w:val="00601646"/>
    <w:rsid w:val="00603D47"/>
    <w:rsid w:val="00604237"/>
    <w:rsid w:val="00604ECF"/>
    <w:rsid w:val="00604ED9"/>
    <w:rsid w:val="0061222D"/>
    <w:rsid w:val="006132B7"/>
    <w:rsid w:val="0061563A"/>
    <w:rsid w:val="00615F27"/>
    <w:rsid w:val="00620DCA"/>
    <w:rsid w:val="00623BE0"/>
    <w:rsid w:val="00624707"/>
    <w:rsid w:val="00624EA9"/>
    <w:rsid w:val="00627648"/>
    <w:rsid w:val="006309FA"/>
    <w:rsid w:val="006311EA"/>
    <w:rsid w:val="00631A1B"/>
    <w:rsid w:val="00632CA4"/>
    <w:rsid w:val="0063346C"/>
    <w:rsid w:val="006370AB"/>
    <w:rsid w:val="006374E7"/>
    <w:rsid w:val="006414A2"/>
    <w:rsid w:val="00641AE5"/>
    <w:rsid w:val="00641E57"/>
    <w:rsid w:val="00643610"/>
    <w:rsid w:val="006449E7"/>
    <w:rsid w:val="00645B8D"/>
    <w:rsid w:val="00650326"/>
    <w:rsid w:val="0065088F"/>
    <w:rsid w:val="00650925"/>
    <w:rsid w:val="006540AD"/>
    <w:rsid w:val="0065608A"/>
    <w:rsid w:val="00656615"/>
    <w:rsid w:val="00656A15"/>
    <w:rsid w:val="00656E25"/>
    <w:rsid w:val="006574E7"/>
    <w:rsid w:val="00657825"/>
    <w:rsid w:val="00665B65"/>
    <w:rsid w:val="00667552"/>
    <w:rsid w:val="0067051C"/>
    <w:rsid w:val="006715F0"/>
    <w:rsid w:val="00671C3E"/>
    <w:rsid w:val="00673474"/>
    <w:rsid w:val="00677C4B"/>
    <w:rsid w:val="006804D4"/>
    <w:rsid w:val="00680908"/>
    <w:rsid w:val="00681064"/>
    <w:rsid w:val="00682CA6"/>
    <w:rsid w:val="00686A14"/>
    <w:rsid w:val="006870F7"/>
    <w:rsid w:val="00690C12"/>
    <w:rsid w:val="00690F3E"/>
    <w:rsid w:val="00693FA4"/>
    <w:rsid w:val="00695060"/>
    <w:rsid w:val="00696C72"/>
    <w:rsid w:val="00696EDA"/>
    <w:rsid w:val="00697D8D"/>
    <w:rsid w:val="006A1452"/>
    <w:rsid w:val="006A314E"/>
    <w:rsid w:val="006A3A6C"/>
    <w:rsid w:val="006A4858"/>
    <w:rsid w:val="006A4A9F"/>
    <w:rsid w:val="006A69DD"/>
    <w:rsid w:val="006B00FA"/>
    <w:rsid w:val="006B0A85"/>
    <w:rsid w:val="006B15F5"/>
    <w:rsid w:val="006B4004"/>
    <w:rsid w:val="006B70D1"/>
    <w:rsid w:val="006B7D96"/>
    <w:rsid w:val="006C1642"/>
    <w:rsid w:val="006C22C1"/>
    <w:rsid w:val="006C5278"/>
    <w:rsid w:val="006C58FD"/>
    <w:rsid w:val="006D009E"/>
    <w:rsid w:val="006D00EF"/>
    <w:rsid w:val="006D10F6"/>
    <w:rsid w:val="006D329A"/>
    <w:rsid w:val="006D5640"/>
    <w:rsid w:val="006D6E15"/>
    <w:rsid w:val="006D707D"/>
    <w:rsid w:val="006E15BC"/>
    <w:rsid w:val="006E1730"/>
    <w:rsid w:val="006E2837"/>
    <w:rsid w:val="006E3D4B"/>
    <w:rsid w:val="006E48CF"/>
    <w:rsid w:val="006E7967"/>
    <w:rsid w:val="006F1D9F"/>
    <w:rsid w:val="006F2596"/>
    <w:rsid w:val="006F31FF"/>
    <w:rsid w:val="006F4213"/>
    <w:rsid w:val="006F5DB8"/>
    <w:rsid w:val="006F69D4"/>
    <w:rsid w:val="006F6BA2"/>
    <w:rsid w:val="006F6E05"/>
    <w:rsid w:val="007010FC"/>
    <w:rsid w:val="00702219"/>
    <w:rsid w:val="00702DB3"/>
    <w:rsid w:val="00703ADD"/>
    <w:rsid w:val="007047AC"/>
    <w:rsid w:val="007050F0"/>
    <w:rsid w:val="007056F0"/>
    <w:rsid w:val="00707268"/>
    <w:rsid w:val="00707BB9"/>
    <w:rsid w:val="00710BD5"/>
    <w:rsid w:val="00713959"/>
    <w:rsid w:val="00716506"/>
    <w:rsid w:val="007166F1"/>
    <w:rsid w:val="00717311"/>
    <w:rsid w:val="007178FF"/>
    <w:rsid w:val="00720599"/>
    <w:rsid w:val="00720858"/>
    <w:rsid w:val="007214E9"/>
    <w:rsid w:val="00723149"/>
    <w:rsid w:val="00725D29"/>
    <w:rsid w:val="00726ACE"/>
    <w:rsid w:val="00726DEF"/>
    <w:rsid w:val="00735448"/>
    <w:rsid w:val="00735566"/>
    <w:rsid w:val="0073577B"/>
    <w:rsid w:val="0073796D"/>
    <w:rsid w:val="00740648"/>
    <w:rsid w:val="00741CFB"/>
    <w:rsid w:val="00743BF8"/>
    <w:rsid w:val="00743FAE"/>
    <w:rsid w:val="00747090"/>
    <w:rsid w:val="00747C78"/>
    <w:rsid w:val="00750FCA"/>
    <w:rsid w:val="00751210"/>
    <w:rsid w:val="0075386A"/>
    <w:rsid w:val="00757315"/>
    <w:rsid w:val="00757730"/>
    <w:rsid w:val="00757B91"/>
    <w:rsid w:val="00760154"/>
    <w:rsid w:val="00763225"/>
    <w:rsid w:val="00763C8F"/>
    <w:rsid w:val="00764A45"/>
    <w:rsid w:val="007705EC"/>
    <w:rsid w:val="00780CC7"/>
    <w:rsid w:val="007819F0"/>
    <w:rsid w:val="00782127"/>
    <w:rsid w:val="00785A0E"/>
    <w:rsid w:val="00786BE2"/>
    <w:rsid w:val="00790876"/>
    <w:rsid w:val="007916EF"/>
    <w:rsid w:val="00793086"/>
    <w:rsid w:val="00793C8C"/>
    <w:rsid w:val="00794C2F"/>
    <w:rsid w:val="00796BBE"/>
    <w:rsid w:val="0079790F"/>
    <w:rsid w:val="007A00D6"/>
    <w:rsid w:val="007A023C"/>
    <w:rsid w:val="007A54AA"/>
    <w:rsid w:val="007A58BF"/>
    <w:rsid w:val="007A5C44"/>
    <w:rsid w:val="007A6293"/>
    <w:rsid w:val="007B10FA"/>
    <w:rsid w:val="007B169F"/>
    <w:rsid w:val="007B440F"/>
    <w:rsid w:val="007B57D8"/>
    <w:rsid w:val="007B68FD"/>
    <w:rsid w:val="007C0133"/>
    <w:rsid w:val="007C0BE0"/>
    <w:rsid w:val="007C0E34"/>
    <w:rsid w:val="007C0FD1"/>
    <w:rsid w:val="007C1AA6"/>
    <w:rsid w:val="007C2324"/>
    <w:rsid w:val="007C2D31"/>
    <w:rsid w:val="007C2E66"/>
    <w:rsid w:val="007C2F2A"/>
    <w:rsid w:val="007C48B8"/>
    <w:rsid w:val="007C4B06"/>
    <w:rsid w:val="007C5AB7"/>
    <w:rsid w:val="007C631F"/>
    <w:rsid w:val="007C6AC8"/>
    <w:rsid w:val="007C785E"/>
    <w:rsid w:val="007D044D"/>
    <w:rsid w:val="007D07B7"/>
    <w:rsid w:val="007D0F09"/>
    <w:rsid w:val="007D15D9"/>
    <w:rsid w:val="007D1A91"/>
    <w:rsid w:val="007D2C8E"/>
    <w:rsid w:val="007D33B5"/>
    <w:rsid w:val="007D427F"/>
    <w:rsid w:val="007D4564"/>
    <w:rsid w:val="007D4B01"/>
    <w:rsid w:val="007D4B14"/>
    <w:rsid w:val="007D66BD"/>
    <w:rsid w:val="007D72AD"/>
    <w:rsid w:val="007E020B"/>
    <w:rsid w:val="007E0E97"/>
    <w:rsid w:val="007E1E5A"/>
    <w:rsid w:val="007E209A"/>
    <w:rsid w:val="007E2D75"/>
    <w:rsid w:val="007E2DBC"/>
    <w:rsid w:val="007F18EC"/>
    <w:rsid w:val="007F2235"/>
    <w:rsid w:val="007F2789"/>
    <w:rsid w:val="007F3382"/>
    <w:rsid w:val="007F3D4A"/>
    <w:rsid w:val="008012F6"/>
    <w:rsid w:val="00802D74"/>
    <w:rsid w:val="00804893"/>
    <w:rsid w:val="00804C9F"/>
    <w:rsid w:val="008076EA"/>
    <w:rsid w:val="00807700"/>
    <w:rsid w:val="00812A4E"/>
    <w:rsid w:val="00814AAF"/>
    <w:rsid w:val="008171D7"/>
    <w:rsid w:val="008239E2"/>
    <w:rsid w:val="00824A0C"/>
    <w:rsid w:val="008272C0"/>
    <w:rsid w:val="00830FCB"/>
    <w:rsid w:val="00831500"/>
    <w:rsid w:val="00833409"/>
    <w:rsid w:val="00834140"/>
    <w:rsid w:val="00834182"/>
    <w:rsid w:val="00840A43"/>
    <w:rsid w:val="00840EBF"/>
    <w:rsid w:val="00841625"/>
    <w:rsid w:val="0084290E"/>
    <w:rsid w:val="00843679"/>
    <w:rsid w:val="00843E7E"/>
    <w:rsid w:val="00844305"/>
    <w:rsid w:val="0085084A"/>
    <w:rsid w:val="00850C0E"/>
    <w:rsid w:val="00851561"/>
    <w:rsid w:val="008515F0"/>
    <w:rsid w:val="0085594B"/>
    <w:rsid w:val="00860D57"/>
    <w:rsid w:val="00861E2D"/>
    <w:rsid w:val="00863655"/>
    <w:rsid w:val="00866DBF"/>
    <w:rsid w:val="00870E16"/>
    <w:rsid w:val="008726F8"/>
    <w:rsid w:val="00872880"/>
    <w:rsid w:val="00874656"/>
    <w:rsid w:val="00874FF6"/>
    <w:rsid w:val="00875124"/>
    <w:rsid w:val="00875B5D"/>
    <w:rsid w:val="008769F9"/>
    <w:rsid w:val="00876E81"/>
    <w:rsid w:val="008774ED"/>
    <w:rsid w:val="00877A99"/>
    <w:rsid w:val="0088033C"/>
    <w:rsid w:val="00883062"/>
    <w:rsid w:val="008831D6"/>
    <w:rsid w:val="00883A05"/>
    <w:rsid w:val="00884071"/>
    <w:rsid w:val="00884295"/>
    <w:rsid w:val="00886412"/>
    <w:rsid w:val="008867FA"/>
    <w:rsid w:val="00887BFB"/>
    <w:rsid w:val="00887D70"/>
    <w:rsid w:val="00890B5F"/>
    <w:rsid w:val="008922AE"/>
    <w:rsid w:val="00894247"/>
    <w:rsid w:val="00897460"/>
    <w:rsid w:val="00897860"/>
    <w:rsid w:val="00897B9C"/>
    <w:rsid w:val="008A16A6"/>
    <w:rsid w:val="008A3BB4"/>
    <w:rsid w:val="008A4BD2"/>
    <w:rsid w:val="008A4D59"/>
    <w:rsid w:val="008A5D48"/>
    <w:rsid w:val="008A5EB8"/>
    <w:rsid w:val="008A6312"/>
    <w:rsid w:val="008A6336"/>
    <w:rsid w:val="008A6485"/>
    <w:rsid w:val="008B042A"/>
    <w:rsid w:val="008B070A"/>
    <w:rsid w:val="008B0BBC"/>
    <w:rsid w:val="008B25BB"/>
    <w:rsid w:val="008B2EA7"/>
    <w:rsid w:val="008B3CD4"/>
    <w:rsid w:val="008B6817"/>
    <w:rsid w:val="008C062A"/>
    <w:rsid w:val="008C1440"/>
    <w:rsid w:val="008C1542"/>
    <w:rsid w:val="008C26F9"/>
    <w:rsid w:val="008C2A7B"/>
    <w:rsid w:val="008C2B5B"/>
    <w:rsid w:val="008C465E"/>
    <w:rsid w:val="008C6CB4"/>
    <w:rsid w:val="008C7A71"/>
    <w:rsid w:val="008D1BF6"/>
    <w:rsid w:val="008D20CB"/>
    <w:rsid w:val="008D22C0"/>
    <w:rsid w:val="008D31C1"/>
    <w:rsid w:val="008D3335"/>
    <w:rsid w:val="008D580B"/>
    <w:rsid w:val="008D7B3B"/>
    <w:rsid w:val="008E468B"/>
    <w:rsid w:val="008E64C9"/>
    <w:rsid w:val="008E7CDE"/>
    <w:rsid w:val="008F078E"/>
    <w:rsid w:val="008F0AD2"/>
    <w:rsid w:val="008F169F"/>
    <w:rsid w:val="008F3271"/>
    <w:rsid w:val="008F334E"/>
    <w:rsid w:val="008F3AF9"/>
    <w:rsid w:val="008F5A29"/>
    <w:rsid w:val="008F71DE"/>
    <w:rsid w:val="008F733B"/>
    <w:rsid w:val="008F738C"/>
    <w:rsid w:val="008F7A99"/>
    <w:rsid w:val="0090105F"/>
    <w:rsid w:val="009022FF"/>
    <w:rsid w:val="00902B5A"/>
    <w:rsid w:val="0090589A"/>
    <w:rsid w:val="00905AB7"/>
    <w:rsid w:val="00907D4E"/>
    <w:rsid w:val="00912057"/>
    <w:rsid w:val="009135F8"/>
    <w:rsid w:val="009142D6"/>
    <w:rsid w:val="00915102"/>
    <w:rsid w:val="009175B1"/>
    <w:rsid w:val="00917F9B"/>
    <w:rsid w:val="00921FAA"/>
    <w:rsid w:val="0092374B"/>
    <w:rsid w:val="00923C6E"/>
    <w:rsid w:val="00925E34"/>
    <w:rsid w:val="00927C65"/>
    <w:rsid w:val="009303FA"/>
    <w:rsid w:val="00933372"/>
    <w:rsid w:val="00934087"/>
    <w:rsid w:val="009340AC"/>
    <w:rsid w:val="00934FE3"/>
    <w:rsid w:val="00935021"/>
    <w:rsid w:val="009411BA"/>
    <w:rsid w:val="00941A1D"/>
    <w:rsid w:val="00941F25"/>
    <w:rsid w:val="009428B6"/>
    <w:rsid w:val="00945CCE"/>
    <w:rsid w:val="00945FCE"/>
    <w:rsid w:val="00946683"/>
    <w:rsid w:val="00950A74"/>
    <w:rsid w:val="009527D5"/>
    <w:rsid w:val="0095427F"/>
    <w:rsid w:val="0095518C"/>
    <w:rsid w:val="00955657"/>
    <w:rsid w:val="0095594D"/>
    <w:rsid w:val="00955FF0"/>
    <w:rsid w:val="009565A5"/>
    <w:rsid w:val="009575A2"/>
    <w:rsid w:val="00957F2D"/>
    <w:rsid w:val="009625B6"/>
    <w:rsid w:val="00962DF4"/>
    <w:rsid w:val="00970BE3"/>
    <w:rsid w:val="00975112"/>
    <w:rsid w:val="00976698"/>
    <w:rsid w:val="00976960"/>
    <w:rsid w:val="009826CD"/>
    <w:rsid w:val="0098380C"/>
    <w:rsid w:val="00983F2B"/>
    <w:rsid w:val="00983FDC"/>
    <w:rsid w:val="00985870"/>
    <w:rsid w:val="0099083E"/>
    <w:rsid w:val="00992115"/>
    <w:rsid w:val="00993687"/>
    <w:rsid w:val="009A16A9"/>
    <w:rsid w:val="009A5758"/>
    <w:rsid w:val="009A5926"/>
    <w:rsid w:val="009A594A"/>
    <w:rsid w:val="009A6A0D"/>
    <w:rsid w:val="009B051B"/>
    <w:rsid w:val="009B0EC6"/>
    <w:rsid w:val="009B1444"/>
    <w:rsid w:val="009B4BEA"/>
    <w:rsid w:val="009B6A62"/>
    <w:rsid w:val="009B6DCC"/>
    <w:rsid w:val="009B7812"/>
    <w:rsid w:val="009B78D1"/>
    <w:rsid w:val="009B7E52"/>
    <w:rsid w:val="009C029E"/>
    <w:rsid w:val="009C21FD"/>
    <w:rsid w:val="009C2AA1"/>
    <w:rsid w:val="009C2DB2"/>
    <w:rsid w:val="009C4748"/>
    <w:rsid w:val="009C53A4"/>
    <w:rsid w:val="009C6A5B"/>
    <w:rsid w:val="009D23E3"/>
    <w:rsid w:val="009D2D56"/>
    <w:rsid w:val="009D34A6"/>
    <w:rsid w:val="009D3BE8"/>
    <w:rsid w:val="009D561D"/>
    <w:rsid w:val="009D6B60"/>
    <w:rsid w:val="009E08A2"/>
    <w:rsid w:val="009E108B"/>
    <w:rsid w:val="009E1803"/>
    <w:rsid w:val="009E2D03"/>
    <w:rsid w:val="009E4410"/>
    <w:rsid w:val="009E4A17"/>
    <w:rsid w:val="009E4EB4"/>
    <w:rsid w:val="009E663B"/>
    <w:rsid w:val="009E73C9"/>
    <w:rsid w:val="009F2AE3"/>
    <w:rsid w:val="009F49A5"/>
    <w:rsid w:val="009F5A66"/>
    <w:rsid w:val="009F5C03"/>
    <w:rsid w:val="009F5F94"/>
    <w:rsid w:val="00A0251F"/>
    <w:rsid w:val="00A05616"/>
    <w:rsid w:val="00A06912"/>
    <w:rsid w:val="00A075A8"/>
    <w:rsid w:val="00A100BD"/>
    <w:rsid w:val="00A144EA"/>
    <w:rsid w:val="00A14852"/>
    <w:rsid w:val="00A1557B"/>
    <w:rsid w:val="00A16363"/>
    <w:rsid w:val="00A20E51"/>
    <w:rsid w:val="00A22C90"/>
    <w:rsid w:val="00A232C8"/>
    <w:rsid w:val="00A237B8"/>
    <w:rsid w:val="00A25769"/>
    <w:rsid w:val="00A2691D"/>
    <w:rsid w:val="00A26BED"/>
    <w:rsid w:val="00A27CDE"/>
    <w:rsid w:val="00A3067C"/>
    <w:rsid w:val="00A3386E"/>
    <w:rsid w:val="00A3396E"/>
    <w:rsid w:val="00A3608B"/>
    <w:rsid w:val="00A416D2"/>
    <w:rsid w:val="00A41E49"/>
    <w:rsid w:val="00A43F09"/>
    <w:rsid w:val="00A44CF5"/>
    <w:rsid w:val="00A4553B"/>
    <w:rsid w:val="00A455E4"/>
    <w:rsid w:val="00A45C38"/>
    <w:rsid w:val="00A50F75"/>
    <w:rsid w:val="00A5219F"/>
    <w:rsid w:val="00A525D0"/>
    <w:rsid w:val="00A527C4"/>
    <w:rsid w:val="00A5375B"/>
    <w:rsid w:val="00A56693"/>
    <w:rsid w:val="00A5691D"/>
    <w:rsid w:val="00A57581"/>
    <w:rsid w:val="00A618E7"/>
    <w:rsid w:val="00A64AD7"/>
    <w:rsid w:val="00A67688"/>
    <w:rsid w:val="00A67F3C"/>
    <w:rsid w:val="00A708B0"/>
    <w:rsid w:val="00A7244C"/>
    <w:rsid w:val="00A72B36"/>
    <w:rsid w:val="00A72FA7"/>
    <w:rsid w:val="00A73105"/>
    <w:rsid w:val="00A74A43"/>
    <w:rsid w:val="00A76060"/>
    <w:rsid w:val="00A76D52"/>
    <w:rsid w:val="00A83089"/>
    <w:rsid w:val="00A848AA"/>
    <w:rsid w:val="00A84D9C"/>
    <w:rsid w:val="00A85C0C"/>
    <w:rsid w:val="00A86DFE"/>
    <w:rsid w:val="00A874F5"/>
    <w:rsid w:val="00A90270"/>
    <w:rsid w:val="00A92D74"/>
    <w:rsid w:val="00A93942"/>
    <w:rsid w:val="00A94E3D"/>
    <w:rsid w:val="00A95182"/>
    <w:rsid w:val="00A96168"/>
    <w:rsid w:val="00A96D15"/>
    <w:rsid w:val="00AA0E7A"/>
    <w:rsid w:val="00AA10CE"/>
    <w:rsid w:val="00AA2C81"/>
    <w:rsid w:val="00AA33EF"/>
    <w:rsid w:val="00AA3A8A"/>
    <w:rsid w:val="00AA3C6F"/>
    <w:rsid w:val="00AA47A7"/>
    <w:rsid w:val="00AA4B59"/>
    <w:rsid w:val="00AA68CA"/>
    <w:rsid w:val="00AA772D"/>
    <w:rsid w:val="00AA7D71"/>
    <w:rsid w:val="00AB7679"/>
    <w:rsid w:val="00AB7FAC"/>
    <w:rsid w:val="00AC10DE"/>
    <w:rsid w:val="00AC16CF"/>
    <w:rsid w:val="00AC6BCA"/>
    <w:rsid w:val="00AC7AAE"/>
    <w:rsid w:val="00AD02D2"/>
    <w:rsid w:val="00AD1C3F"/>
    <w:rsid w:val="00AD440C"/>
    <w:rsid w:val="00AD5D9C"/>
    <w:rsid w:val="00AE02ED"/>
    <w:rsid w:val="00AE1773"/>
    <w:rsid w:val="00AE3BBF"/>
    <w:rsid w:val="00AE429A"/>
    <w:rsid w:val="00AE48D3"/>
    <w:rsid w:val="00AE686C"/>
    <w:rsid w:val="00AF1272"/>
    <w:rsid w:val="00AF2922"/>
    <w:rsid w:val="00AF5F20"/>
    <w:rsid w:val="00AF6DD9"/>
    <w:rsid w:val="00B01365"/>
    <w:rsid w:val="00B0248C"/>
    <w:rsid w:val="00B02D81"/>
    <w:rsid w:val="00B03425"/>
    <w:rsid w:val="00B067AE"/>
    <w:rsid w:val="00B06D13"/>
    <w:rsid w:val="00B1022B"/>
    <w:rsid w:val="00B140E1"/>
    <w:rsid w:val="00B16700"/>
    <w:rsid w:val="00B22166"/>
    <w:rsid w:val="00B23064"/>
    <w:rsid w:val="00B249CC"/>
    <w:rsid w:val="00B2550F"/>
    <w:rsid w:val="00B27401"/>
    <w:rsid w:val="00B3049D"/>
    <w:rsid w:val="00B313DC"/>
    <w:rsid w:val="00B31662"/>
    <w:rsid w:val="00B31D81"/>
    <w:rsid w:val="00B32DB1"/>
    <w:rsid w:val="00B33845"/>
    <w:rsid w:val="00B344E9"/>
    <w:rsid w:val="00B35D9F"/>
    <w:rsid w:val="00B36017"/>
    <w:rsid w:val="00B42695"/>
    <w:rsid w:val="00B428EE"/>
    <w:rsid w:val="00B43938"/>
    <w:rsid w:val="00B43A2C"/>
    <w:rsid w:val="00B52CAE"/>
    <w:rsid w:val="00B53D28"/>
    <w:rsid w:val="00B54FD7"/>
    <w:rsid w:val="00B557B5"/>
    <w:rsid w:val="00B61817"/>
    <w:rsid w:val="00B6348D"/>
    <w:rsid w:val="00B638A2"/>
    <w:rsid w:val="00B63E26"/>
    <w:rsid w:val="00B64221"/>
    <w:rsid w:val="00B647AD"/>
    <w:rsid w:val="00B64879"/>
    <w:rsid w:val="00B65268"/>
    <w:rsid w:val="00B661AA"/>
    <w:rsid w:val="00B6789F"/>
    <w:rsid w:val="00B71F25"/>
    <w:rsid w:val="00B73D6D"/>
    <w:rsid w:val="00B80A9A"/>
    <w:rsid w:val="00B825A8"/>
    <w:rsid w:val="00B82F76"/>
    <w:rsid w:val="00B844E0"/>
    <w:rsid w:val="00B86052"/>
    <w:rsid w:val="00B874D4"/>
    <w:rsid w:val="00B91905"/>
    <w:rsid w:val="00B921A4"/>
    <w:rsid w:val="00B92C44"/>
    <w:rsid w:val="00B93011"/>
    <w:rsid w:val="00B95EED"/>
    <w:rsid w:val="00B967AB"/>
    <w:rsid w:val="00B979E9"/>
    <w:rsid w:val="00B97DAD"/>
    <w:rsid w:val="00BA2982"/>
    <w:rsid w:val="00BA2DE3"/>
    <w:rsid w:val="00BA5334"/>
    <w:rsid w:val="00BA657B"/>
    <w:rsid w:val="00BA72E5"/>
    <w:rsid w:val="00BA7CE1"/>
    <w:rsid w:val="00BA7EC3"/>
    <w:rsid w:val="00BB0A44"/>
    <w:rsid w:val="00BB4DAC"/>
    <w:rsid w:val="00BB566C"/>
    <w:rsid w:val="00BB5AE4"/>
    <w:rsid w:val="00BB6255"/>
    <w:rsid w:val="00BB71BB"/>
    <w:rsid w:val="00BC075D"/>
    <w:rsid w:val="00BC0D4F"/>
    <w:rsid w:val="00BC1196"/>
    <w:rsid w:val="00BC15F1"/>
    <w:rsid w:val="00BC270F"/>
    <w:rsid w:val="00BC477C"/>
    <w:rsid w:val="00BC512F"/>
    <w:rsid w:val="00BD1D25"/>
    <w:rsid w:val="00BD2688"/>
    <w:rsid w:val="00BD300B"/>
    <w:rsid w:val="00BD35A6"/>
    <w:rsid w:val="00BD52C8"/>
    <w:rsid w:val="00BD595E"/>
    <w:rsid w:val="00BD7801"/>
    <w:rsid w:val="00BE0076"/>
    <w:rsid w:val="00BE11F3"/>
    <w:rsid w:val="00BE682C"/>
    <w:rsid w:val="00BE6A60"/>
    <w:rsid w:val="00BE781E"/>
    <w:rsid w:val="00BE7FA3"/>
    <w:rsid w:val="00BF2716"/>
    <w:rsid w:val="00BF49E6"/>
    <w:rsid w:val="00BF4DBC"/>
    <w:rsid w:val="00BF5319"/>
    <w:rsid w:val="00BF67AF"/>
    <w:rsid w:val="00BF6E6F"/>
    <w:rsid w:val="00C03541"/>
    <w:rsid w:val="00C05953"/>
    <w:rsid w:val="00C0796A"/>
    <w:rsid w:val="00C07AB7"/>
    <w:rsid w:val="00C07D12"/>
    <w:rsid w:val="00C12A66"/>
    <w:rsid w:val="00C12BCA"/>
    <w:rsid w:val="00C13796"/>
    <w:rsid w:val="00C1482E"/>
    <w:rsid w:val="00C14C4B"/>
    <w:rsid w:val="00C14DC8"/>
    <w:rsid w:val="00C171E8"/>
    <w:rsid w:val="00C211C9"/>
    <w:rsid w:val="00C22E47"/>
    <w:rsid w:val="00C2337F"/>
    <w:rsid w:val="00C24444"/>
    <w:rsid w:val="00C25327"/>
    <w:rsid w:val="00C25BFF"/>
    <w:rsid w:val="00C27DB9"/>
    <w:rsid w:val="00C30273"/>
    <w:rsid w:val="00C302DE"/>
    <w:rsid w:val="00C338E5"/>
    <w:rsid w:val="00C33A67"/>
    <w:rsid w:val="00C347F8"/>
    <w:rsid w:val="00C34839"/>
    <w:rsid w:val="00C371B6"/>
    <w:rsid w:val="00C41EFD"/>
    <w:rsid w:val="00C42580"/>
    <w:rsid w:val="00C452EF"/>
    <w:rsid w:val="00C477A1"/>
    <w:rsid w:val="00C502FE"/>
    <w:rsid w:val="00C5111E"/>
    <w:rsid w:val="00C51875"/>
    <w:rsid w:val="00C52C39"/>
    <w:rsid w:val="00C5307F"/>
    <w:rsid w:val="00C54CCB"/>
    <w:rsid w:val="00C56905"/>
    <w:rsid w:val="00C6085C"/>
    <w:rsid w:val="00C60CA4"/>
    <w:rsid w:val="00C6112B"/>
    <w:rsid w:val="00C6475D"/>
    <w:rsid w:val="00C64D93"/>
    <w:rsid w:val="00C65BE4"/>
    <w:rsid w:val="00C65CD6"/>
    <w:rsid w:val="00C666FB"/>
    <w:rsid w:val="00C676BA"/>
    <w:rsid w:val="00C67F19"/>
    <w:rsid w:val="00C70C6D"/>
    <w:rsid w:val="00C73699"/>
    <w:rsid w:val="00C75985"/>
    <w:rsid w:val="00C80CF0"/>
    <w:rsid w:val="00C83004"/>
    <w:rsid w:val="00C84D20"/>
    <w:rsid w:val="00C877B1"/>
    <w:rsid w:val="00C87AFB"/>
    <w:rsid w:val="00C91C2B"/>
    <w:rsid w:val="00C92E58"/>
    <w:rsid w:val="00C9355E"/>
    <w:rsid w:val="00C94DC6"/>
    <w:rsid w:val="00C95F15"/>
    <w:rsid w:val="00C96468"/>
    <w:rsid w:val="00C97142"/>
    <w:rsid w:val="00C976B2"/>
    <w:rsid w:val="00CA0489"/>
    <w:rsid w:val="00CA1374"/>
    <w:rsid w:val="00CA1707"/>
    <w:rsid w:val="00CA1EC1"/>
    <w:rsid w:val="00CA4F82"/>
    <w:rsid w:val="00CA62B7"/>
    <w:rsid w:val="00CA655C"/>
    <w:rsid w:val="00CB0153"/>
    <w:rsid w:val="00CB12A1"/>
    <w:rsid w:val="00CB1835"/>
    <w:rsid w:val="00CB3D7A"/>
    <w:rsid w:val="00CB3FB2"/>
    <w:rsid w:val="00CB687B"/>
    <w:rsid w:val="00CB75B5"/>
    <w:rsid w:val="00CB7D60"/>
    <w:rsid w:val="00CC3568"/>
    <w:rsid w:val="00CC732D"/>
    <w:rsid w:val="00CC7441"/>
    <w:rsid w:val="00CD08D5"/>
    <w:rsid w:val="00CD097A"/>
    <w:rsid w:val="00CD1BB1"/>
    <w:rsid w:val="00CD620A"/>
    <w:rsid w:val="00CD6B14"/>
    <w:rsid w:val="00CD6FD9"/>
    <w:rsid w:val="00CD7B7F"/>
    <w:rsid w:val="00CE0D99"/>
    <w:rsid w:val="00CE1CE7"/>
    <w:rsid w:val="00CE24DB"/>
    <w:rsid w:val="00CE48CD"/>
    <w:rsid w:val="00CE56D4"/>
    <w:rsid w:val="00CF0061"/>
    <w:rsid w:val="00CF0C0E"/>
    <w:rsid w:val="00CF1179"/>
    <w:rsid w:val="00CF1405"/>
    <w:rsid w:val="00CF3A19"/>
    <w:rsid w:val="00CF60BF"/>
    <w:rsid w:val="00CF66E1"/>
    <w:rsid w:val="00CF6A88"/>
    <w:rsid w:val="00D01F9D"/>
    <w:rsid w:val="00D02464"/>
    <w:rsid w:val="00D027C1"/>
    <w:rsid w:val="00D03441"/>
    <w:rsid w:val="00D03BAE"/>
    <w:rsid w:val="00D03D47"/>
    <w:rsid w:val="00D03D8D"/>
    <w:rsid w:val="00D04521"/>
    <w:rsid w:val="00D05378"/>
    <w:rsid w:val="00D0590C"/>
    <w:rsid w:val="00D07312"/>
    <w:rsid w:val="00D1156B"/>
    <w:rsid w:val="00D118A5"/>
    <w:rsid w:val="00D11B58"/>
    <w:rsid w:val="00D162D5"/>
    <w:rsid w:val="00D2033F"/>
    <w:rsid w:val="00D222AF"/>
    <w:rsid w:val="00D22F74"/>
    <w:rsid w:val="00D25163"/>
    <w:rsid w:val="00D26572"/>
    <w:rsid w:val="00D268C3"/>
    <w:rsid w:val="00D33B53"/>
    <w:rsid w:val="00D349BD"/>
    <w:rsid w:val="00D349CF"/>
    <w:rsid w:val="00D35DD0"/>
    <w:rsid w:val="00D3790B"/>
    <w:rsid w:val="00D40A8B"/>
    <w:rsid w:val="00D40BCC"/>
    <w:rsid w:val="00D41352"/>
    <w:rsid w:val="00D44D33"/>
    <w:rsid w:val="00D44DF5"/>
    <w:rsid w:val="00D44FCF"/>
    <w:rsid w:val="00D456FD"/>
    <w:rsid w:val="00D45F0B"/>
    <w:rsid w:val="00D4773E"/>
    <w:rsid w:val="00D5009B"/>
    <w:rsid w:val="00D50906"/>
    <w:rsid w:val="00D5097A"/>
    <w:rsid w:val="00D50B11"/>
    <w:rsid w:val="00D5280E"/>
    <w:rsid w:val="00D52BF7"/>
    <w:rsid w:val="00D5518E"/>
    <w:rsid w:val="00D55DEB"/>
    <w:rsid w:val="00D56333"/>
    <w:rsid w:val="00D56777"/>
    <w:rsid w:val="00D575E8"/>
    <w:rsid w:val="00D5792C"/>
    <w:rsid w:val="00D60530"/>
    <w:rsid w:val="00D615E8"/>
    <w:rsid w:val="00D61B49"/>
    <w:rsid w:val="00D63995"/>
    <w:rsid w:val="00D64C5E"/>
    <w:rsid w:val="00D65732"/>
    <w:rsid w:val="00D65C6D"/>
    <w:rsid w:val="00D66001"/>
    <w:rsid w:val="00D668AB"/>
    <w:rsid w:val="00D70468"/>
    <w:rsid w:val="00D71FFC"/>
    <w:rsid w:val="00D727A7"/>
    <w:rsid w:val="00D727E1"/>
    <w:rsid w:val="00D72A21"/>
    <w:rsid w:val="00D73411"/>
    <w:rsid w:val="00D73D2D"/>
    <w:rsid w:val="00D8315E"/>
    <w:rsid w:val="00D8351D"/>
    <w:rsid w:val="00D8355B"/>
    <w:rsid w:val="00D840E5"/>
    <w:rsid w:val="00D85395"/>
    <w:rsid w:val="00D9087C"/>
    <w:rsid w:val="00D90AA4"/>
    <w:rsid w:val="00D92B65"/>
    <w:rsid w:val="00D93440"/>
    <w:rsid w:val="00D935B8"/>
    <w:rsid w:val="00D95588"/>
    <w:rsid w:val="00DA02A5"/>
    <w:rsid w:val="00DA2910"/>
    <w:rsid w:val="00DA2F0C"/>
    <w:rsid w:val="00DA4233"/>
    <w:rsid w:val="00DA683C"/>
    <w:rsid w:val="00DA6954"/>
    <w:rsid w:val="00DA7ABF"/>
    <w:rsid w:val="00DB0277"/>
    <w:rsid w:val="00DB23E0"/>
    <w:rsid w:val="00DB323B"/>
    <w:rsid w:val="00DB4078"/>
    <w:rsid w:val="00DB40A9"/>
    <w:rsid w:val="00DB5627"/>
    <w:rsid w:val="00DB62A4"/>
    <w:rsid w:val="00DB6410"/>
    <w:rsid w:val="00DB6B86"/>
    <w:rsid w:val="00DB7991"/>
    <w:rsid w:val="00DC0644"/>
    <w:rsid w:val="00DC2988"/>
    <w:rsid w:val="00DC3ED0"/>
    <w:rsid w:val="00DC50D4"/>
    <w:rsid w:val="00DC5469"/>
    <w:rsid w:val="00DC6538"/>
    <w:rsid w:val="00DC67BE"/>
    <w:rsid w:val="00DC6EDF"/>
    <w:rsid w:val="00DC6F2D"/>
    <w:rsid w:val="00DC761F"/>
    <w:rsid w:val="00DD1477"/>
    <w:rsid w:val="00DD2AC1"/>
    <w:rsid w:val="00DD5B4C"/>
    <w:rsid w:val="00DE013B"/>
    <w:rsid w:val="00DE254C"/>
    <w:rsid w:val="00DE3CD2"/>
    <w:rsid w:val="00DE5BA8"/>
    <w:rsid w:val="00DE67A3"/>
    <w:rsid w:val="00DE6CD5"/>
    <w:rsid w:val="00DE7528"/>
    <w:rsid w:val="00DF093F"/>
    <w:rsid w:val="00DF2399"/>
    <w:rsid w:val="00DF2F67"/>
    <w:rsid w:val="00E000B6"/>
    <w:rsid w:val="00E00517"/>
    <w:rsid w:val="00E007FA"/>
    <w:rsid w:val="00E01519"/>
    <w:rsid w:val="00E0155B"/>
    <w:rsid w:val="00E02163"/>
    <w:rsid w:val="00E02C77"/>
    <w:rsid w:val="00E032A3"/>
    <w:rsid w:val="00E0384F"/>
    <w:rsid w:val="00E04AB5"/>
    <w:rsid w:val="00E04BC1"/>
    <w:rsid w:val="00E05173"/>
    <w:rsid w:val="00E05BC7"/>
    <w:rsid w:val="00E06681"/>
    <w:rsid w:val="00E10250"/>
    <w:rsid w:val="00E103BB"/>
    <w:rsid w:val="00E108F1"/>
    <w:rsid w:val="00E1117C"/>
    <w:rsid w:val="00E14075"/>
    <w:rsid w:val="00E14841"/>
    <w:rsid w:val="00E158AB"/>
    <w:rsid w:val="00E163EF"/>
    <w:rsid w:val="00E1660C"/>
    <w:rsid w:val="00E2036B"/>
    <w:rsid w:val="00E20E2B"/>
    <w:rsid w:val="00E213B9"/>
    <w:rsid w:val="00E27B40"/>
    <w:rsid w:val="00E30898"/>
    <w:rsid w:val="00E312DF"/>
    <w:rsid w:val="00E315DC"/>
    <w:rsid w:val="00E32920"/>
    <w:rsid w:val="00E33A4E"/>
    <w:rsid w:val="00E37242"/>
    <w:rsid w:val="00E4298F"/>
    <w:rsid w:val="00E44186"/>
    <w:rsid w:val="00E447A7"/>
    <w:rsid w:val="00E45ABF"/>
    <w:rsid w:val="00E46421"/>
    <w:rsid w:val="00E51CD0"/>
    <w:rsid w:val="00E52573"/>
    <w:rsid w:val="00E52DAE"/>
    <w:rsid w:val="00E542DB"/>
    <w:rsid w:val="00E558DF"/>
    <w:rsid w:val="00E56C6E"/>
    <w:rsid w:val="00E56FC4"/>
    <w:rsid w:val="00E57683"/>
    <w:rsid w:val="00E6046A"/>
    <w:rsid w:val="00E61733"/>
    <w:rsid w:val="00E62C79"/>
    <w:rsid w:val="00E630B6"/>
    <w:rsid w:val="00E634AE"/>
    <w:rsid w:val="00E6358E"/>
    <w:rsid w:val="00E63A9D"/>
    <w:rsid w:val="00E64479"/>
    <w:rsid w:val="00E67868"/>
    <w:rsid w:val="00E70FBA"/>
    <w:rsid w:val="00E726C7"/>
    <w:rsid w:val="00E72A12"/>
    <w:rsid w:val="00E751C2"/>
    <w:rsid w:val="00E760D9"/>
    <w:rsid w:val="00E7635E"/>
    <w:rsid w:val="00E76621"/>
    <w:rsid w:val="00E766F8"/>
    <w:rsid w:val="00E76735"/>
    <w:rsid w:val="00E76775"/>
    <w:rsid w:val="00E76D14"/>
    <w:rsid w:val="00E76FE1"/>
    <w:rsid w:val="00E80CBD"/>
    <w:rsid w:val="00E83B89"/>
    <w:rsid w:val="00E84282"/>
    <w:rsid w:val="00E84323"/>
    <w:rsid w:val="00E8504F"/>
    <w:rsid w:val="00E85B01"/>
    <w:rsid w:val="00E86666"/>
    <w:rsid w:val="00E901D0"/>
    <w:rsid w:val="00E94FDA"/>
    <w:rsid w:val="00E95DC7"/>
    <w:rsid w:val="00E96CC6"/>
    <w:rsid w:val="00EA0DD0"/>
    <w:rsid w:val="00EA4325"/>
    <w:rsid w:val="00EA4A93"/>
    <w:rsid w:val="00EB0F30"/>
    <w:rsid w:val="00EB20E0"/>
    <w:rsid w:val="00EB2F74"/>
    <w:rsid w:val="00EB3B62"/>
    <w:rsid w:val="00EB3F4C"/>
    <w:rsid w:val="00EB4712"/>
    <w:rsid w:val="00EB5F26"/>
    <w:rsid w:val="00EB6030"/>
    <w:rsid w:val="00EB6536"/>
    <w:rsid w:val="00EB7F0D"/>
    <w:rsid w:val="00EC20E8"/>
    <w:rsid w:val="00EC2DB1"/>
    <w:rsid w:val="00EC3C44"/>
    <w:rsid w:val="00EC5395"/>
    <w:rsid w:val="00EC7F82"/>
    <w:rsid w:val="00ED14C8"/>
    <w:rsid w:val="00ED5B81"/>
    <w:rsid w:val="00ED6EFA"/>
    <w:rsid w:val="00ED7317"/>
    <w:rsid w:val="00EE1BC4"/>
    <w:rsid w:val="00EE3236"/>
    <w:rsid w:val="00EE3DCA"/>
    <w:rsid w:val="00EE3DE8"/>
    <w:rsid w:val="00EE6520"/>
    <w:rsid w:val="00EE7C6B"/>
    <w:rsid w:val="00EF1F07"/>
    <w:rsid w:val="00EF4FDD"/>
    <w:rsid w:val="00EF7872"/>
    <w:rsid w:val="00F00D1D"/>
    <w:rsid w:val="00F01626"/>
    <w:rsid w:val="00F02314"/>
    <w:rsid w:val="00F02A5C"/>
    <w:rsid w:val="00F02B7D"/>
    <w:rsid w:val="00F03187"/>
    <w:rsid w:val="00F053E2"/>
    <w:rsid w:val="00F05B6B"/>
    <w:rsid w:val="00F05C78"/>
    <w:rsid w:val="00F06A82"/>
    <w:rsid w:val="00F06E07"/>
    <w:rsid w:val="00F119D6"/>
    <w:rsid w:val="00F134B5"/>
    <w:rsid w:val="00F16B69"/>
    <w:rsid w:val="00F20D46"/>
    <w:rsid w:val="00F22B5B"/>
    <w:rsid w:val="00F24964"/>
    <w:rsid w:val="00F2639F"/>
    <w:rsid w:val="00F26746"/>
    <w:rsid w:val="00F30D0F"/>
    <w:rsid w:val="00F3219E"/>
    <w:rsid w:val="00F37887"/>
    <w:rsid w:val="00F37958"/>
    <w:rsid w:val="00F40112"/>
    <w:rsid w:val="00F41C6A"/>
    <w:rsid w:val="00F434E4"/>
    <w:rsid w:val="00F43629"/>
    <w:rsid w:val="00F43AB0"/>
    <w:rsid w:val="00F448FF"/>
    <w:rsid w:val="00F46F41"/>
    <w:rsid w:val="00F470B3"/>
    <w:rsid w:val="00F473DC"/>
    <w:rsid w:val="00F4768E"/>
    <w:rsid w:val="00F476AA"/>
    <w:rsid w:val="00F50369"/>
    <w:rsid w:val="00F50A58"/>
    <w:rsid w:val="00F50F1C"/>
    <w:rsid w:val="00F519E0"/>
    <w:rsid w:val="00F519F5"/>
    <w:rsid w:val="00F51B21"/>
    <w:rsid w:val="00F550DD"/>
    <w:rsid w:val="00F5542E"/>
    <w:rsid w:val="00F565B9"/>
    <w:rsid w:val="00F56D8E"/>
    <w:rsid w:val="00F622A9"/>
    <w:rsid w:val="00F64DE1"/>
    <w:rsid w:val="00F66230"/>
    <w:rsid w:val="00F67CE1"/>
    <w:rsid w:val="00F67FB2"/>
    <w:rsid w:val="00F715D1"/>
    <w:rsid w:val="00F71949"/>
    <w:rsid w:val="00F71B86"/>
    <w:rsid w:val="00F752E1"/>
    <w:rsid w:val="00F77F06"/>
    <w:rsid w:val="00F808FC"/>
    <w:rsid w:val="00F814BB"/>
    <w:rsid w:val="00F81A64"/>
    <w:rsid w:val="00F8275B"/>
    <w:rsid w:val="00F85E3B"/>
    <w:rsid w:val="00F8648F"/>
    <w:rsid w:val="00F86A68"/>
    <w:rsid w:val="00F9034C"/>
    <w:rsid w:val="00F91EAA"/>
    <w:rsid w:val="00F93BCA"/>
    <w:rsid w:val="00FA2D4C"/>
    <w:rsid w:val="00FA4E71"/>
    <w:rsid w:val="00FA6EBF"/>
    <w:rsid w:val="00FB0670"/>
    <w:rsid w:val="00FB0ABD"/>
    <w:rsid w:val="00FB0AEE"/>
    <w:rsid w:val="00FB1A64"/>
    <w:rsid w:val="00FB1D4A"/>
    <w:rsid w:val="00FB40E4"/>
    <w:rsid w:val="00FB49F7"/>
    <w:rsid w:val="00FB6194"/>
    <w:rsid w:val="00FB6BCD"/>
    <w:rsid w:val="00FB7DB1"/>
    <w:rsid w:val="00FC0FC4"/>
    <w:rsid w:val="00FC1566"/>
    <w:rsid w:val="00FC2C22"/>
    <w:rsid w:val="00FC3264"/>
    <w:rsid w:val="00FC3297"/>
    <w:rsid w:val="00FC3C2D"/>
    <w:rsid w:val="00FC7939"/>
    <w:rsid w:val="00FD3466"/>
    <w:rsid w:val="00FD45F8"/>
    <w:rsid w:val="00FD5E0A"/>
    <w:rsid w:val="00FD6D5A"/>
    <w:rsid w:val="00FD7A51"/>
    <w:rsid w:val="00FE0528"/>
    <w:rsid w:val="00FE0BA2"/>
    <w:rsid w:val="00FE1D1C"/>
    <w:rsid w:val="00FE1E63"/>
    <w:rsid w:val="00FE23CE"/>
    <w:rsid w:val="00FE2DEC"/>
    <w:rsid w:val="00FE36B3"/>
    <w:rsid w:val="00FE4827"/>
    <w:rsid w:val="00FE6679"/>
    <w:rsid w:val="00FF32FD"/>
    <w:rsid w:val="00FF5735"/>
    <w:rsid w:val="00FF577E"/>
    <w:rsid w:val="00FF5858"/>
    <w:rsid w:val="00FF6305"/>
    <w:rsid w:val="070A01F5"/>
    <w:rsid w:val="0B2E009D"/>
    <w:rsid w:val="0EC23A3A"/>
    <w:rsid w:val="105743D1"/>
    <w:rsid w:val="16026E0F"/>
    <w:rsid w:val="1B4B0796"/>
    <w:rsid w:val="1BDC1342"/>
    <w:rsid w:val="205933C9"/>
    <w:rsid w:val="2100347A"/>
    <w:rsid w:val="25207829"/>
    <w:rsid w:val="26334036"/>
    <w:rsid w:val="26E94C4C"/>
    <w:rsid w:val="2C3B1B1B"/>
    <w:rsid w:val="2DE267D3"/>
    <w:rsid w:val="30D6251C"/>
    <w:rsid w:val="405C531F"/>
    <w:rsid w:val="428B4AD4"/>
    <w:rsid w:val="458A3F7C"/>
    <w:rsid w:val="46ED5B87"/>
    <w:rsid w:val="4FAE1D52"/>
    <w:rsid w:val="4FF80D39"/>
    <w:rsid w:val="519D2F64"/>
    <w:rsid w:val="55A74BAF"/>
    <w:rsid w:val="55CE2806"/>
    <w:rsid w:val="5893071D"/>
    <w:rsid w:val="62ED26F4"/>
    <w:rsid w:val="63EA6CE0"/>
    <w:rsid w:val="6F7554A5"/>
    <w:rsid w:val="735754B8"/>
    <w:rsid w:val="74FA0D95"/>
    <w:rsid w:val="7E7FE817"/>
    <w:rsid w:val="7EB446E1"/>
    <w:rsid w:val="BC6E119F"/>
    <w:rsid w:val="CFFF8BC6"/>
    <w:rsid w:val="EFFB7B77"/>
    <w:rsid w:val="F3F7B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2"/>
    <w:semiHidden/>
    <w:unhideWhenUsed/>
    <w:qFormat/>
    <w:uiPriority w:val="99"/>
    <w:pPr>
      <w:ind w:left="100" w:leftChars="2500"/>
    </w:pPr>
  </w:style>
  <w:style w:type="paragraph" w:styleId="7">
    <w:name w:val="Balloon Text"/>
    <w:basedOn w:val="1"/>
    <w:link w:val="23"/>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296"/>
      </w:tabs>
    </w:pPr>
    <w:rPr>
      <w:rFonts w:ascii="黑体" w:hAnsi="黑体" w:eastAsia="黑体" w:cs="Times New Roman"/>
      <w:kern w:val="44"/>
      <w:sz w:val="28"/>
      <w:szCs w:val="32"/>
    </w:rPr>
  </w:style>
  <w:style w:type="paragraph" w:styleId="11">
    <w:name w:val="toc 2"/>
    <w:basedOn w:val="1"/>
    <w:next w:val="1"/>
    <w:unhideWhenUsed/>
    <w:qFormat/>
    <w:uiPriority w:val="39"/>
    <w:pPr>
      <w:ind w:left="420" w:leftChars="200"/>
    </w:pPr>
  </w:style>
  <w:style w:type="paragraph" w:styleId="12">
    <w:name w:val="Normal (Web)"/>
    <w:basedOn w:val="1"/>
    <w:semiHidden/>
    <w:unhideWhenUsed/>
    <w:qFormat/>
    <w:uiPriority w:val="99"/>
    <w:pPr>
      <w:spacing w:beforeAutospacing="1" w:afterAutospacing="1"/>
      <w:jc w:val="left"/>
    </w:pPr>
    <w:rPr>
      <w:rFonts w:cs="Times New Roman"/>
      <w:kern w:val="0"/>
      <w:sz w:val="24"/>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页眉 字符"/>
    <w:basedOn w:val="15"/>
    <w:link w:val="9"/>
    <w:qFormat/>
    <w:uiPriority w:val="99"/>
    <w:rPr>
      <w:sz w:val="18"/>
      <w:szCs w:val="18"/>
    </w:rPr>
  </w:style>
  <w:style w:type="character" w:customStyle="1" w:styleId="18">
    <w:name w:val="页脚 字符"/>
    <w:basedOn w:val="15"/>
    <w:link w:val="8"/>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标题 1 字符"/>
    <w:basedOn w:val="15"/>
    <w:link w:val="2"/>
    <w:qFormat/>
    <w:uiPriority w:val="9"/>
    <w:rPr>
      <w:b/>
      <w:bCs/>
      <w:kern w:val="44"/>
      <w:sz w:val="44"/>
      <w:szCs w:val="44"/>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日期 字符"/>
    <w:basedOn w:val="15"/>
    <w:link w:val="6"/>
    <w:semiHidden/>
    <w:qFormat/>
    <w:uiPriority w:val="99"/>
  </w:style>
  <w:style w:type="character" w:customStyle="1" w:styleId="23">
    <w:name w:val="批注框文本 字符"/>
    <w:basedOn w:val="15"/>
    <w:link w:val="7"/>
    <w:semiHidden/>
    <w:qFormat/>
    <w:uiPriority w:val="99"/>
    <w:rPr>
      <w:sz w:val="18"/>
      <w:szCs w:val="18"/>
    </w:rPr>
  </w:style>
  <w:style w:type="character" w:customStyle="1" w:styleId="24">
    <w:name w:val="标题 2 字符"/>
    <w:basedOn w:val="15"/>
    <w:link w:val="3"/>
    <w:semiHidden/>
    <w:qFormat/>
    <w:uiPriority w:val="9"/>
    <w:rPr>
      <w:rFonts w:asciiTheme="majorHAnsi" w:hAnsiTheme="majorHAnsi" w:eastAsiaTheme="majorEastAsia" w:cstheme="majorBidi"/>
      <w:b/>
      <w:bCs/>
      <w:sz w:val="32"/>
      <w:szCs w:val="32"/>
    </w:rPr>
  </w:style>
  <w:style w:type="character" w:customStyle="1" w:styleId="25">
    <w:name w:val="标题 3 字符"/>
    <w:basedOn w:val="15"/>
    <w:link w:val="4"/>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10650</Words>
  <Characters>10986</Characters>
  <Lines>80</Lines>
  <Paragraphs>22</Paragraphs>
  <TotalTime>1</TotalTime>
  <ScaleCrop>false</ScaleCrop>
  <LinksUpToDate>false</LinksUpToDate>
  <CharactersWithSpaces>11008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2025-08-31T07:00:00Z</dcterms:created>
  <dc:creator>支钰明</dc:creator>
  <cp:lastModifiedBy>赵伟光</cp:lastModifiedBy>
  <cp:lastPrinted>2020-12-18T21:45:00Z</cp:lastPrinted>
  <dcterms:modified xsi:type="dcterms:W3CDTF">2025-09-01T01:15:29Z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eyJoZGlkIjoiZDRlNzg5MGMxYmM4YmVkNjVhZDY5ZWM1NDFiYzc1ZjUiLCJ1c2VySWQiOiIxMzc3ODU2NzIyIn0=</vt:lpwstr>
  </property>
  <property fmtid="{D5CDD505-2E9C-101B-9397-08002B2CF9AE}" pid="4" name="ICV">
    <vt:lpwstr>BF6FD8C9ACF84E36AE81F5757F3E187B_12</vt:lpwstr>
  </property>
</Properties>
</file>