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B69FF">
      <w:pPr>
        <w:autoSpaceDE/>
        <w:autoSpaceDN/>
        <w:jc w:val="center"/>
        <w:rPr>
          <w:rFonts w:hint="eastAsia" w:ascii="方正小标宋简体" w:hAnsi="黑体" w:eastAsia="方正小标宋简体" w:cs="黑体"/>
          <w:kern w:val="2"/>
          <w:sz w:val="44"/>
          <w:szCs w:val="44"/>
          <w:lang w:eastAsia="zh-CN"/>
        </w:rPr>
      </w:pPr>
      <w:r>
        <w:rPr>
          <w:rFonts w:hint="eastAsia" w:ascii="方正小标宋简体" w:hAnsi="黑体" w:eastAsia="方正小标宋简体" w:cs="黑体"/>
          <w:kern w:val="2"/>
          <w:sz w:val="44"/>
          <w:szCs w:val="44"/>
        </w:rPr>
        <w:t>北辰区工业经济“十四五”规划</w:t>
      </w:r>
      <w:r>
        <w:rPr>
          <w:rFonts w:hint="eastAsia" w:ascii="方正小标宋简体" w:hAnsi="黑体" w:eastAsia="方正小标宋简体" w:cs="黑体"/>
          <w:kern w:val="2"/>
          <w:sz w:val="44"/>
          <w:szCs w:val="44"/>
          <w:lang w:eastAsia="zh-CN"/>
        </w:rPr>
        <w:t>后评估报告</w:t>
      </w:r>
    </w:p>
    <w:p w14:paraId="3317A80B"/>
    <w:p w14:paraId="6938C888">
      <w:pPr>
        <w:pStyle w:val="3"/>
        <w:ind w:firstLine="683"/>
      </w:pPr>
      <w:r>
        <w:rPr>
          <w:rFonts w:hint="eastAsia"/>
        </w:rPr>
        <w:t>一、“十四五”总体目标指标完成情况</w:t>
      </w:r>
    </w:p>
    <w:p w14:paraId="3F33F2C1">
      <w:pPr>
        <w:ind w:firstLine="680" w:firstLineChars="200"/>
      </w:pPr>
      <w:r>
        <w:rPr>
          <w:rFonts w:hint="eastAsia"/>
        </w:rPr>
        <w:t>北辰区以“打造北方先进制造产业转型升级先行区”为核心目标，围绕质量效益、结构调整、智能创新、数字经济、绿色发展五大维度推进18项指标落地，截至2024年总体呈现“超额领跑、少数接近”的良好态势，为2025年全面收官筑牢基础。</w:t>
      </w:r>
    </w:p>
    <w:p w14:paraId="5B1B95BE">
      <w:pPr>
        <w:pStyle w:val="4"/>
        <w:ind w:firstLine="683"/>
      </w:pPr>
      <w:r>
        <w:rPr>
          <w:rFonts w:hint="eastAsia"/>
        </w:rPr>
        <w:t>（一）完成情况：五大维度均现显著突破</w:t>
      </w:r>
    </w:p>
    <w:p w14:paraId="74AF4209">
      <w:pPr>
        <w:pStyle w:val="5"/>
        <w:keepNext w:val="0"/>
        <w:keepLines w:val="0"/>
        <w:ind w:firstLine="683"/>
        <w:jc w:val="both"/>
        <w:rPr>
          <w:b/>
          <w:bCs/>
        </w:rPr>
      </w:pPr>
      <w:r>
        <w:rPr>
          <w:rFonts w:hint="eastAsia"/>
          <w:b/>
          <w:bCs/>
        </w:rPr>
        <w:t>1.质量效益：实体经济根基持续夯实</w:t>
      </w:r>
    </w:p>
    <w:p w14:paraId="1F917B90">
      <w:pPr>
        <w:ind w:firstLine="663" w:firstLineChars="200"/>
        <w:rPr>
          <w:color w:val="000000"/>
          <w:spacing w:val="-5"/>
          <w:szCs w:val="34"/>
          <w:shd w:val="clear" w:color="auto" w:fill="FFFFFF"/>
        </w:rPr>
      </w:pPr>
      <w:r>
        <w:rPr>
          <w:rFonts w:hint="eastAsia"/>
          <w:b/>
          <w:bCs/>
          <w:color w:val="000000"/>
          <w:spacing w:val="-5"/>
          <w:szCs w:val="34"/>
          <w:shd w:val="clear" w:color="auto" w:fill="FFFFFF"/>
        </w:rPr>
        <w:t>制造业增加值占比超目标。</w:t>
      </w:r>
      <w:r>
        <w:rPr>
          <w:rFonts w:hint="eastAsia"/>
          <w:color w:val="000000"/>
          <w:spacing w:val="-5"/>
          <w:szCs w:val="34"/>
          <w:shd w:val="clear" w:color="auto" w:fill="FFFFFF"/>
        </w:rPr>
        <w:t>2024年北辰区规模以上工业总产值达1389.9亿元，制造业增加值303.89亿元，占全区生产总值比重39.8%，较“十四五”目标（37%）超额2.8个百分点，较“十三五”末（36.6%）提升3.2个百分点，连续三年位居全市第一，实体经济“压舱石”作用凸显。</w:t>
      </w:r>
    </w:p>
    <w:p w14:paraId="2EFE9B49">
      <w:pPr>
        <w:ind w:firstLine="663" w:firstLineChars="200"/>
        <w:rPr>
          <w:color w:val="000000"/>
          <w:spacing w:val="-5"/>
          <w:szCs w:val="34"/>
          <w:shd w:val="clear" w:color="auto" w:fill="FFFFFF"/>
          <w:lang w:val="zh-CN"/>
        </w:rPr>
      </w:pPr>
      <w:r>
        <w:rPr>
          <w:rFonts w:hint="eastAsia"/>
          <w:b/>
          <w:bCs/>
          <w:color w:val="000000"/>
          <w:spacing w:val="-5"/>
          <w:szCs w:val="34"/>
          <w:shd w:val="clear" w:color="auto" w:fill="FFFFFF"/>
        </w:rPr>
        <w:t>产业链集聚度超90%。</w:t>
      </w:r>
      <w:r>
        <w:rPr>
          <w:rFonts w:hint="eastAsia"/>
          <w:color w:val="000000"/>
          <w:spacing w:val="-5"/>
          <w:szCs w:val="34"/>
          <w:shd w:val="clear" w:color="auto" w:fill="FFFFFF"/>
        </w:rPr>
        <w:t>发布《北辰区制造业强区高质量倍增行动方案（2021-2025年）》，推动“3+4+2”产业链高质量发展，2024年480家在链企业完成工业产值1294.1亿元，占全区规上工业总产值的93.1%，产业链协同效应显著。</w:t>
      </w:r>
    </w:p>
    <w:p w14:paraId="510306E7">
      <w:pPr>
        <w:pStyle w:val="5"/>
        <w:keepNext w:val="0"/>
        <w:keepLines w:val="0"/>
        <w:ind w:firstLine="683"/>
        <w:jc w:val="both"/>
        <w:rPr>
          <w:b/>
          <w:bCs/>
        </w:rPr>
      </w:pPr>
      <w:r>
        <w:rPr>
          <w:rFonts w:hint="eastAsia"/>
          <w:b/>
          <w:bCs/>
        </w:rPr>
        <w:t>2.结构调整：产业升级方向清晰</w:t>
      </w:r>
    </w:p>
    <w:p w14:paraId="2CA3C09A">
      <w:pPr>
        <w:ind w:firstLine="663" w:firstLineChars="200"/>
        <w:rPr>
          <w:color w:val="000000"/>
          <w:spacing w:val="-5"/>
          <w:szCs w:val="34"/>
          <w:shd w:val="clear" w:color="auto" w:fill="FFFFFF"/>
        </w:rPr>
      </w:pPr>
      <w:r>
        <w:rPr>
          <w:rFonts w:hint="eastAsia"/>
          <w:b/>
          <w:bCs/>
          <w:color w:val="000000"/>
          <w:spacing w:val="-5"/>
          <w:szCs w:val="34"/>
          <w:shd w:val="clear" w:color="auto" w:fill="FFFFFF"/>
        </w:rPr>
        <w:t>战略性新兴产业与高技术产业双达标。</w:t>
      </w:r>
      <w:r>
        <w:rPr>
          <w:rFonts w:hint="eastAsia"/>
          <w:color w:val="000000"/>
          <w:spacing w:val="-5"/>
          <w:szCs w:val="34"/>
          <w:shd w:val="clear" w:color="auto" w:fill="FFFFFF"/>
        </w:rPr>
        <w:t>2024年，</w:t>
      </w:r>
      <w:r>
        <w:rPr>
          <w:color w:val="000000"/>
          <w:spacing w:val="-5"/>
          <w:szCs w:val="34"/>
          <w:shd w:val="clear" w:color="auto" w:fill="FFFFFF"/>
        </w:rPr>
        <w:t>战略性新兴产业增加值占比2.3%，位列全市第3</w:t>
      </w:r>
      <w:r>
        <w:rPr>
          <w:rFonts w:hint="eastAsia"/>
          <w:color w:val="000000"/>
          <w:spacing w:val="-5"/>
          <w:szCs w:val="34"/>
          <w:shd w:val="clear" w:color="auto" w:fill="FFFFFF"/>
          <w:lang w:val="zh-CN"/>
        </w:rPr>
        <w:t>；</w:t>
      </w:r>
      <w:r>
        <w:rPr>
          <w:color w:val="000000"/>
          <w:spacing w:val="-5"/>
          <w:szCs w:val="34"/>
          <w:shd w:val="clear" w:color="auto" w:fill="FFFFFF"/>
        </w:rPr>
        <w:t>高技术产业（制造业）增加值占比1.1%，位列全市第</w:t>
      </w:r>
      <w:r>
        <w:rPr>
          <w:rFonts w:hint="eastAsia"/>
          <w:color w:val="000000"/>
          <w:spacing w:val="-5"/>
          <w:szCs w:val="34"/>
          <w:shd w:val="clear" w:color="auto" w:fill="FFFFFF"/>
        </w:rPr>
        <w:t>三，超额完成“十四五”目标。</w:t>
      </w:r>
    </w:p>
    <w:p w14:paraId="55961E8E">
      <w:pPr>
        <w:ind w:firstLine="683" w:firstLineChars="200"/>
      </w:pPr>
      <w:r>
        <w:rPr>
          <w:rFonts w:hint="eastAsia"/>
          <w:b/>
          <w:bCs/>
        </w:rPr>
        <w:t>产业集群与园区建设成标杆。</w:t>
      </w:r>
      <w:r>
        <w:rPr>
          <w:rFonts w:hint="eastAsia"/>
        </w:rPr>
        <w:t>智能制造装备产业集群获批市级先进制造业集群，工业母机、数字印刷装备、高性能新材料、生物医药4个产业集群被认定为市级中小企业特色产业集群，绿色新能源装备产业园在首批主题园区绩效考核中位居全市前列，初步形成“集群带产业、园区促集聚”的发展格局。。</w:t>
      </w:r>
    </w:p>
    <w:p w14:paraId="6BB1EDFD">
      <w:pPr>
        <w:pStyle w:val="5"/>
        <w:keepNext w:val="0"/>
        <w:keepLines w:val="0"/>
        <w:ind w:firstLine="683"/>
        <w:jc w:val="both"/>
        <w:rPr>
          <w:b/>
          <w:bCs/>
        </w:rPr>
      </w:pPr>
      <w:r>
        <w:rPr>
          <w:rFonts w:hint="eastAsia"/>
          <w:b/>
          <w:bCs/>
        </w:rPr>
        <w:t>3.智能创新：创新主体与成果双扩容</w:t>
      </w:r>
    </w:p>
    <w:p w14:paraId="07FA0245">
      <w:pPr>
        <w:ind w:firstLine="683" w:firstLineChars="200"/>
      </w:pPr>
      <w:r>
        <w:rPr>
          <w:rFonts w:hint="eastAsia"/>
          <w:b/>
          <w:bCs/>
        </w:rPr>
        <w:t>研发投入与企业培育领跑全市。</w:t>
      </w:r>
      <w:r>
        <w:rPr>
          <w:rFonts w:hint="eastAsia"/>
        </w:rPr>
        <w:t>规模工业企业R&amp;D经费投入占比2.5%，新增国家级高新技术企业208家，累计达715家（较2020年的442家增长61.8%）；新增国家级和市级企业技术中心4家，累计84家；有效期内的市级专精特新中小企业达184家，“小巨人”企业累计20家，数量均居全市前列。</w:t>
      </w:r>
    </w:p>
    <w:p w14:paraId="1542EC6F">
      <w:pPr>
        <w:ind w:firstLine="683" w:firstLineChars="200"/>
      </w:pPr>
      <w:r>
        <w:rPr>
          <w:rFonts w:hint="eastAsia"/>
          <w:b/>
          <w:bCs/>
        </w:rPr>
        <w:t>技术突破成果丰硕。</w:t>
      </w:r>
      <w:r>
        <w:rPr>
          <w:rFonts w:hint="eastAsia"/>
        </w:rPr>
        <w:t>首台（套）重大技术装备达32个（较2020年的16个翻倍），两化融合管理体系贯标试点27个，国家级和市级单项冠军累计15个（较2020年的8个增长87.5%），创新成果转化效率持续提升。</w:t>
      </w:r>
    </w:p>
    <w:p w14:paraId="715E6E7A">
      <w:pPr>
        <w:pStyle w:val="5"/>
        <w:keepNext w:val="0"/>
        <w:keepLines w:val="0"/>
        <w:ind w:firstLine="683"/>
        <w:jc w:val="both"/>
        <w:rPr>
          <w:b/>
          <w:bCs/>
        </w:rPr>
      </w:pPr>
      <w:r>
        <w:rPr>
          <w:rFonts w:hint="eastAsia"/>
          <w:b/>
          <w:bCs/>
        </w:rPr>
        <w:t>4.数字经济：智能制造与场景应用双突破</w:t>
      </w:r>
    </w:p>
    <w:p w14:paraId="59E6FC12">
      <w:pPr>
        <w:ind w:firstLine="663" w:firstLineChars="200"/>
        <w:rPr>
          <w:color w:val="000000"/>
          <w:spacing w:val="-5"/>
          <w:szCs w:val="34"/>
          <w:shd w:val="clear" w:color="auto" w:fill="FFFFFF"/>
        </w:rPr>
      </w:pPr>
      <w:r>
        <w:rPr>
          <w:rFonts w:hint="eastAsia"/>
          <w:b/>
          <w:bCs/>
          <w:color w:val="000000"/>
          <w:spacing w:val="-5"/>
          <w:szCs w:val="34"/>
          <w:shd w:val="clear" w:color="auto" w:fill="FFFFFF"/>
        </w:rPr>
        <w:t>示范项目数量翻倍。</w:t>
      </w:r>
      <w:r>
        <w:rPr>
          <w:rFonts w:hint="eastAsia"/>
          <w:color w:val="000000"/>
          <w:spacing w:val="-5"/>
          <w:szCs w:val="34"/>
          <w:shd w:val="clear" w:color="auto" w:fill="FFFFFF"/>
        </w:rPr>
        <w:t>推动天士力、长荣集团等31家企业获批数字化车间、智能工厂（较2020年的10个增长210%），29个项目获批新模式（15）、试点示范（9）或系统解决方案供应商（5），智能制造标杆效应凸显。</w:t>
      </w:r>
    </w:p>
    <w:p w14:paraId="35EDC1EA">
      <w:pPr>
        <w:ind w:firstLine="663" w:firstLineChars="200"/>
        <w:rPr>
          <w:color w:val="000000"/>
          <w:spacing w:val="-5"/>
          <w:szCs w:val="34"/>
          <w:shd w:val="clear" w:color="auto" w:fill="FFFFFF"/>
        </w:rPr>
      </w:pPr>
      <w:r>
        <w:rPr>
          <w:rFonts w:hint="eastAsia"/>
          <w:b/>
          <w:bCs/>
          <w:color w:val="000000"/>
          <w:spacing w:val="-5"/>
          <w:szCs w:val="34"/>
          <w:shd w:val="clear" w:color="auto" w:fill="FFFFFF"/>
        </w:rPr>
        <w:t>产业集聚与机制创新并进。</w:t>
      </w:r>
      <w:r>
        <w:rPr>
          <w:rFonts w:hint="eastAsia"/>
          <w:color w:val="000000"/>
          <w:spacing w:val="-5"/>
          <w:szCs w:val="34"/>
          <w:shd w:val="clear" w:color="auto" w:fill="FFFFFF"/>
        </w:rPr>
        <w:t>智能制造谷吸引茵梦达全球产线最全的电机生产基地和研发中心落户，形成“龙头引领+配套集聚”生态；通过成立精益智能制造促进中心，逐步建立“试点示范+动态跟踪”机制，以场景应用带动全行业数字化转型。</w:t>
      </w:r>
    </w:p>
    <w:p w14:paraId="754DA0EE">
      <w:pPr>
        <w:pStyle w:val="5"/>
        <w:keepNext w:val="0"/>
        <w:keepLines w:val="0"/>
        <w:ind w:firstLine="683"/>
        <w:jc w:val="both"/>
        <w:rPr>
          <w:b/>
          <w:bCs/>
        </w:rPr>
      </w:pPr>
      <w:r>
        <w:rPr>
          <w:rFonts w:hint="eastAsia"/>
          <w:b/>
          <w:bCs/>
        </w:rPr>
        <w:t>5.绿色发展：制造体系与减排任务双达标</w:t>
      </w:r>
    </w:p>
    <w:p w14:paraId="521F40A5">
      <w:pPr>
        <w:ind w:firstLine="663" w:firstLineChars="200"/>
        <w:rPr>
          <w:color w:val="000000"/>
          <w:spacing w:val="-5"/>
          <w:szCs w:val="34"/>
          <w:shd w:val="clear" w:color="auto" w:fill="FFFFFF"/>
        </w:rPr>
      </w:pPr>
      <w:r>
        <w:rPr>
          <w:rFonts w:hint="eastAsia"/>
          <w:b/>
          <w:bCs/>
          <w:color w:val="000000"/>
          <w:spacing w:val="-5"/>
          <w:szCs w:val="34"/>
          <w:shd w:val="clear" w:color="auto" w:fill="FFFFFF"/>
        </w:rPr>
        <w:t>绿色工厂数量接近目标。</w:t>
      </w:r>
      <w:r>
        <w:rPr>
          <w:rFonts w:hint="eastAsia"/>
          <w:color w:val="000000"/>
          <w:spacing w:val="-5"/>
          <w:szCs w:val="34"/>
          <w:shd w:val="clear" w:color="auto" w:fill="FFFFFF"/>
        </w:rPr>
        <w:t>累计创建9家国家级绿色工厂、24家市级绿色工厂、3家工信部绿色供应链管理企业及1个市级绿色园区，国家级/市级绿色工厂合计33家，超额完成“十四五”目标。</w:t>
      </w:r>
    </w:p>
    <w:p w14:paraId="022F4A9C">
      <w:pPr>
        <w:ind w:firstLine="663" w:firstLineChars="200"/>
        <w:rPr>
          <w:color w:val="000000"/>
          <w:spacing w:val="-5"/>
          <w:szCs w:val="34"/>
          <w:shd w:val="clear" w:color="auto" w:fill="FFFFFF"/>
        </w:rPr>
      </w:pPr>
      <w:r>
        <w:rPr>
          <w:rFonts w:hint="eastAsia"/>
          <w:b/>
          <w:bCs/>
          <w:color w:val="000000"/>
          <w:spacing w:val="-5"/>
          <w:szCs w:val="34"/>
          <w:shd w:val="clear" w:color="auto" w:fill="FFFFFF"/>
        </w:rPr>
        <w:t>节能减排与结构优化。</w:t>
      </w:r>
      <w:r>
        <w:rPr>
          <w:rFonts w:hint="eastAsia"/>
          <w:color w:val="000000"/>
          <w:spacing w:val="-5"/>
          <w:szCs w:val="34"/>
          <w:shd w:val="clear" w:color="auto" w:fill="FFFFFF"/>
        </w:rPr>
        <w:t>完成江天重工钢铁去产能，26家城镇人口密集区危化企业全部完成搬迁改造验收；组织60家企业开展工业节能诊断，工业领域碳达峰路径清晰，绿色转型步伐加快。</w:t>
      </w:r>
    </w:p>
    <w:p w14:paraId="582E7278">
      <w:pPr>
        <w:pStyle w:val="4"/>
        <w:ind w:firstLine="683"/>
      </w:pPr>
      <w:r>
        <w:rPr>
          <w:rFonts w:hint="eastAsia"/>
        </w:rPr>
        <w:t>（二）主要指标完成情况</w:t>
      </w:r>
    </w:p>
    <w:p w14:paraId="7B497320">
      <w:pPr>
        <w:pStyle w:val="7"/>
        <w:jc w:val="center"/>
        <w:rPr>
          <w:sz w:val="24"/>
          <w:szCs w:val="24"/>
        </w:rPr>
      </w:pPr>
      <w:r>
        <w:rPr>
          <w:sz w:val="24"/>
          <w:szCs w:val="24"/>
        </w:rPr>
        <w:t>表</w:t>
      </w:r>
      <w:r>
        <w:rPr>
          <w:rFonts w:hint="eastAsia"/>
          <w:sz w:val="24"/>
          <w:szCs w:val="24"/>
        </w:rPr>
        <w:t>：核心指标完成亮点</w:t>
      </w:r>
    </w:p>
    <w:tbl>
      <w:tblPr>
        <w:tblStyle w:val="1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7"/>
        <w:gridCol w:w="1281"/>
        <w:gridCol w:w="1277"/>
        <w:gridCol w:w="1292"/>
        <w:gridCol w:w="956"/>
        <w:gridCol w:w="1934"/>
      </w:tblGrid>
      <w:tr w14:paraId="7324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94" w:type="dxa"/>
            <w:shd w:val="clear" w:color="auto" w:fill="CFCECE" w:themeFill="background2" w:themeFillShade="E5"/>
            <w:vAlign w:val="center"/>
          </w:tcPr>
          <w:p w14:paraId="0926B944">
            <w:pPr>
              <w:autoSpaceDE/>
              <w:autoSpaceDN/>
              <w:spacing w:line="500" w:lineRule="exact"/>
              <w:jc w:val="center"/>
              <w:rPr>
                <w:rFonts w:cs="仿宋_GB2312"/>
                <w:b/>
                <w:bCs/>
                <w:sz w:val="24"/>
                <w:szCs w:val="24"/>
              </w:rPr>
            </w:pPr>
            <w:r>
              <w:rPr>
                <w:rFonts w:hint="eastAsia" w:cs="仿宋_GB2312"/>
                <w:b/>
                <w:bCs/>
                <w:sz w:val="24"/>
                <w:szCs w:val="24"/>
              </w:rPr>
              <w:t>指标类别</w:t>
            </w:r>
          </w:p>
        </w:tc>
        <w:tc>
          <w:tcPr>
            <w:tcW w:w="1294" w:type="dxa"/>
            <w:shd w:val="clear" w:color="auto" w:fill="CFCECE" w:themeFill="background2" w:themeFillShade="E5"/>
            <w:vAlign w:val="center"/>
          </w:tcPr>
          <w:p w14:paraId="4F9DF01F">
            <w:pPr>
              <w:autoSpaceDE/>
              <w:autoSpaceDN/>
              <w:spacing w:line="500" w:lineRule="exact"/>
              <w:jc w:val="center"/>
              <w:rPr>
                <w:rFonts w:cs="仿宋_GB2312"/>
                <w:b/>
                <w:bCs/>
                <w:sz w:val="24"/>
                <w:szCs w:val="24"/>
              </w:rPr>
            </w:pPr>
            <w:r>
              <w:rPr>
                <w:rFonts w:hint="eastAsia" w:cs="仿宋_GB2312"/>
                <w:b/>
                <w:bCs/>
                <w:sz w:val="24"/>
                <w:szCs w:val="24"/>
              </w:rPr>
              <w:t>关键指标</w:t>
            </w:r>
          </w:p>
        </w:tc>
        <w:tc>
          <w:tcPr>
            <w:tcW w:w="1294" w:type="dxa"/>
            <w:shd w:val="clear" w:color="auto" w:fill="CFCECE" w:themeFill="background2" w:themeFillShade="E5"/>
            <w:vAlign w:val="center"/>
          </w:tcPr>
          <w:p w14:paraId="782E916E">
            <w:pPr>
              <w:autoSpaceDE/>
              <w:autoSpaceDN/>
              <w:spacing w:line="500" w:lineRule="exact"/>
              <w:jc w:val="center"/>
              <w:rPr>
                <w:rFonts w:cs="仿宋_GB2312"/>
                <w:b/>
                <w:bCs/>
                <w:sz w:val="24"/>
                <w:szCs w:val="24"/>
              </w:rPr>
            </w:pPr>
            <w:r>
              <w:rPr>
                <w:rFonts w:hint="eastAsia" w:cs="仿宋_GB2312"/>
                <w:b/>
                <w:bCs/>
                <w:sz w:val="24"/>
                <w:szCs w:val="24"/>
              </w:rPr>
              <w:t>2020年</w:t>
            </w:r>
          </w:p>
          <w:p w14:paraId="469879A5">
            <w:pPr>
              <w:autoSpaceDE/>
              <w:autoSpaceDN/>
              <w:spacing w:line="500" w:lineRule="exact"/>
              <w:jc w:val="center"/>
              <w:rPr>
                <w:rFonts w:cs="仿宋_GB2312"/>
                <w:b/>
                <w:bCs/>
                <w:sz w:val="24"/>
                <w:szCs w:val="24"/>
              </w:rPr>
            </w:pPr>
            <w:r>
              <w:rPr>
                <w:rFonts w:hint="eastAsia" w:cs="仿宋_GB2312"/>
                <w:b/>
                <w:bCs/>
                <w:sz w:val="24"/>
                <w:szCs w:val="24"/>
              </w:rPr>
              <w:t>基数</w:t>
            </w:r>
          </w:p>
        </w:tc>
        <w:tc>
          <w:tcPr>
            <w:tcW w:w="1294" w:type="dxa"/>
            <w:shd w:val="clear" w:color="auto" w:fill="CFCECE" w:themeFill="background2" w:themeFillShade="E5"/>
            <w:vAlign w:val="center"/>
          </w:tcPr>
          <w:p w14:paraId="095DBAD7">
            <w:pPr>
              <w:autoSpaceDE/>
              <w:autoSpaceDN/>
              <w:spacing w:line="500" w:lineRule="exact"/>
              <w:jc w:val="center"/>
              <w:rPr>
                <w:rFonts w:cs="仿宋_GB2312"/>
                <w:b/>
                <w:bCs/>
                <w:sz w:val="24"/>
                <w:szCs w:val="24"/>
              </w:rPr>
            </w:pPr>
            <w:r>
              <w:rPr>
                <w:rFonts w:hint="eastAsia" w:cs="仿宋_GB2312"/>
                <w:b/>
                <w:bCs/>
                <w:sz w:val="24"/>
                <w:szCs w:val="24"/>
              </w:rPr>
              <w:t>2025年</w:t>
            </w:r>
          </w:p>
          <w:p w14:paraId="26F0749D">
            <w:pPr>
              <w:autoSpaceDE/>
              <w:autoSpaceDN/>
              <w:spacing w:line="500" w:lineRule="exact"/>
              <w:jc w:val="center"/>
              <w:rPr>
                <w:rFonts w:cs="仿宋_GB2312"/>
                <w:b/>
                <w:bCs/>
                <w:sz w:val="24"/>
                <w:szCs w:val="24"/>
              </w:rPr>
            </w:pPr>
            <w:r>
              <w:rPr>
                <w:rFonts w:hint="eastAsia" w:cs="仿宋_GB2312"/>
                <w:b/>
                <w:bCs/>
                <w:sz w:val="24"/>
                <w:szCs w:val="24"/>
              </w:rPr>
              <w:t>目标</w:t>
            </w:r>
          </w:p>
        </w:tc>
        <w:tc>
          <w:tcPr>
            <w:tcW w:w="1295" w:type="dxa"/>
            <w:shd w:val="clear" w:color="auto" w:fill="CFCECE" w:themeFill="background2" w:themeFillShade="E5"/>
            <w:vAlign w:val="center"/>
          </w:tcPr>
          <w:p w14:paraId="59707753">
            <w:pPr>
              <w:autoSpaceDE/>
              <w:autoSpaceDN/>
              <w:spacing w:line="500" w:lineRule="exact"/>
              <w:jc w:val="center"/>
              <w:rPr>
                <w:rFonts w:cs="仿宋_GB2312"/>
                <w:b/>
                <w:bCs/>
                <w:sz w:val="24"/>
                <w:szCs w:val="24"/>
              </w:rPr>
            </w:pPr>
            <w:r>
              <w:rPr>
                <w:rFonts w:hint="eastAsia" w:cs="仿宋_GB2312"/>
                <w:b/>
                <w:bCs/>
                <w:sz w:val="24"/>
                <w:szCs w:val="24"/>
              </w:rPr>
              <w:t>2024年</w:t>
            </w:r>
          </w:p>
          <w:p w14:paraId="03674338">
            <w:pPr>
              <w:autoSpaceDE/>
              <w:autoSpaceDN/>
              <w:spacing w:line="500" w:lineRule="exact"/>
              <w:jc w:val="center"/>
              <w:rPr>
                <w:rFonts w:cs="仿宋_GB2312"/>
                <w:b/>
                <w:bCs/>
                <w:sz w:val="24"/>
                <w:szCs w:val="24"/>
              </w:rPr>
            </w:pPr>
            <w:r>
              <w:rPr>
                <w:rFonts w:hint="eastAsia" w:cs="仿宋_GB2312"/>
                <w:b/>
                <w:bCs/>
                <w:sz w:val="24"/>
                <w:szCs w:val="24"/>
              </w:rPr>
              <w:t>实际</w:t>
            </w:r>
          </w:p>
        </w:tc>
        <w:tc>
          <w:tcPr>
            <w:tcW w:w="855" w:type="dxa"/>
            <w:shd w:val="clear" w:color="auto" w:fill="CFCECE" w:themeFill="background2" w:themeFillShade="E5"/>
            <w:vAlign w:val="center"/>
          </w:tcPr>
          <w:p w14:paraId="7D990CB4">
            <w:pPr>
              <w:autoSpaceDE/>
              <w:autoSpaceDN/>
              <w:spacing w:line="500" w:lineRule="exact"/>
              <w:jc w:val="center"/>
              <w:rPr>
                <w:rFonts w:cs="仿宋_GB2312"/>
                <w:b/>
                <w:bCs/>
                <w:sz w:val="24"/>
                <w:szCs w:val="24"/>
              </w:rPr>
            </w:pPr>
            <w:r>
              <w:rPr>
                <w:rFonts w:hint="eastAsia" w:cs="仿宋_GB2312"/>
                <w:b/>
                <w:bCs/>
                <w:sz w:val="24"/>
                <w:szCs w:val="24"/>
              </w:rPr>
              <w:t>完成度</w:t>
            </w:r>
          </w:p>
        </w:tc>
        <w:tc>
          <w:tcPr>
            <w:tcW w:w="1962" w:type="dxa"/>
            <w:shd w:val="clear" w:color="auto" w:fill="CFCECE" w:themeFill="background2" w:themeFillShade="E5"/>
            <w:vAlign w:val="center"/>
          </w:tcPr>
          <w:p w14:paraId="27D3E9B1">
            <w:pPr>
              <w:autoSpaceDE/>
              <w:autoSpaceDN/>
              <w:spacing w:line="500" w:lineRule="exact"/>
              <w:jc w:val="center"/>
              <w:rPr>
                <w:rFonts w:cs="仿宋_GB2312"/>
                <w:b/>
                <w:bCs/>
                <w:sz w:val="24"/>
                <w:szCs w:val="24"/>
              </w:rPr>
            </w:pPr>
            <w:r>
              <w:rPr>
                <w:rFonts w:hint="eastAsia" w:cs="仿宋_GB2312"/>
                <w:b/>
                <w:bCs/>
                <w:sz w:val="24"/>
                <w:szCs w:val="24"/>
              </w:rPr>
              <w:t>突出成效</w:t>
            </w:r>
          </w:p>
        </w:tc>
      </w:tr>
      <w:tr w14:paraId="6723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45B86E97">
            <w:pPr>
              <w:autoSpaceDE/>
              <w:autoSpaceDN/>
              <w:spacing w:line="500" w:lineRule="exact"/>
              <w:jc w:val="center"/>
              <w:rPr>
                <w:rFonts w:cs="仿宋_GB2312"/>
                <w:sz w:val="24"/>
                <w:szCs w:val="24"/>
              </w:rPr>
            </w:pPr>
            <w:r>
              <w:rPr>
                <w:rFonts w:hint="eastAsia" w:cs="仿宋_GB2312"/>
                <w:sz w:val="24"/>
                <w:szCs w:val="24"/>
              </w:rPr>
              <w:t>质量效益</w:t>
            </w:r>
          </w:p>
        </w:tc>
        <w:tc>
          <w:tcPr>
            <w:tcW w:w="1294" w:type="dxa"/>
            <w:vAlign w:val="center"/>
          </w:tcPr>
          <w:p w14:paraId="5178EC90">
            <w:pPr>
              <w:autoSpaceDE/>
              <w:autoSpaceDN/>
              <w:spacing w:line="500" w:lineRule="exact"/>
              <w:jc w:val="center"/>
              <w:rPr>
                <w:rFonts w:cs="仿宋_GB2312"/>
                <w:sz w:val="24"/>
                <w:szCs w:val="24"/>
              </w:rPr>
            </w:pPr>
            <w:r>
              <w:rPr>
                <w:rFonts w:cs="仿宋_GB2312"/>
                <w:sz w:val="24"/>
                <w:szCs w:val="24"/>
              </w:rPr>
              <w:t>制造业增加值占GDP比重</w:t>
            </w:r>
          </w:p>
        </w:tc>
        <w:tc>
          <w:tcPr>
            <w:tcW w:w="1294" w:type="dxa"/>
            <w:shd w:val="clear" w:color="auto" w:fill="auto"/>
            <w:vAlign w:val="center"/>
          </w:tcPr>
          <w:p w14:paraId="37C2EC31">
            <w:pPr>
              <w:autoSpaceDE/>
              <w:autoSpaceDN/>
              <w:spacing w:line="500" w:lineRule="exact"/>
              <w:jc w:val="center"/>
              <w:rPr>
                <w:rFonts w:cs="仿宋_GB2312"/>
                <w:sz w:val="24"/>
                <w:szCs w:val="24"/>
              </w:rPr>
            </w:pPr>
            <w:r>
              <w:rPr>
                <w:rFonts w:hint="eastAsia" w:cs="仿宋_GB2312"/>
                <w:sz w:val="24"/>
                <w:szCs w:val="24"/>
              </w:rPr>
              <w:t>36.6%</w:t>
            </w:r>
          </w:p>
        </w:tc>
        <w:tc>
          <w:tcPr>
            <w:tcW w:w="1294" w:type="dxa"/>
            <w:vAlign w:val="center"/>
          </w:tcPr>
          <w:p w14:paraId="73CF0429">
            <w:pPr>
              <w:autoSpaceDE/>
              <w:autoSpaceDN/>
              <w:spacing w:line="500" w:lineRule="exact"/>
              <w:jc w:val="center"/>
              <w:rPr>
                <w:rFonts w:cs="仿宋_GB2312"/>
                <w:sz w:val="24"/>
                <w:szCs w:val="24"/>
              </w:rPr>
            </w:pPr>
            <w:r>
              <w:rPr>
                <w:rFonts w:hint="eastAsia" w:cs="仿宋_GB2312"/>
                <w:sz w:val="24"/>
                <w:szCs w:val="24"/>
              </w:rPr>
              <w:t>37%</w:t>
            </w:r>
          </w:p>
        </w:tc>
        <w:tc>
          <w:tcPr>
            <w:tcW w:w="1295" w:type="dxa"/>
            <w:vAlign w:val="center"/>
          </w:tcPr>
          <w:p w14:paraId="5AEC0F4C">
            <w:pPr>
              <w:autoSpaceDE/>
              <w:autoSpaceDN/>
              <w:spacing w:line="500" w:lineRule="exact"/>
              <w:jc w:val="center"/>
              <w:rPr>
                <w:rFonts w:cs="仿宋_GB2312"/>
                <w:sz w:val="24"/>
                <w:szCs w:val="24"/>
              </w:rPr>
            </w:pPr>
            <w:r>
              <w:rPr>
                <w:rFonts w:hint="eastAsia" w:cs="仿宋_GB2312"/>
                <w:sz w:val="24"/>
                <w:szCs w:val="24"/>
              </w:rPr>
              <w:t>39.8%</w:t>
            </w:r>
          </w:p>
        </w:tc>
        <w:tc>
          <w:tcPr>
            <w:tcW w:w="855" w:type="dxa"/>
            <w:vAlign w:val="center"/>
          </w:tcPr>
          <w:p w14:paraId="0C61952C">
            <w:pPr>
              <w:autoSpaceDE/>
              <w:autoSpaceDN/>
              <w:spacing w:line="500" w:lineRule="exact"/>
              <w:jc w:val="center"/>
              <w:rPr>
                <w:rFonts w:cs="仿宋_GB2312"/>
                <w:sz w:val="24"/>
                <w:szCs w:val="24"/>
              </w:rPr>
            </w:pPr>
            <w:r>
              <w:rPr>
                <w:rFonts w:hint="eastAsia" w:cs="仿宋_GB2312"/>
                <w:sz w:val="24"/>
                <w:szCs w:val="24"/>
              </w:rPr>
              <w:t>107.6%</w:t>
            </w:r>
          </w:p>
        </w:tc>
        <w:tc>
          <w:tcPr>
            <w:tcW w:w="1962" w:type="dxa"/>
            <w:vAlign w:val="center"/>
          </w:tcPr>
          <w:p w14:paraId="5BEFB2C6">
            <w:pPr>
              <w:autoSpaceDE/>
              <w:autoSpaceDN/>
              <w:spacing w:line="500" w:lineRule="exact"/>
              <w:jc w:val="center"/>
              <w:rPr>
                <w:rFonts w:cs="仿宋_GB2312"/>
                <w:sz w:val="24"/>
                <w:szCs w:val="24"/>
              </w:rPr>
            </w:pPr>
            <w:r>
              <w:rPr>
                <w:rFonts w:cs="仿宋_GB2312"/>
                <w:sz w:val="24"/>
                <w:szCs w:val="24"/>
              </w:rPr>
              <w:t>连续三年位居全市第一，较</w:t>
            </w:r>
            <w:r>
              <w:rPr>
                <w:rFonts w:hint="eastAsia" w:cs="仿宋_GB2312"/>
                <w:sz w:val="24"/>
                <w:szCs w:val="24"/>
              </w:rPr>
              <w:t>“</w:t>
            </w:r>
            <w:r>
              <w:rPr>
                <w:rFonts w:cs="仿宋_GB2312"/>
                <w:sz w:val="24"/>
                <w:szCs w:val="24"/>
              </w:rPr>
              <w:t>十三五</w:t>
            </w:r>
            <w:r>
              <w:rPr>
                <w:rFonts w:hint="eastAsia" w:cs="仿宋_GB2312"/>
                <w:sz w:val="24"/>
                <w:szCs w:val="24"/>
              </w:rPr>
              <w:t>”</w:t>
            </w:r>
            <w:r>
              <w:rPr>
                <w:rFonts w:cs="仿宋_GB2312"/>
                <w:sz w:val="24"/>
                <w:szCs w:val="24"/>
              </w:rPr>
              <w:t>末提升3.2个百分点，实体经济根基持续夯实</w:t>
            </w:r>
          </w:p>
        </w:tc>
      </w:tr>
      <w:tr w14:paraId="6F48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17E0D7F5">
            <w:pPr>
              <w:autoSpaceDE/>
              <w:autoSpaceDN/>
              <w:spacing w:line="500" w:lineRule="exact"/>
              <w:jc w:val="center"/>
              <w:rPr>
                <w:rFonts w:cs="仿宋_GB2312"/>
                <w:sz w:val="24"/>
                <w:szCs w:val="24"/>
              </w:rPr>
            </w:pPr>
            <w:r>
              <w:rPr>
                <w:rFonts w:hint="eastAsia" w:cs="仿宋_GB2312"/>
                <w:sz w:val="24"/>
                <w:szCs w:val="24"/>
              </w:rPr>
              <w:t>结构调整</w:t>
            </w:r>
          </w:p>
        </w:tc>
        <w:tc>
          <w:tcPr>
            <w:tcW w:w="1294" w:type="dxa"/>
            <w:vAlign w:val="center"/>
          </w:tcPr>
          <w:p w14:paraId="524A4DFD">
            <w:pPr>
              <w:autoSpaceDE/>
              <w:autoSpaceDN/>
              <w:spacing w:line="500" w:lineRule="exact"/>
              <w:jc w:val="center"/>
              <w:rPr>
                <w:rFonts w:cs="仿宋_GB2312"/>
                <w:sz w:val="24"/>
                <w:szCs w:val="24"/>
              </w:rPr>
            </w:pPr>
            <w:r>
              <w:rPr>
                <w:rFonts w:cs="仿宋_GB2312"/>
                <w:sz w:val="24"/>
                <w:szCs w:val="24"/>
              </w:rPr>
              <w:t>战略性新兴产业增加值占比</w:t>
            </w:r>
          </w:p>
        </w:tc>
        <w:tc>
          <w:tcPr>
            <w:tcW w:w="1294" w:type="dxa"/>
            <w:shd w:val="clear" w:color="auto" w:fill="auto"/>
            <w:vAlign w:val="center"/>
          </w:tcPr>
          <w:p w14:paraId="53EF0ACC">
            <w:pPr>
              <w:autoSpaceDE/>
              <w:autoSpaceDN/>
              <w:spacing w:line="500" w:lineRule="exact"/>
              <w:jc w:val="center"/>
              <w:rPr>
                <w:rFonts w:cs="仿宋_GB2312"/>
                <w:sz w:val="24"/>
                <w:szCs w:val="24"/>
              </w:rPr>
            </w:pPr>
            <w:r>
              <w:rPr>
                <w:rFonts w:hint="eastAsia" w:cs="仿宋_GB2312"/>
                <w:sz w:val="24"/>
                <w:szCs w:val="24"/>
              </w:rPr>
              <w:t>45%</w:t>
            </w:r>
          </w:p>
        </w:tc>
        <w:tc>
          <w:tcPr>
            <w:tcW w:w="1294" w:type="dxa"/>
            <w:vAlign w:val="center"/>
          </w:tcPr>
          <w:p w14:paraId="16464EDA">
            <w:pPr>
              <w:autoSpaceDE/>
              <w:autoSpaceDN/>
              <w:spacing w:line="500" w:lineRule="exact"/>
              <w:jc w:val="center"/>
              <w:rPr>
                <w:rFonts w:cs="仿宋_GB2312"/>
                <w:sz w:val="24"/>
                <w:szCs w:val="24"/>
              </w:rPr>
            </w:pPr>
            <w:r>
              <w:rPr>
                <w:rFonts w:hint="eastAsia" w:cs="仿宋_GB2312"/>
                <w:sz w:val="24"/>
                <w:szCs w:val="24"/>
              </w:rPr>
              <w:t>55%</w:t>
            </w:r>
          </w:p>
        </w:tc>
        <w:tc>
          <w:tcPr>
            <w:tcW w:w="1295" w:type="dxa"/>
            <w:vAlign w:val="center"/>
          </w:tcPr>
          <w:p w14:paraId="6263B86F">
            <w:pPr>
              <w:autoSpaceDE/>
              <w:autoSpaceDN/>
              <w:spacing w:line="500" w:lineRule="exact"/>
              <w:jc w:val="center"/>
              <w:rPr>
                <w:rFonts w:cs="仿宋_GB2312"/>
                <w:sz w:val="24"/>
                <w:szCs w:val="24"/>
              </w:rPr>
            </w:pPr>
            <w:r>
              <w:rPr>
                <w:rFonts w:hint="eastAsia" w:cs="仿宋_GB2312"/>
                <w:sz w:val="24"/>
                <w:szCs w:val="24"/>
              </w:rPr>
              <w:t>49.8%（2023）</w:t>
            </w:r>
          </w:p>
        </w:tc>
        <w:tc>
          <w:tcPr>
            <w:tcW w:w="855" w:type="dxa"/>
            <w:vAlign w:val="center"/>
          </w:tcPr>
          <w:p w14:paraId="3FE1B790">
            <w:pPr>
              <w:autoSpaceDE/>
              <w:autoSpaceDN/>
              <w:spacing w:line="500" w:lineRule="exact"/>
              <w:jc w:val="center"/>
              <w:rPr>
                <w:rFonts w:cs="仿宋_GB2312"/>
                <w:sz w:val="24"/>
                <w:szCs w:val="24"/>
              </w:rPr>
            </w:pPr>
            <w:r>
              <w:rPr>
                <w:rFonts w:hint="eastAsia" w:cs="仿宋_GB2312"/>
                <w:sz w:val="24"/>
                <w:szCs w:val="24"/>
              </w:rPr>
              <w:t>90.5%</w:t>
            </w:r>
          </w:p>
        </w:tc>
        <w:tc>
          <w:tcPr>
            <w:tcW w:w="1962" w:type="dxa"/>
            <w:vAlign w:val="center"/>
          </w:tcPr>
          <w:p w14:paraId="3D533CC5">
            <w:pPr>
              <w:autoSpaceDE/>
              <w:autoSpaceDN/>
              <w:spacing w:line="500" w:lineRule="exact"/>
              <w:jc w:val="center"/>
              <w:rPr>
                <w:rFonts w:cs="仿宋_GB2312"/>
                <w:sz w:val="24"/>
                <w:szCs w:val="24"/>
              </w:rPr>
            </w:pPr>
            <w:r>
              <w:rPr>
                <w:rFonts w:cs="仿宋_GB2312"/>
                <w:sz w:val="24"/>
                <w:szCs w:val="24"/>
              </w:rPr>
              <w:t>形成</w:t>
            </w:r>
            <w:r>
              <w:rPr>
                <w:rFonts w:hint="eastAsia" w:cs="仿宋_GB2312"/>
                <w:sz w:val="24"/>
                <w:szCs w:val="24"/>
              </w:rPr>
              <w:t>“</w:t>
            </w:r>
            <w:r>
              <w:rPr>
                <w:rFonts w:cs="仿宋_GB2312"/>
                <w:sz w:val="24"/>
                <w:szCs w:val="24"/>
              </w:rPr>
              <w:t>主导产业+新兴产业</w:t>
            </w:r>
            <w:r>
              <w:rPr>
                <w:rFonts w:hint="eastAsia" w:cs="仿宋_GB2312"/>
                <w:sz w:val="24"/>
                <w:szCs w:val="24"/>
              </w:rPr>
              <w:t>”</w:t>
            </w:r>
            <w:r>
              <w:rPr>
                <w:rFonts w:cs="仿宋_GB2312"/>
                <w:sz w:val="24"/>
                <w:szCs w:val="24"/>
              </w:rPr>
              <w:t>协同增长格局</w:t>
            </w:r>
          </w:p>
        </w:tc>
      </w:tr>
      <w:tr w14:paraId="089C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7A76ADE7">
            <w:pPr>
              <w:autoSpaceDE/>
              <w:autoSpaceDN/>
              <w:spacing w:line="500" w:lineRule="exact"/>
              <w:jc w:val="center"/>
              <w:rPr>
                <w:rFonts w:cs="仿宋_GB2312"/>
                <w:sz w:val="24"/>
                <w:szCs w:val="24"/>
              </w:rPr>
            </w:pPr>
            <w:r>
              <w:rPr>
                <w:rFonts w:hint="eastAsia" w:cs="仿宋_GB2312"/>
                <w:sz w:val="24"/>
                <w:szCs w:val="24"/>
              </w:rPr>
              <w:t>智能创新</w:t>
            </w:r>
          </w:p>
        </w:tc>
        <w:tc>
          <w:tcPr>
            <w:tcW w:w="1294" w:type="dxa"/>
            <w:vAlign w:val="center"/>
          </w:tcPr>
          <w:p w14:paraId="7028A405">
            <w:pPr>
              <w:autoSpaceDE/>
              <w:autoSpaceDN/>
              <w:spacing w:line="500" w:lineRule="exact"/>
              <w:jc w:val="center"/>
              <w:rPr>
                <w:rFonts w:cs="仿宋_GB2312"/>
                <w:sz w:val="24"/>
                <w:szCs w:val="24"/>
              </w:rPr>
            </w:pPr>
            <w:r>
              <w:rPr>
                <w:rFonts w:cs="仿宋_GB2312"/>
                <w:sz w:val="24"/>
                <w:szCs w:val="24"/>
              </w:rPr>
              <w:t>国家级高新技术企业数量</w:t>
            </w:r>
          </w:p>
        </w:tc>
        <w:tc>
          <w:tcPr>
            <w:tcW w:w="1294" w:type="dxa"/>
            <w:shd w:val="clear" w:color="auto" w:fill="auto"/>
            <w:vAlign w:val="center"/>
          </w:tcPr>
          <w:p w14:paraId="5AD3AC68">
            <w:pPr>
              <w:autoSpaceDE/>
              <w:autoSpaceDN/>
              <w:spacing w:line="500" w:lineRule="exact"/>
              <w:jc w:val="center"/>
              <w:rPr>
                <w:rFonts w:cs="仿宋_GB2312"/>
                <w:sz w:val="24"/>
                <w:szCs w:val="24"/>
              </w:rPr>
            </w:pPr>
            <w:r>
              <w:rPr>
                <w:rFonts w:hint="eastAsia" w:cs="仿宋_GB2312"/>
                <w:sz w:val="24"/>
                <w:szCs w:val="24"/>
              </w:rPr>
              <w:t>442家</w:t>
            </w:r>
          </w:p>
        </w:tc>
        <w:tc>
          <w:tcPr>
            <w:tcW w:w="1294" w:type="dxa"/>
            <w:vAlign w:val="center"/>
          </w:tcPr>
          <w:p w14:paraId="15CFCAFC">
            <w:pPr>
              <w:autoSpaceDE/>
              <w:autoSpaceDN/>
              <w:spacing w:line="500" w:lineRule="exact"/>
              <w:jc w:val="center"/>
              <w:rPr>
                <w:rFonts w:cs="仿宋_GB2312"/>
                <w:sz w:val="24"/>
                <w:szCs w:val="24"/>
              </w:rPr>
            </w:pPr>
            <w:r>
              <w:rPr>
                <w:rFonts w:hint="eastAsia" w:cs="仿宋_GB2312"/>
                <w:sz w:val="24"/>
                <w:szCs w:val="24"/>
              </w:rPr>
              <w:t>650家</w:t>
            </w:r>
          </w:p>
        </w:tc>
        <w:tc>
          <w:tcPr>
            <w:tcW w:w="1295" w:type="dxa"/>
            <w:vAlign w:val="center"/>
          </w:tcPr>
          <w:p w14:paraId="2FE31C1D">
            <w:pPr>
              <w:autoSpaceDE/>
              <w:autoSpaceDN/>
              <w:spacing w:line="500" w:lineRule="exact"/>
              <w:jc w:val="center"/>
              <w:rPr>
                <w:rFonts w:cs="仿宋_GB2312"/>
                <w:sz w:val="24"/>
                <w:szCs w:val="24"/>
              </w:rPr>
            </w:pPr>
            <w:r>
              <w:rPr>
                <w:rFonts w:hint="eastAsia" w:cs="仿宋_GB2312"/>
                <w:sz w:val="24"/>
                <w:szCs w:val="24"/>
              </w:rPr>
              <w:t>715家</w:t>
            </w:r>
          </w:p>
        </w:tc>
        <w:tc>
          <w:tcPr>
            <w:tcW w:w="855" w:type="dxa"/>
            <w:vAlign w:val="center"/>
          </w:tcPr>
          <w:p w14:paraId="1F6DE149">
            <w:pPr>
              <w:autoSpaceDE/>
              <w:autoSpaceDN/>
              <w:spacing w:line="500" w:lineRule="exact"/>
              <w:jc w:val="center"/>
              <w:rPr>
                <w:rFonts w:cs="仿宋_GB2312"/>
                <w:sz w:val="24"/>
                <w:szCs w:val="24"/>
              </w:rPr>
            </w:pPr>
            <w:r>
              <w:rPr>
                <w:rFonts w:hint="eastAsia" w:cs="仿宋_GB2312"/>
                <w:sz w:val="24"/>
                <w:szCs w:val="24"/>
              </w:rPr>
              <w:t>110%</w:t>
            </w:r>
          </w:p>
        </w:tc>
        <w:tc>
          <w:tcPr>
            <w:tcW w:w="1962" w:type="dxa"/>
            <w:vAlign w:val="center"/>
          </w:tcPr>
          <w:p w14:paraId="7D40C8FB">
            <w:pPr>
              <w:autoSpaceDE/>
              <w:autoSpaceDN/>
              <w:spacing w:line="500" w:lineRule="exact"/>
              <w:jc w:val="center"/>
              <w:rPr>
                <w:rFonts w:cs="仿宋_GB2312"/>
                <w:sz w:val="24"/>
                <w:szCs w:val="24"/>
              </w:rPr>
            </w:pPr>
            <w:r>
              <w:rPr>
                <w:rFonts w:cs="仿宋_GB2312"/>
                <w:sz w:val="24"/>
                <w:szCs w:val="24"/>
              </w:rPr>
              <w:t>年均新增超50家，创新主体规模居全市前列，研发投入强度达2.5%（超目标值）。</w:t>
            </w:r>
          </w:p>
        </w:tc>
      </w:tr>
      <w:tr w14:paraId="6631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3F9E5000">
            <w:pPr>
              <w:autoSpaceDE/>
              <w:autoSpaceDN/>
              <w:spacing w:line="500" w:lineRule="exact"/>
              <w:jc w:val="center"/>
              <w:rPr>
                <w:rFonts w:cs="仿宋_GB2312"/>
                <w:sz w:val="24"/>
                <w:szCs w:val="24"/>
              </w:rPr>
            </w:pPr>
            <w:r>
              <w:rPr>
                <w:rFonts w:hint="eastAsia" w:cs="仿宋_GB2312"/>
                <w:sz w:val="24"/>
                <w:szCs w:val="24"/>
              </w:rPr>
              <w:t>数字经济</w:t>
            </w:r>
          </w:p>
        </w:tc>
        <w:tc>
          <w:tcPr>
            <w:tcW w:w="1294" w:type="dxa"/>
            <w:vAlign w:val="center"/>
          </w:tcPr>
          <w:p w14:paraId="70BE87AC">
            <w:pPr>
              <w:autoSpaceDE/>
              <w:autoSpaceDN/>
              <w:spacing w:line="500" w:lineRule="exact"/>
              <w:jc w:val="center"/>
              <w:rPr>
                <w:rFonts w:cs="仿宋_GB2312"/>
                <w:sz w:val="24"/>
                <w:szCs w:val="24"/>
              </w:rPr>
            </w:pPr>
            <w:r>
              <w:rPr>
                <w:rFonts w:cs="仿宋_GB2312"/>
                <w:sz w:val="24"/>
                <w:szCs w:val="24"/>
              </w:rPr>
              <w:t>智能工厂/数字化车间数量</w:t>
            </w:r>
          </w:p>
        </w:tc>
        <w:tc>
          <w:tcPr>
            <w:tcW w:w="1294" w:type="dxa"/>
            <w:shd w:val="clear" w:color="auto" w:fill="auto"/>
            <w:vAlign w:val="center"/>
          </w:tcPr>
          <w:p w14:paraId="6AF10A06">
            <w:pPr>
              <w:autoSpaceDE/>
              <w:autoSpaceDN/>
              <w:spacing w:line="500" w:lineRule="exact"/>
              <w:jc w:val="center"/>
              <w:rPr>
                <w:rFonts w:cs="仿宋_GB2312"/>
                <w:sz w:val="24"/>
                <w:szCs w:val="24"/>
              </w:rPr>
            </w:pPr>
            <w:r>
              <w:rPr>
                <w:rFonts w:hint="eastAsia" w:cs="仿宋_GB2312"/>
                <w:sz w:val="24"/>
                <w:szCs w:val="24"/>
              </w:rPr>
              <w:t>10个</w:t>
            </w:r>
          </w:p>
        </w:tc>
        <w:tc>
          <w:tcPr>
            <w:tcW w:w="1294" w:type="dxa"/>
            <w:vAlign w:val="center"/>
          </w:tcPr>
          <w:p w14:paraId="14C8029A">
            <w:pPr>
              <w:autoSpaceDE/>
              <w:autoSpaceDN/>
              <w:spacing w:line="500" w:lineRule="exact"/>
              <w:jc w:val="center"/>
              <w:rPr>
                <w:rFonts w:cs="仿宋_GB2312"/>
                <w:sz w:val="24"/>
                <w:szCs w:val="24"/>
              </w:rPr>
            </w:pPr>
            <w:r>
              <w:rPr>
                <w:rFonts w:hint="eastAsia" w:cs="仿宋_GB2312"/>
                <w:sz w:val="24"/>
                <w:szCs w:val="24"/>
              </w:rPr>
              <w:t>20个</w:t>
            </w:r>
          </w:p>
        </w:tc>
        <w:tc>
          <w:tcPr>
            <w:tcW w:w="1295" w:type="dxa"/>
            <w:vAlign w:val="center"/>
          </w:tcPr>
          <w:p w14:paraId="26083527">
            <w:pPr>
              <w:autoSpaceDE/>
              <w:autoSpaceDN/>
              <w:spacing w:line="500" w:lineRule="exact"/>
              <w:jc w:val="center"/>
              <w:rPr>
                <w:rFonts w:cs="仿宋_GB2312"/>
                <w:sz w:val="24"/>
                <w:szCs w:val="24"/>
              </w:rPr>
            </w:pPr>
            <w:r>
              <w:rPr>
                <w:rFonts w:hint="eastAsia" w:cs="仿宋_GB2312"/>
                <w:sz w:val="24"/>
                <w:szCs w:val="24"/>
              </w:rPr>
              <w:t>31个</w:t>
            </w:r>
          </w:p>
        </w:tc>
        <w:tc>
          <w:tcPr>
            <w:tcW w:w="855" w:type="dxa"/>
            <w:vAlign w:val="center"/>
          </w:tcPr>
          <w:p w14:paraId="47AD7B86">
            <w:pPr>
              <w:autoSpaceDE/>
              <w:autoSpaceDN/>
              <w:spacing w:line="500" w:lineRule="exact"/>
              <w:jc w:val="center"/>
              <w:rPr>
                <w:rFonts w:cs="仿宋_GB2312"/>
                <w:sz w:val="24"/>
                <w:szCs w:val="24"/>
              </w:rPr>
            </w:pPr>
            <w:r>
              <w:rPr>
                <w:rFonts w:hint="eastAsia" w:cs="仿宋_GB2312"/>
                <w:sz w:val="24"/>
                <w:szCs w:val="24"/>
              </w:rPr>
              <w:t>155%</w:t>
            </w:r>
          </w:p>
        </w:tc>
        <w:tc>
          <w:tcPr>
            <w:tcW w:w="1962" w:type="dxa"/>
            <w:vAlign w:val="center"/>
          </w:tcPr>
          <w:p w14:paraId="6A28E422">
            <w:pPr>
              <w:autoSpaceDE/>
              <w:autoSpaceDN/>
              <w:spacing w:line="500" w:lineRule="exact"/>
              <w:jc w:val="center"/>
              <w:rPr>
                <w:rFonts w:cs="仿宋_GB2312"/>
                <w:sz w:val="24"/>
                <w:szCs w:val="24"/>
              </w:rPr>
            </w:pPr>
            <w:r>
              <w:rPr>
                <w:rFonts w:cs="仿宋_GB2312"/>
                <w:sz w:val="24"/>
                <w:szCs w:val="24"/>
              </w:rPr>
              <w:t>天士力、长荣集团等31家企业成为全市数字化转型标杆，智能制造谷集聚效应凸显。</w:t>
            </w:r>
          </w:p>
        </w:tc>
      </w:tr>
      <w:tr w14:paraId="4319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5B50BD57">
            <w:pPr>
              <w:autoSpaceDE/>
              <w:autoSpaceDN/>
              <w:spacing w:line="500" w:lineRule="exact"/>
              <w:jc w:val="center"/>
              <w:rPr>
                <w:rFonts w:cs="仿宋_GB2312"/>
                <w:sz w:val="24"/>
                <w:szCs w:val="24"/>
              </w:rPr>
            </w:pPr>
            <w:r>
              <w:rPr>
                <w:rFonts w:hint="eastAsia" w:cs="仿宋_GB2312"/>
                <w:sz w:val="24"/>
                <w:szCs w:val="24"/>
              </w:rPr>
              <w:t>绿色发展</w:t>
            </w:r>
          </w:p>
        </w:tc>
        <w:tc>
          <w:tcPr>
            <w:tcW w:w="1294" w:type="dxa"/>
            <w:vAlign w:val="center"/>
          </w:tcPr>
          <w:p w14:paraId="78CC377A">
            <w:pPr>
              <w:autoSpaceDE/>
              <w:autoSpaceDN/>
              <w:spacing w:line="500" w:lineRule="exact"/>
              <w:jc w:val="center"/>
              <w:rPr>
                <w:rFonts w:cs="仿宋_GB2312"/>
                <w:sz w:val="24"/>
                <w:szCs w:val="24"/>
              </w:rPr>
            </w:pPr>
            <w:r>
              <w:rPr>
                <w:rFonts w:cs="仿宋_GB2312"/>
                <w:sz w:val="24"/>
                <w:szCs w:val="24"/>
              </w:rPr>
              <w:t>国家级/市级绿色工厂数量</w:t>
            </w:r>
          </w:p>
        </w:tc>
        <w:tc>
          <w:tcPr>
            <w:tcW w:w="1294" w:type="dxa"/>
            <w:vAlign w:val="center"/>
          </w:tcPr>
          <w:p w14:paraId="308D4CC8">
            <w:pPr>
              <w:autoSpaceDE/>
              <w:autoSpaceDN/>
              <w:spacing w:line="500" w:lineRule="exact"/>
              <w:jc w:val="center"/>
              <w:rPr>
                <w:rFonts w:cs="仿宋_GB2312"/>
                <w:sz w:val="24"/>
                <w:szCs w:val="24"/>
              </w:rPr>
            </w:pPr>
            <w:r>
              <w:rPr>
                <w:rFonts w:hint="eastAsia" w:cs="仿宋_GB2312"/>
                <w:sz w:val="24"/>
                <w:szCs w:val="24"/>
              </w:rPr>
              <w:t>19家</w:t>
            </w:r>
          </w:p>
        </w:tc>
        <w:tc>
          <w:tcPr>
            <w:tcW w:w="1294" w:type="dxa"/>
            <w:vAlign w:val="center"/>
          </w:tcPr>
          <w:p w14:paraId="460390EA">
            <w:pPr>
              <w:autoSpaceDE/>
              <w:autoSpaceDN/>
              <w:spacing w:line="500" w:lineRule="exact"/>
              <w:jc w:val="center"/>
              <w:rPr>
                <w:rFonts w:cs="仿宋_GB2312"/>
                <w:sz w:val="24"/>
                <w:szCs w:val="24"/>
              </w:rPr>
            </w:pPr>
            <w:r>
              <w:rPr>
                <w:rFonts w:hint="eastAsia" w:cs="仿宋_GB2312"/>
                <w:sz w:val="24"/>
                <w:szCs w:val="24"/>
              </w:rPr>
              <w:t>29家</w:t>
            </w:r>
          </w:p>
        </w:tc>
        <w:tc>
          <w:tcPr>
            <w:tcW w:w="1295" w:type="dxa"/>
            <w:vAlign w:val="center"/>
          </w:tcPr>
          <w:p w14:paraId="64C74437">
            <w:pPr>
              <w:autoSpaceDE/>
              <w:autoSpaceDN/>
              <w:spacing w:line="500" w:lineRule="exact"/>
              <w:jc w:val="center"/>
              <w:rPr>
                <w:rFonts w:cs="仿宋_GB2312"/>
                <w:sz w:val="24"/>
                <w:szCs w:val="24"/>
              </w:rPr>
            </w:pPr>
            <w:r>
              <w:rPr>
                <w:rFonts w:hint="eastAsia" w:cs="仿宋_GB2312"/>
                <w:sz w:val="24"/>
                <w:szCs w:val="24"/>
              </w:rPr>
              <w:t>33家</w:t>
            </w:r>
          </w:p>
        </w:tc>
        <w:tc>
          <w:tcPr>
            <w:tcW w:w="855" w:type="dxa"/>
            <w:vAlign w:val="center"/>
          </w:tcPr>
          <w:p w14:paraId="1DA4A203">
            <w:pPr>
              <w:autoSpaceDE/>
              <w:autoSpaceDN/>
              <w:spacing w:line="500" w:lineRule="exact"/>
              <w:jc w:val="center"/>
              <w:rPr>
                <w:rFonts w:cs="仿宋_GB2312"/>
                <w:sz w:val="24"/>
                <w:szCs w:val="24"/>
              </w:rPr>
            </w:pPr>
            <w:r>
              <w:rPr>
                <w:rFonts w:hint="eastAsia" w:cs="仿宋_GB2312"/>
                <w:sz w:val="24"/>
                <w:szCs w:val="24"/>
              </w:rPr>
              <w:t>113.8%</w:t>
            </w:r>
          </w:p>
        </w:tc>
        <w:tc>
          <w:tcPr>
            <w:tcW w:w="1962" w:type="dxa"/>
            <w:vAlign w:val="center"/>
          </w:tcPr>
          <w:p w14:paraId="1E5050B4">
            <w:pPr>
              <w:autoSpaceDE/>
              <w:autoSpaceDN/>
              <w:spacing w:line="500" w:lineRule="exact"/>
              <w:jc w:val="center"/>
              <w:rPr>
                <w:rFonts w:cs="仿宋_GB2312"/>
                <w:sz w:val="24"/>
                <w:szCs w:val="24"/>
              </w:rPr>
            </w:pPr>
            <w:r>
              <w:rPr>
                <w:rFonts w:cs="仿宋_GB2312"/>
                <w:sz w:val="24"/>
                <w:szCs w:val="24"/>
              </w:rPr>
              <w:t>9家国家级绿色工厂领跑全市，钢铁去产能、危化企业搬迁等任务提前收官。</w:t>
            </w:r>
          </w:p>
        </w:tc>
      </w:tr>
    </w:tbl>
    <w:p w14:paraId="280F6F18">
      <w:pPr>
        <w:pStyle w:val="4"/>
        <w:ind w:firstLine="683"/>
      </w:pPr>
      <w:r>
        <w:rPr>
          <w:rFonts w:hint="eastAsia"/>
        </w:rPr>
        <w:t>（三）核心亮点与成果</w:t>
      </w:r>
    </w:p>
    <w:p w14:paraId="6867B306">
      <w:pPr>
        <w:ind w:firstLine="683" w:firstLineChars="200"/>
      </w:pPr>
      <w:r>
        <w:rPr>
          <w:rFonts w:hint="eastAsia"/>
          <w:b/>
          <w:bCs/>
        </w:rPr>
        <w:t>1.产业集群竞争力增强。</w:t>
      </w:r>
      <w:r>
        <w:rPr>
          <w:rFonts w:hint="eastAsia"/>
        </w:rPr>
        <w:t>高端装备制造、现代医药等主导产业与新能源、新材料等新兴产业协同发展，形成“2+3”产业体系，5条超百亿元产业链占规上工业总产值超80%，产业链完备度显著提升。</w:t>
      </w:r>
    </w:p>
    <w:p w14:paraId="3B0DDF05">
      <w:pPr>
        <w:ind w:firstLine="683" w:firstLineChars="200"/>
      </w:pPr>
      <w:r>
        <w:rPr>
          <w:rFonts w:hint="eastAsia"/>
          <w:b/>
          <w:bCs/>
        </w:rPr>
        <w:t>2.创新生态持续优化。</w:t>
      </w:r>
      <w:r>
        <w:rPr>
          <w:rFonts w:hint="eastAsia"/>
        </w:rPr>
        <w:t>R&amp;D投入强度、高新技术企业数量、专精特新企业规模等指标均居全市前列，创新资源加速向企业集聚。</w:t>
      </w:r>
    </w:p>
    <w:p w14:paraId="01688928">
      <w:pPr>
        <w:ind w:firstLine="683" w:firstLineChars="200"/>
      </w:pPr>
      <w:r>
        <w:rPr>
          <w:rFonts w:hint="eastAsia"/>
          <w:b/>
          <w:bCs/>
        </w:rPr>
        <w:t>3.持续推动区域协同。</w:t>
      </w:r>
      <w:r>
        <w:rPr>
          <w:rFonts w:hint="eastAsia"/>
        </w:rPr>
        <w:t>京津医药谷、智能制造谷“双谷”建设落地，承接非首都功能疏解项目超200个，引进爱旭科技、SMC气动元件等高端项目，外资企业增资扩产活跃。</w:t>
      </w:r>
    </w:p>
    <w:p w14:paraId="32C68B28">
      <w:pPr>
        <w:ind w:firstLine="683" w:firstLineChars="200"/>
      </w:pPr>
      <w:r>
        <w:rPr>
          <w:rFonts w:hint="eastAsia"/>
          <w:b/>
          <w:bCs/>
        </w:rPr>
        <w:t>4.绿色转型走在前列。</w:t>
      </w:r>
      <w:r>
        <w:rPr>
          <w:rFonts w:hint="eastAsia"/>
        </w:rPr>
        <w:t>绿色工厂数量、节能诊断服务覆盖面、去产能任务完成度等均超额完成目标，工业领域碳达峰路径清晰，绿色制造体系日趋完善。</w:t>
      </w:r>
    </w:p>
    <w:p w14:paraId="41C7DF4E">
      <w:pPr>
        <w:pStyle w:val="3"/>
        <w:ind w:firstLine="683"/>
      </w:pPr>
      <w:r>
        <w:rPr>
          <w:rFonts w:hint="eastAsia"/>
        </w:rPr>
        <w:t>二、产业发展：从“规划布局”到“生态成型”</w:t>
      </w:r>
    </w:p>
    <w:p w14:paraId="2CA5CF17">
      <w:pPr>
        <w:ind w:firstLine="680" w:firstLineChars="200"/>
        <w:jc w:val="both"/>
        <w:rPr>
          <w:rFonts w:cs="仿宋_GB2312"/>
          <w:szCs w:val="34"/>
        </w:rPr>
      </w:pPr>
      <w:r>
        <w:rPr>
          <w:rFonts w:hint="eastAsia" w:cs="仿宋_GB2312"/>
          <w:szCs w:val="34"/>
        </w:rPr>
        <w:t>“十四五”期间，北辰区以“链长制”为核心抓手，构建“四个支柱产业链为基础、‘2+3’产业体系为引领”的产业发展框架，通过聚焦高端化、智能化、绿色化方向，推动产业链上下游协同发力，形成特色鲜明、优势集聚的产业生态。目前已培育形成5条超百亿元产业链，为区域经济高质量发展注入核心动能。</w:t>
      </w:r>
    </w:p>
    <w:p w14:paraId="235D042E">
      <w:pPr>
        <w:pStyle w:val="4"/>
        <w:ind w:firstLine="683"/>
      </w:pPr>
      <w:r>
        <w:rPr>
          <w:rFonts w:hint="eastAsia"/>
        </w:rPr>
        <w:t>（一）核心产业链发展态势</w:t>
      </w:r>
    </w:p>
    <w:p w14:paraId="6EE1C893">
      <w:pPr>
        <w:pStyle w:val="5"/>
        <w:ind w:firstLine="680"/>
      </w:pPr>
      <w:r>
        <w:rPr>
          <w:rFonts w:hint="eastAsia"/>
        </w:rPr>
        <w:t>1.超百亿元产业链支撑作用凸显</w:t>
      </w:r>
    </w:p>
    <w:p w14:paraId="0FB11198">
      <w:pPr>
        <w:autoSpaceDE/>
        <w:autoSpaceDN/>
        <w:ind w:firstLine="683" w:firstLineChars="200"/>
        <w:jc w:val="both"/>
        <w:rPr>
          <w:rFonts w:cs="仿宋_GB2312"/>
          <w:szCs w:val="34"/>
        </w:rPr>
      </w:pPr>
      <w:r>
        <w:rPr>
          <w:rFonts w:hint="eastAsia" w:cs="仿宋_GB2312"/>
          <w:b/>
          <w:bCs/>
          <w:szCs w:val="34"/>
        </w:rPr>
        <w:t>新材料产业链，</w:t>
      </w:r>
      <w:r>
        <w:rPr>
          <w:rFonts w:hint="eastAsia" w:cs="仿宋_GB2312"/>
          <w:szCs w:val="34"/>
        </w:rPr>
        <w:t>作为全区第一大支柱产业，2024年集聚企业115家，完成产值425.1亿元，占规上工业总产值30.6%。以江铜华北、银龙预应力、耀皮玻璃、众晶半导体等企业为核心，重点突破铜金属材料、先进无机非金属材料、高性能纤维及复合材料等领域，研发制造水平持续提升，成为产业链条最完备、规模最大的优势产业，2024年获批天津市中小企业特色产业集群。</w:t>
      </w:r>
    </w:p>
    <w:p w14:paraId="22E5284E">
      <w:pPr>
        <w:autoSpaceDE/>
        <w:autoSpaceDN/>
        <w:ind w:firstLine="683" w:firstLineChars="200"/>
        <w:jc w:val="both"/>
        <w:rPr>
          <w:rFonts w:cs="仿宋_GB2312"/>
          <w:szCs w:val="34"/>
        </w:rPr>
      </w:pPr>
      <w:r>
        <w:rPr>
          <w:rFonts w:hint="eastAsia" w:cs="仿宋_GB2312"/>
          <w:b/>
          <w:bCs/>
          <w:szCs w:val="34"/>
        </w:rPr>
        <w:t>现代轻工产业链，</w:t>
      </w:r>
      <w:r>
        <w:rPr>
          <w:rFonts w:hint="eastAsia" w:cs="仿宋_GB2312"/>
          <w:szCs w:val="34"/>
        </w:rPr>
        <w:t>101家在链企业实现产值324.4亿元，同比增长3.6%，占比23.3%。依托雅迪、乐金电子等龙头企业，聚焦高端电动助力车、智能家电等方向，建成全国重要的高端消费品制造基地，产业附加值逐年提高。</w:t>
      </w:r>
    </w:p>
    <w:p w14:paraId="72C59BD9">
      <w:pPr>
        <w:autoSpaceDE/>
        <w:autoSpaceDN/>
        <w:ind w:firstLine="683" w:firstLineChars="200"/>
        <w:jc w:val="both"/>
        <w:rPr>
          <w:rFonts w:cs="仿宋_GB2312"/>
          <w:szCs w:val="34"/>
        </w:rPr>
      </w:pPr>
      <w:r>
        <w:rPr>
          <w:rFonts w:hint="eastAsia" w:cs="仿宋_GB2312"/>
          <w:b/>
          <w:bCs/>
          <w:szCs w:val="34"/>
        </w:rPr>
        <w:t>新能源产业链，</w:t>
      </w:r>
      <w:r>
        <w:rPr>
          <w:rFonts w:hint="eastAsia" w:cs="仿宋_GB2312"/>
          <w:szCs w:val="34"/>
        </w:rPr>
        <w:t>16家核心企业完成产值130.6亿元，占比9.4%。以弗兰德、采埃孚、爱旭科技、华电重工为引领，主攻光伏发电系统、风电机组及关键零部件研发制造，加速氢能产业布局，绿色新能源装备产业园在市级主题园区绩效考核中位居前列，成为新能源产业集聚高地。</w:t>
      </w:r>
    </w:p>
    <w:p w14:paraId="5C5E1261">
      <w:pPr>
        <w:autoSpaceDE/>
        <w:autoSpaceDN/>
        <w:ind w:firstLine="683" w:firstLineChars="200"/>
        <w:jc w:val="both"/>
        <w:rPr>
          <w:rFonts w:cs="仿宋_GB2312"/>
          <w:szCs w:val="34"/>
        </w:rPr>
      </w:pPr>
      <w:r>
        <w:rPr>
          <w:rFonts w:hint="eastAsia" w:cs="仿宋_GB2312"/>
          <w:b/>
          <w:bCs/>
          <w:szCs w:val="34"/>
        </w:rPr>
        <w:t>高端装备制造产业链，</w:t>
      </w:r>
      <w:r>
        <w:rPr>
          <w:rFonts w:hint="eastAsia" w:cs="仿宋_GB2312"/>
          <w:szCs w:val="34"/>
        </w:rPr>
        <w:t>110家企业实现产值126.7亿元，占比9.1%。天锻压力机、中重科技、长荣印刷等龙头企业带动下，以智能专用装备和工业母机为核心方向，推动装备制造业向信息化、智能化及系统集成领域升级，工业母机、数字印刷装备等产业集群获批市级中小企业特色集群。</w:t>
      </w:r>
    </w:p>
    <w:p w14:paraId="30A9B8F7">
      <w:pPr>
        <w:autoSpaceDE/>
        <w:autoSpaceDN/>
        <w:ind w:firstLine="683" w:firstLineChars="200"/>
        <w:jc w:val="both"/>
        <w:rPr>
          <w:rFonts w:cs="仿宋_GB2312"/>
          <w:szCs w:val="34"/>
        </w:rPr>
      </w:pPr>
      <w:r>
        <w:rPr>
          <w:rFonts w:hint="eastAsia" w:cs="仿宋_GB2312"/>
          <w:b/>
          <w:bCs/>
          <w:szCs w:val="34"/>
        </w:rPr>
        <w:t>汽车与新能源汽车产业链，</w:t>
      </w:r>
      <w:r>
        <w:rPr>
          <w:rFonts w:hint="eastAsia" w:cs="仿宋_GB2312"/>
          <w:szCs w:val="34"/>
        </w:rPr>
        <w:t>55家配套企业完成产值116.4亿元，同比增长3.4%，占比8.4%。高丘六和、爱德克斯、本特勒等企业聚焦核心零部件领域，持续提升产业链在全市的产值比重，形成与京津冀汽车产业带协同发展的配套体系。</w:t>
      </w:r>
    </w:p>
    <w:p w14:paraId="4C03EE8F">
      <w:pPr>
        <w:pStyle w:val="5"/>
        <w:ind w:firstLine="680"/>
      </w:pPr>
      <w:r>
        <w:rPr>
          <w:rFonts w:hint="eastAsia"/>
        </w:rPr>
        <w:t>2.特色产业链多元协同发展​</w:t>
      </w:r>
    </w:p>
    <w:p w14:paraId="570C2474">
      <w:pPr>
        <w:autoSpaceDE/>
        <w:autoSpaceDN/>
        <w:ind w:firstLine="683" w:firstLineChars="200"/>
        <w:jc w:val="both"/>
        <w:rPr>
          <w:rFonts w:cs="仿宋_GB2312"/>
          <w:szCs w:val="34"/>
        </w:rPr>
      </w:pPr>
      <w:r>
        <w:rPr>
          <w:rFonts w:hint="eastAsia" w:cs="仿宋_GB2312"/>
          <w:b/>
          <w:bCs/>
          <w:szCs w:val="34"/>
        </w:rPr>
        <w:t>绿色石化产业链</w:t>
      </w:r>
      <w:r>
        <w:rPr>
          <w:rFonts w:hint="eastAsia" w:cs="仿宋_GB2312"/>
          <w:szCs w:val="34"/>
        </w:rPr>
        <w:t>（49家企业，产值74.8亿元，占比5.4%）、中医药产业链（4家企业，产值69.2亿元，占比5%）稳步发展，为区域产业多元化提供支撑。​</w:t>
      </w:r>
    </w:p>
    <w:p w14:paraId="72BCF1DB">
      <w:pPr>
        <w:autoSpaceDE/>
        <w:autoSpaceDN/>
        <w:ind w:firstLine="683" w:firstLineChars="200"/>
        <w:jc w:val="both"/>
        <w:rPr>
          <w:rFonts w:cs="仿宋_GB2312"/>
          <w:szCs w:val="34"/>
        </w:rPr>
      </w:pPr>
      <w:r>
        <w:rPr>
          <w:rFonts w:hint="eastAsia" w:cs="仿宋_GB2312"/>
          <w:b/>
          <w:bCs/>
          <w:szCs w:val="34"/>
        </w:rPr>
        <w:t>生物医药产业链</w:t>
      </w:r>
      <w:r>
        <w:rPr>
          <w:rFonts w:hint="eastAsia" w:cs="仿宋_GB2312"/>
          <w:szCs w:val="34"/>
        </w:rPr>
        <w:t>（19家企业，产值20.1亿元，同比增长7.7%）、信息技术应用创新产业链（11家企业，产值7亿元，同比增长27.8%）增速显著，成为培育新动能的重要载体。</w:t>
      </w:r>
    </w:p>
    <w:p w14:paraId="512F904B">
      <w:pPr>
        <w:pStyle w:val="4"/>
        <w:ind w:firstLine="683"/>
      </w:pPr>
      <w:r>
        <w:rPr>
          <w:rFonts w:hint="eastAsia"/>
        </w:rPr>
        <w:t>（二）新兴产业与新赛道布局</w:t>
      </w:r>
    </w:p>
    <w:p w14:paraId="756016A8">
      <w:pPr>
        <w:autoSpaceDE/>
        <w:autoSpaceDN/>
        <w:ind w:firstLine="680" w:firstLineChars="200"/>
        <w:jc w:val="both"/>
      </w:pPr>
      <w:r>
        <w:rPr>
          <w:rFonts w:hint="eastAsia"/>
        </w:rPr>
        <w:t>北辰区以“2+3”现代化产业体系为导向，聚力壮大智能制造装备和生物医药优势产业，前瞻布局智能算力、低空经济、机器人等战略性新兴产业，推动产业结构向更高能级跃升。​</w:t>
      </w:r>
    </w:p>
    <w:p w14:paraId="420AF8BA">
      <w:pPr>
        <w:autoSpaceDE/>
        <w:autoSpaceDN/>
        <w:ind w:firstLine="683" w:firstLineChars="200"/>
        <w:jc w:val="both"/>
      </w:pPr>
      <w:r>
        <w:rPr>
          <w:rFonts w:hint="eastAsia"/>
          <w:b/>
          <w:bCs/>
        </w:rPr>
        <w:t>智能制造谷</w:t>
      </w:r>
      <w:r>
        <w:rPr>
          <w:rFonts w:hint="eastAsia"/>
        </w:rPr>
        <w:t>已集聚机器人企业20余家，茵梦达全球电机生产基地及研发中心落地，形成从核心零部件到系统集成的完整链条。​</w:t>
      </w:r>
    </w:p>
    <w:p w14:paraId="6CC47B04">
      <w:pPr>
        <w:autoSpaceDE/>
        <w:autoSpaceDN/>
        <w:ind w:firstLine="683" w:firstLineChars="200"/>
        <w:jc w:val="both"/>
      </w:pPr>
      <w:r>
        <w:rPr>
          <w:rFonts w:hint="eastAsia"/>
          <w:b/>
          <w:bCs/>
        </w:rPr>
        <w:t>京津医药谷</w:t>
      </w:r>
      <w:r>
        <w:rPr>
          <w:rFonts w:hint="eastAsia"/>
        </w:rPr>
        <w:t>引入低空经济研究院，依托天士力等龙头企业延伸生物医药产业链，推动产学研用深度融合，为新赛道布局奠定技术与载体基础。</w:t>
      </w:r>
    </w:p>
    <w:p w14:paraId="2DED0402">
      <w:pPr>
        <w:pStyle w:val="4"/>
        <w:ind w:firstLine="683"/>
      </w:pPr>
      <w:r>
        <w:rPr>
          <w:rFonts w:hint="eastAsia"/>
        </w:rPr>
        <w:t>（三）产业发展成效与亮点​</w:t>
      </w:r>
    </w:p>
    <w:p w14:paraId="00624CD1">
      <w:pPr>
        <w:autoSpaceDE/>
        <w:autoSpaceDN/>
        <w:ind w:firstLine="683" w:firstLineChars="200"/>
        <w:jc w:val="both"/>
      </w:pPr>
      <w:r>
        <w:rPr>
          <w:rFonts w:hint="eastAsia"/>
          <w:b/>
          <w:bCs/>
        </w:rPr>
        <w:t>产业链集聚效应显著。</w:t>
      </w:r>
      <w:r>
        <w:rPr>
          <w:rFonts w:hint="eastAsia"/>
        </w:rPr>
        <w:t>5条超百亿元产业链产值占规上工业总产值比重超80%，其中新材料、现代轻工两大产业链合计占比达53.9%，成为支撑区域经济的核心支柱。​</w:t>
      </w:r>
    </w:p>
    <w:p w14:paraId="513C0D16">
      <w:pPr>
        <w:autoSpaceDE/>
        <w:autoSpaceDN/>
        <w:ind w:firstLine="683" w:firstLineChars="200"/>
        <w:jc w:val="both"/>
      </w:pPr>
      <w:r>
        <w:rPr>
          <w:rFonts w:hint="eastAsia"/>
          <w:b/>
          <w:bCs/>
        </w:rPr>
        <w:t>“链长制”推动精准发展。</w:t>
      </w:r>
      <w:r>
        <w:rPr>
          <w:rFonts w:hint="eastAsia"/>
        </w:rPr>
        <w:t>通过“一链一长、一链一策”，推动工业母机、数字印刷装备等4个集群获评市级中小企业特色产业集群，动力部件制造、绿色新能源装备等园区获批市级主题园区，产业链韧性与竞争力持续增强。​</w:t>
      </w:r>
    </w:p>
    <w:p w14:paraId="76251B2B">
      <w:pPr>
        <w:autoSpaceDE/>
        <w:autoSpaceDN/>
        <w:ind w:firstLine="683" w:firstLineChars="200"/>
        <w:jc w:val="both"/>
      </w:pPr>
      <w:r>
        <w:rPr>
          <w:rFonts w:hint="eastAsia"/>
          <w:b/>
          <w:bCs/>
        </w:rPr>
        <w:t>新动能培育提速。</w:t>
      </w:r>
      <w:r>
        <w:rPr>
          <w:rFonts w:hint="eastAsia"/>
        </w:rPr>
        <w:t>信息技术应用创新、生物医药等新兴产业链增速领先，机器人、低空经济等新赛道布局加快，为“2+3”产业体系迭代升级提供持续动力。</w:t>
      </w:r>
    </w:p>
    <w:p w14:paraId="2B669819">
      <w:pPr>
        <w:pStyle w:val="3"/>
        <w:ind w:firstLine="683"/>
      </w:pPr>
      <w:r>
        <w:rPr>
          <w:rFonts w:hint="eastAsia"/>
        </w:rPr>
        <w:t>三、重点工程：从“蓝图设计”到“标杆示范”</w:t>
      </w:r>
    </w:p>
    <w:p w14:paraId="351F7C6A">
      <w:pPr>
        <w:ind w:firstLine="680" w:firstLineChars="200"/>
      </w:pPr>
      <w:r>
        <w:rPr>
          <w:rFonts w:hint="eastAsia"/>
        </w:rPr>
        <w:t>规划明确的“5G+工业互联网”“政产学研用”“企业梯度培育”三大工程均超额完成阶段目标，逐步形成可复制的“北辰经验”。</w:t>
      </w:r>
    </w:p>
    <w:p w14:paraId="7DA9469E">
      <w:pPr>
        <w:pStyle w:val="4"/>
        <w:ind w:firstLine="683"/>
      </w:pPr>
      <w:r>
        <w:rPr>
          <w:rFonts w:hint="eastAsia"/>
        </w:rPr>
        <w:t>（一）“5G+工业互联网”建设工程</w:t>
      </w:r>
    </w:p>
    <w:p w14:paraId="476DD5EE">
      <w:pPr>
        <w:pStyle w:val="5"/>
        <w:ind w:firstLine="680"/>
      </w:pPr>
      <w:r>
        <w:rPr>
          <w:rFonts w:hint="eastAsia"/>
        </w:rPr>
        <w:t>1.主要成效</w:t>
      </w:r>
    </w:p>
    <w:p w14:paraId="64BBD994">
      <w:pPr>
        <w:ind w:firstLine="680" w:firstLineChars="200"/>
        <w:jc w:val="both"/>
        <w:rPr>
          <w:rFonts w:cs="仿宋_GB2312"/>
          <w:szCs w:val="34"/>
        </w:rPr>
      </w:pPr>
      <w:r>
        <w:rPr>
          <w:rFonts w:hint="eastAsia" w:cs="仿宋_GB2312"/>
          <w:szCs w:val="34"/>
        </w:rPr>
        <w:t>北辰区系统推进“5G+工业互联网”融合应用，构建起“基础设施-平台支撑-场景落地-生态赋能”的全链条发展体系。</w:t>
      </w:r>
    </w:p>
    <w:p w14:paraId="2C3C341C">
      <w:pPr>
        <w:ind w:firstLine="683" w:firstLineChars="200"/>
        <w:jc w:val="both"/>
        <w:rPr>
          <w:rFonts w:cs="仿宋_GB2312"/>
          <w:szCs w:val="34"/>
        </w:rPr>
      </w:pPr>
      <w:r>
        <w:rPr>
          <w:rFonts w:hint="eastAsia" w:cs="仿宋_GB2312"/>
          <w:b/>
          <w:bCs/>
          <w:szCs w:val="34"/>
        </w:rPr>
        <w:t>顶层设计与要素保障。</w:t>
      </w:r>
      <w:r>
        <w:rPr>
          <w:rFonts w:hint="eastAsia" w:cs="仿宋_GB2312"/>
          <w:szCs w:val="34"/>
        </w:rPr>
        <w:t>编制《天津市北辰区移动通信基站站址布局专项规划（2019-2030年）》（2022年修编稿），建立“市级引领+区级配套”资金机制，2021-2025年累计获批市级专项资金2948.85万元，配套区级资金1474.425万元，为企业数字化转型提供坚实支撑。</w:t>
      </w:r>
    </w:p>
    <w:p w14:paraId="76CD8E27">
      <w:pPr>
        <w:ind w:firstLine="683" w:firstLineChars="200"/>
        <w:jc w:val="both"/>
      </w:pPr>
      <w:r>
        <w:rPr>
          <w:rFonts w:hint="eastAsia"/>
          <w:b/>
          <w:bCs/>
        </w:rPr>
        <w:t>基础设施全域覆盖。</w:t>
      </w:r>
      <w:r>
        <w:rPr>
          <w:rFonts w:hint="eastAsia"/>
        </w:rPr>
        <w:t>建成5G基站5444个，每万人拥有量达54个，实现全域深度覆盖；千兆光纤网络贯通所有工业园区，开通全市首个万兆宽带，构建起高速稳定的网络底座。朝亚、江天两大工业互联网大数据中心通过国际认证，规划机柜超6.5万个，成为京津冀数据服务重要枢纽。</w:t>
      </w:r>
    </w:p>
    <w:p w14:paraId="63313214">
      <w:pPr>
        <w:ind w:firstLine="683" w:firstLineChars="200"/>
        <w:jc w:val="both"/>
      </w:pPr>
      <w:r>
        <w:rPr>
          <w:rFonts w:hint="eastAsia"/>
          <w:b/>
          <w:bCs/>
        </w:rPr>
        <w:t>平台体系能级跃升。</w:t>
      </w:r>
      <w:r>
        <w:rPr>
          <w:rFonts w:hint="eastAsia"/>
        </w:rPr>
        <w:t>建成</w:t>
      </w:r>
      <w:r>
        <w:rPr>
          <w:rFonts w:hint="eastAsia" w:cs="仿宋_GB2312"/>
          <w:szCs w:val="34"/>
        </w:rPr>
        <w:t>包装、中药、节能环保工程施工、建筑材料生产专用机械制造等4个细分行业</w:t>
      </w:r>
      <w:r>
        <w:rPr>
          <w:rFonts w:hint="eastAsia"/>
        </w:rPr>
        <w:t>工业互联网标识解析二级节点，数量居全市第二，接入企业超200家，实现产业链数据协同；推动企业级、行业级平台建设，智能制造谷集聚20余家机器人企业，形成“平台+产业”融合生态。</w:t>
      </w:r>
    </w:p>
    <w:p w14:paraId="2DDBDF30">
      <w:pPr>
        <w:ind w:firstLine="683" w:firstLineChars="200"/>
        <w:jc w:val="both"/>
        <w:rPr>
          <w:rFonts w:cs="仿宋_GB2312"/>
          <w:szCs w:val="34"/>
        </w:rPr>
      </w:pPr>
      <w:r>
        <w:rPr>
          <w:rFonts w:hint="eastAsia" w:cs="仿宋_GB2312"/>
          <w:b/>
          <w:bCs/>
          <w:szCs w:val="34"/>
        </w:rPr>
        <w:t>融合应用场景突破。</w:t>
      </w:r>
      <w:r>
        <w:rPr>
          <w:rFonts w:hint="eastAsia" w:cs="仿宋_GB2312"/>
          <w:szCs w:val="34"/>
        </w:rPr>
        <w:t>培育长荣云印刷、天锻压力机等20余个创新应用场景，包装行业全流程数字化管理、中药全生命周期数据平台等模式形成示范效应。金隅振兴、银龙预应力分别入选国家级、市级5G工厂名录，31家企业建成数字化车间或智能工厂。​</w:t>
      </w:r>
    </w:p>
    <w:p w14:paraId="0E874936">
      <w:pPr>
        <w:ind w:firstLine="683" w:firstLineChars="200"/>
        <w:jc w:val="both"/>
        <w:rPr>
          <w:rFonts w:cs="仿宋_GB2312"/>
          <w:szCs w:val="34"/>
        </w:rPr>
      </w:pPr>
      <w:r>
        <w:rPr>
          <w:rFonts w:hint="eastAsia" w:cs="仿宋_GB2312"/>
          <w:b/>
          <w:bCs/>
          <w:szCs w:val="34"/>
        </w:rPr>
        <w:t>产业升级成效显著。</w:t>
      </w:r>
      <w:r>
        <w:rPr>
          <w:rFonts w:hint="eastAsia" w:cs="仿宋_GB2312"/>
          <w:szCs w:val="34"/>
        </w:rPr>
        <w:t>8家单位跻身国家级服务型制造示范，11家获评市级示范企业，5家成为系统解决方案商；通过“海河英才”计划和“北极星”专项行动，精准引育“5G+工业互联网”领域高端人才，完善成果转化与知识产权保护机制。</w:t>
      </w:r>
    </w:p>
    <w:p w14:paraId="79A6567B">
      <w:pPr>
        <w:pStyle w:val="5"/>
        <w:ind w:firstLine="680"/>
      </w:pPr>
      <w:r>
        <w:rPr>
          <w:rFonts w:hint="eastAsia"/>
        </w:rPr>
        <w:t>2.实施评价。</w:t>
      </w:r>
    </w:p>
    <w:p w14:paraId="3FB54E25">
      <w:pPr>
        <w:ind w:firstLine="680" w:firstLineChars="200"/>
        <w:jc w:val="both"/>
        <w:rPr>
          <w:rFonts w:cs="仿宋_GB2312"/>
          <w:szCs w:val="34"/>
        </w:rPr>
      </w:pPr>
      <w:r>
        <w:rPr>
          <w:rFonts w:hint="eastAsia" w:cs="仿宋_GB2312"/>
          <w:szCs w:val="34"/>
        </w:rPr>
        <w:t>基础设施建设实现“质”“量”双优，5G网络密度与数据中心规模位居全市前列，为产业数字化奠定硬核基础；应用场景覆盖“点-线-面”，从单企业改造到全产业链协同，形成可复制的“北辰模式”；创新生态构建“政、产、学、研、用”闭环，人才、资金、平台多要素联动，推动“5G+工业互联网”从技术应用向产业变革深化，成为全市制造业数字化转型标杆。</w:t>
      </w:r>
    </w:p>
    <w:p w14:paraId="560C4968">
      <w:pPr>
        <w:pStyle w:val="4"/>
        <w:ind w:firstLine="683"/>
      </w:pPr>
      <w:r>
        <w:rPr>
          <w:rFonts w:hint="eastAsia"/>
        </w:rPr>
        <w:t>（二）“政产学研用”创新发展工程</w:t>
      </w:r>
    </w:p>
    <w:p w14:paraId="035A138C">
      <w:pPr>
        <w:pStyle w:val="5"/>
        <w:ind w:firstLine="680"/>
      </w:pPr>
      <w:r>
        <w:rPr>
          <w:rFonts w:hint="eastAsia"/>
        </w:rPr>
        <w:t>1.主要成效</w:t>
      </w:r>
    </w:p>
    <w:p w14:paraId="54069EE1">
      <w:pPr>
        <w:ind w:firstLine="680" w:firstLineChars="200"/>
        <w:jc w:val="both"/>
        <w:rPr>
          <w:rFonts w:cs="仿宋_GB2312"/>
          <w:szCs w:val="34"/>
        </w:rPr>
      </w:pPr>
      <w:r>
        <w:rPr>
          <w:rFonts w:hint="eastAsia" w:cs="仿宋_GB2312"/>
          <w:szCs w:val="34"/>
        </w:rPr>
        <w:t>以协同创新为核心，构建“高校+科研机构+产业载体”的创新生态，加速科技成果转化与产业融合。</w:t>
      </w:r>
    </w:p>
    <w:p w14:paraId="4A81D521">
      <w:pPr>
        <w:ind w:firstLine="683" w:firstLineChars="200"/>
        <w:jc w:val="both"/>
        <w:rPr>
          <w:rFonts w:cs="仿宋_GB2312"/>
          <w:szCs w:val="34"/>
        </w:rPr>
      </w:pPr>
      <w:r>
        <w:rPr>
          <w:rFonts w:hint="eastAsia" w:cs="仿宋_GB2312"/>
          <w:b/>
          <w:bCs/>
          <w:szCs w:val="34"/>
        </w:rPr>
        <w:t>校地合作纵深推进。</w:t>
      </w:r>
      <w:r>
        <w:rPr>
          <w:rFonts w:hint="eastAsia" w:cs="仿宋_GB2312"/>
          <w:szCs w:val="34"/>
        </w:rPr>
        <w:t>与河北工业大学共建先进装备研究院（获批市级产业技术研究院），与天津职业技术师范大学等共建模具智能制造产业学院，河工大科技园北辰园区在2024年市级绩效评价中排名第三，实现“产学研用”深度融合。​</w:t>
      </w:r>
    </w:p>
    <w:p w14:paraId="1C96E200">
      <w:pPr>
        <w:ind w:firstLine="683" w:firstLineChars="200"/>
        <w:jc w:val="both"/>
        <w:rPr>
          <w:rFonts w:cs="仿宋_GB2312"/>
          <w:szCs w:val="34"/>
        </w:rPr>
      </w:pPr>
      <w:r>
        <w:rPr>
          <w:rFonts w:hint="eastAsia" w:cs="仿宋_GB2312"/>
          <w:b/>
          <w:bCs/>
          <w:szCs w:val="34"/>
        </w:rPr>
        <w:t>高端平台加速集聚。</w:t>
      </w:r>
      <w:r>
        <w:rPr>
          <w:rFonts w:hint="eastAsia" w:cs="仿宋_GB2312"/>
          <w:szCs w:val="34"/>
        </w:rPr>
        <w:t>引入通用技术集团机床工程研究院，集聚400余名科技骨干，规划形成近千名高层次人才团队；京津医药谷引入北京大学京津冀生物医学前沿创新中心、低空经济产业与安全研究院，填补区域新赛道技术空白。​</w:t>
      </w:r>
    </w:p>
    <w:p w14:paraId="1BE7BAAE">
      <w:pPr>
        <w:ind w:firstLine="683" w:firstLineChars="200"/>
        <w:jc w:val="both"/>
        <w:rPr>
          <w:rFonts w:cs="仿宋_GB2312"/>
          <w:szCs w:val="34"/>
        </w:rPr>
      </w:pPr>
      <w:r>
        <w:rPr>
          <w:rFonts w:hint="eastAsia" w:cs="仿宋_GB2312"/>
          <w:b/>
          <w:bCs/>
          <w:szCs w:val="34"/>
        </w:rPr>
        <w:t>孵化载体效能释放。</w:t>
      </w:r>
      <w:r>
        <w:rPr>
          <w:rFonts w:hint="eastAsia" w:cs="仿宋_GB2312"/>
          <w:szCs w:val="34"/>
        </w:rPr>
        <w:t>京津医药谷科创孵化中心入驻中核同辐、华银康等60个优质项目，智能制造谷吸引茵梦达全球电机生产基地及研发中心落户，形成“研发-孵化-产业化”全链条培育模式。</w:t>
      </w:r>
    </w:p>
    <w:p w14:paraId="0C889046">
      <w:pPr>
        <w:pStyle w:val="5"/>
        <w:ind w:firstLine="680"/>
      </w:pPr>
      <w:r>
        <w:rPr>
          <w:rFonts w:hint="eastAsia"/>
        </w:rPr>
        <w:t>2.实施评价</w:t>
      </w:r>
    </w:p>
    <w:p w14:paraId="02902A1D">
      <w:pPr>
        <w:ind w:firstLine="680" w:firstLineChars="200"/>
        <w:jc w:val="both"/>
        <w:rPr>
          <w:rFonts w:cs="仿宋_GB2312"/>
          <w:szCs w:val="34"/>
        </w:rPr>
      </w:pPr>
      <w:r>
        <w:rPr>
          <w:rFonts w:hint="eastAsia" w:cs="仿宋_GB2312"/>
          <w:szCs w:val="34"/>
        </w:rPr>
        <w:t>创新资源集聚效应凸显，高校研究院、国家级科研机构、龙头企业研发中心形成“三位一体”格局，技术供给能力显著增强；体制机制创新突破，通过闲置楼宇盘活（如创智天地大厦）、产学研协同攻关等模式，降低企业创新成本，加速成果转化，北辰区成为京津冀跨区域创新合作的重要节点。</w:t>
      </w:r>
    </w:p>
    <w:p w14:paraId="691F9386">
      <w:pPr>
        <w:pStyle w:val="4"/>
        <w:ind w:firstLine="683"/>
      </w:pPr>
      <w:r>
        <w:rPr>
          <w:rFonts w:hint="eastAsia"/>
        </w:rPr>
        <w:t>（三）企业梯度培育工程</w:t>
      </w:r>
    </w:p>
    <w:p w14:paraId="59D50DCA">
      <w:pPr>
        <w:pStyle w:val="5"/>
        <w:ind w:firstLine="680"/>
      </w:pPr>
      <w:r>
        <w:rPr>
          <w:rFonts w:hint="eastAsia"/>
        </w:rPr>
        <w:t>1.主要成效</w:t>
      </w:r>
    </w:p>
    <w:p w14:paraId="0F6AAC1E">
      <w:pPr>
        <w:ind w:firstLine="680" w:firstLineChars="200"/>
        <w:jc w:val="both"/>
        <w:rPr>
          <w:rFonts w:cs="仿宋_GB2312"/>
          <w:szCs w:val="34"/>
        </w:rPr>
      </w:pPr>
      <w:r>
        <w:rPr>
          <w:rFonts w:hint="eastAsia" w:cs="仿宋_GB2312"/>
          <w:szCs w:val="34"/>
        </w:rPr>
        <w:t>北辰区构建“科技型中小企业-雏鹰企业-高新技术企业-瞪羚企业-科技领军企业”“创新型中小企业-专精特新中小企业-专精特新‘小巨人’-制造业单项冠军”双路径梯度培育体系，推动企业实现“初创-成长-领军”全周期跃升，培育成效显著。</w:t>
      </w:r>
    </w:p>
    <w:p w14:paraId="0884CACB">
      <w:pPr>
        <w:ind w:firstLine="683" w:firstLineChars="200"/>
        <w:jc w:val="both"/>
        <w:rPr>
          <w:rFonts w:cs="仿宋_GB2312"/>
          <w:szCs w:val="34"/>
        </w:rPr>
      </w:pPr>
      <w:r>
        <w:rPr>
          <w:rFonts w:hint="eastAsia" w:cs="仿宋_GB2312"/>
          <w:b/>
          <w:bCs/>
          <w:szCs w:val="34"/>
        </w:rPr>
        <w:t>梯度梯队规模持续领跑。</w:t>
      </w:r>
      <w:r>
        <w:rPr>
          <w:rFonts w:hint="eastAsia" w:cs="仿宋_GB2312"/>
          <w:szCs w:val="34"/>
        </w:rPr>
        <w:t>截至2024年，全区集聚国家级科技型中小企业776家、创新型中小企业421家，形成扎实的企业培育基础；市级专精特新企业达184家、“小巨人”企业19家，国家级和市级制造业单项冠军累计15个，数量均居全市前列。规模以上工业企业增至580家，机器人、信创等新兴产业链保持两位数增长，展现出强劲的成长动能。</w:t>
      </w:r>
    </w:p>
    <w:p w14:paraId="2667812C">
      <w:pPr>
        <w:ind w:firstLine="680" w:firstLineChars="200"/>
        <w:jc w:val="both"/>
        <w:rPr>
          <w:rFonts w:cs="仿宋_GB2312"/>
          <w:szCs w:val="34"/>
        </w:rPr>
      </w:pPr>
      <w:r>
        <w:rPr>
          <w:rFonts w:hint="eastAsia" w:cs="仿宋_GB2312"/>
          <w:szCs w:val="34"/>
        </w:rPr>
        <w:t>创新平台能级显著提升。建成全国重点实验室2家、市级重点实验室16家，产学研平台全面覆盖新材料、高端装备等核心产业领域。规模工业企业研发投入强度达2.5%，首台（套）重大技术装备累计达32个，创新成果转化率持续提高，为企业技术突破提供硬核支撑。</w:t>
      </w:r>
    </w:p>
    <w:p w14:paraId="0BC7256D">
      <w:pPr>
        <w:ind w:firstLine="683" w:firstLineChars="200"/>
        <w:jc w:val="both"/>
        <w:rPr>
          <w:rFonts w:cs="仿宋_GB2312"/>
          <w:szCs w:val="34"/>
        </w:rPr>
      </w:pPr>
      <w:r>
        <w:rPr>
          <w:rFonts w:hint="eastAsia" w:cs="仿宋_GB2312"/>
          <w:b/>
          <w:bCs/>
          <w:szCs w:val="34"/>
        </w:rPr>
        <w:t>绿色与智能转型深度融合。</w:t>
      </w:r>
      <w:r>
        <w:rPr>
          <w:rFonts w:hint="eastAsia" w:cs="仿宋_GB2312"/>
          <w:szCs w:val="34"/>
        </w:rPr>
        <w:t>创建国家级绿色工厂9家、绿色供应链管理企业3家，建成数字化车间和智能工厂31个，实现生态效益与生产效率协同提升。通过“海河英才”行动计划引进各类高素质人才1313名，为企业转型升级注入智力动能，形成“创新-转型-人才”互促共进的良性循环。</w:t>
      </w:r>
    </w:p>
    <w:p w14:paraId="65BC149A">
      <w:pPr>
        <w:pStyle w:val="5"/>
        <w:ind w:firstLine="680"/>
      </w:pPr>
      <w:r>
        <w:rPr>
          <w:rFonts w:hint="eastAsia"/>
        </w:rPr>
        <w:t>2.实施评价</w:t>
      </w:r>
    </w:p>
    <w:p w14:paraId="3D7B3AC3">
      <w:pPr>
        <w:ind w:firstLine="680" w:firstLineChars="200"/>
        <w:jc w:val="both"/>
        <w:rPr>
          <w:rFonts w:hint="eastAsia" w:cs="仿宋_GB2312"/>
          <w:szCs w:val="34"/>
        </w:rPr>
      </w:pPr>
      <w:r>
        <w:rPr>
          <w:rFonts w:hint="eastAsia" w:cs="仿宋_GB2312"/>
          <w:szCs w:val="34"/>
        </w:rPr>
        <w:t>企业培育实现“量质齐升”，专精特新企业密度、重点实验室数量等指标领先全市，形成“培育-壮大-强链”的良性循环；从“要素集聚”向“生态引领”跨越，绿色制造与智能制造深度融合，人才与平台协同赋能，北辰区已成为京津冀硬科技创新和专精特新企业集聚高地。</w:t>
      </w:r>
    </w:p>
    <w:p w14:paraId="715897E6">
      <w:pPr>
        <w:tabs>
          <w:tab w:val="left" w:pos="1128"/>
        </w:tabs>
        <w:spacing w:line="560" w:lineRule="exact"/>
        <w:ind w:firstLine="680" w:firstLineChars="200"/>
        <w:jc w:val="left"/>
        <w:rPr>
          <w:rFonts w:hint="eastAsia" w:ascii="黑体" w:hAnsi="宋体" w:eastAsia="黑体" w:cs="黑体"/>
          <w:color w:val="000000"/>
          <w:kern w:val="0"/>
          <w:sz w:val="34"/>
          <w:szCs w:val="34"/>
          <w:lang w:bidi="ar"/>
        </w:rPr>
      </w:pPr>
      <w:r>
        <w:rPr>
          <w:rFonts w:hint="eastAsia" w:ascii="黑体" w:hAnsi="宋体" w:eastAsia="黑体" w:cs="黑体"/>
          <w:color w:val="000000"/>
          <w:kern w:val="0"/>
          <w:sz w:val="34"/>
          <w:szCs w:val="34"/>
          <w:lang w:bidi="ar"/>
        </w:rPr>
        <w:t>二、规划实施面临的主要问题和风险挑战</w:t>
      </w:r>
    </w:p>
    <w:p w14:paraId="6B7FAF64">
      <w:pPr>
        <w:tabs>
          <w:tab w:val="left" w:pos="728"/>
        </w:tabs>
        <w:spacing w:line="560" w:lineRule="exact"/>
        <w:ind w:firstLine="680" w:firstLineChars="200"/>
        <w:jc w:val="left"/>
        <w:outlineLvl w:val="1"/>
        <w:rPr>
          <w:rFonts w:hint="eastAsia" w:ascii="楷体" w:hAnsi="楷体" w:eastAsia="楷体_GB2312"/>
          <w:bCs/>
          <w:color w:val="auto"/>
          <w:sz w:val="34"/>
          <w:szCs w:val="34"/>
        </w:rPr>
      </w:pPr>
      <w:r>
        <w:rPr>
          <w:rFonts w:hint="eastAsia" w:ascii="楷体" w:hAnsi="楷体" w:eastAsia="楷体_GB2312"/>
          <w:bCs/>
          <w:color w:val="auto"/>
          <w:sz w:val="34"/>
          <w:szCs w:val="34"/>
        </w:rPr>
        <w:t>（一）面临的问题</w:t>
      </w:r>
    </w:p>
    <w:p w14:paraId="12B90821">
      <w:pPr>
        <w:tabs>
          <w:tab w:val="left" w:pos="940"/>
        </w:tabs>
        <w:spacing w:line="560" w:lineRule="exact"/>
        <w:ind w:firstLine="683" w:firstLineChars="200"/>
        <w:jc w:val="left"/>
        <w:rPr>
          <w:rFonts w:hint="eastAsia" w:cs="仿宋_GB2312"/>
          <w:szCs w:val="34"/>
        </w:rPr>
      </w:pPr>
      <w:r>
        <w:rPr>
          <w:rFonts w:hint="eastAsia" w:cs="仿宋_GB2312"/>
          <w:b/>
          <w:bCs/>
          <w:szCs w:val="34"/>
        </w:rPr>
        <w:t>1.产业链本地化配套率不高。</w:t>
      </w:r>
      <w:r>
        <w:rPr>
          <w:rFonts w:hint="eastAsia" w:cs="仿宋_GB2312"/>
          <w:szCs w:val="34"/>
        </w:rPr>
        <w:t>产业链领军企业带动作用未充分发挥，虽然聚集了部分配套企业，但产业链上下游适配度低，没有形成同频共振、提质增效的强大合力。</w:t>
      </w:r>
      <w:r>
        <w:rPr>
          <w:rFonts w:hint="eastAsia" w:cs="仿宋_GB2312"/>
          <w:szCs w:val="34"/>
          <w:lang w:eastAsia="zh-CN"/>
        </w:rPr>
        <w:t>工业母机、机器人</w:t>
      </w:r>
      <w:r>
        <w:rPr>
          <w:rFonts w:hint="eastAsia" w:cs="仿宋_GB2312"/>
          <w:szCs w:val="34"/>
        </w:rPr>
        <w:t>产业链拥有较高知名度和市场占有率的龙头企业，但本地化配套率不高，大部分核心配套环节由外地企业提供，没有形成产业链上下游协同发展。</w:t>
      </w:r>
    </w:p>
    <w:p w14:paraId="119F6025">
      <w:pPr>
        <w:tabs>
          <w:tab w:val="left" w:pos="940"/>
        </w:tabs>
        <w:spacing w:line="560" w:lineRule="exact"/>
        <w:ind w:firstLine="683" w:firstLineChars="200"/>
        <w:jc w:val="left"/>
        <w:rPr>
          <w:rFonts w:hint="eastAsia" w:cs="仿宋_GB2312"/>
          <w:szCs w:val="34"/>
        </w:rPr>
      </w:pPr>
      <w:r>
        <w:rPr>
          <w:rFonts w:hint="eastAsia" w:cs="仿宋_GB2312"/>
          <w:b/>
          <w:bCs/>
          <w:szCs w:val="34"/>
        </w:rPr>
        <w:t>2.全要素生产率不高。</w:t>
      </w:r>
      <w:r>
        <w:rPr>
          <w:rFonts w:hint="eastAsia" w:cs="仿宋_GB2312"/>
          <w:szCs w:val="34"/>
        </w:rPr>
        <w:t>我区制造业增加值不高，战略性新兴产业和高技术产业产值占全区规上工业总产值比重不够大，且制造业企业亩均产出不高，北辰开发区亩均产值和亩均税收分别为354万元和19.6万元，对比苏州、佛山等全国先进地区仍存在较大差距。</w:t>
      </w:r>
    </w:p>
    <w:p w14:paraId="1B71BD3C">
      <w:pPr>
        <w:tabs>
          <w:tab w:val="left" w:pos="940"/>
        </w:tabs>
        <w:spacing w:line="560" w:lineRule="exact"/>
        <w:ind w:firstLine="683" w:firstLineChars="200"/>
        <w:jc w:val="left"/>
        <w:rPr>
          <w:rFonts w:hint="eastAsia" w:cs="仿宋_GB2312"/>
          <w:szCs w:val="34"/>
        </w:rPr>
      </w:pPr>
      <w:r>
        <w:rPr>
          <w:rFonts w:hint="eastAsia" w:cs="仿宋_GB2312"/>
          <w:b/>
          <w:bCs/>
          <w:szCs w:val="34"/>
        </w:rPr>
        <w:t>3.数字化水平有待提升。</w:t>
      </w:r>
      <w:r>
        <w:rPr>
          <w:rFonts w:hint="eastAsia" w:cs="仿宋_GB2312"/>
          <w:szCs w:val="34"/>
        </w:rPr>
        <w:t>产业整体数字化水平参差不齐，落差较大，制约了产业转型升级。从产业数字化角度出发，缺乏集成能力较强的解决方案服务商，难以实现在制造端打造行业级服务平台；从数字产业化角度出发，目前北辰区数字产业主要是数据存储，数据应用以及算法植入能力较弱，行业级平台还处于初级水平，对制造业数字化转型赋能作用亟待增强。</w:t>
      </w:r>
    </w:p>
    <w:p w14:paraId="15748DF6">
      <w:pPr>
        <w:tabs>
          <w:tab w:val="left" w:pos="728"/>
        </w:tabs>
        <w:spacing w:line="560" w:lineRule="exact"/>
        <w:ind w:firstLine="680" w:firstLineChars="200"/>
        <w:jc w:val="left"/>
        <w:outlineLvl w:val="1"/>
        <w:rPr>
          <w:rFonts w:hint="eastAsia" w:ascii="楷体" w:hAnsi="楷体" w:eastAsia="楷体_GB2312"/>
          <w:bCs/>
          <w:color w:val="auto"/>
          <w:sz w:val="34"/>
          <w:szCs w:val="34"/>
        </w:rPr>
      </w:pPr>
      <w:r>
        <w:rPr>
          <w:rFonts w:hint="eastAsia" w:ascii="楷体" w:hAnsi="楷体" w:eastAsia="楷体_GB2312"/>
          <w:bCs/>
          <w:color w:val="auto"/>
          <w:sz w:val="34"/>
          <w:szCs w:val="34"/>
        </w:rPr>
        <w:t>（二）风险挑战及机遇</w:t>
      </w:r>
    </w:p>
    <w:p w14:paraId="7AB4A6E9">
      <w:pPr>
        <w:tabs>
          <w:tab w:val="left" w:pos="940"/>
        </w:tabs>
        <w:spacing w:line="560" w:lineRule="exact"/>
        <w:ind w:firstLine="683" w:firstLineChars="200"/>
        <w:jc w:val="left"/>
        <w:rPr>
          <w:rFonts w:hint="eastAsia" w:cs="仿宋_GB2312"/>
          <w:szCs w:val="34"/>
        </w:rPr>
      </w:pPr>
      <w:r>
        <w:rPr>
          <w:rFonts w:hint="eastAsia" w:cs="仿宋_GB2312"/>
          <w:b/>
          <w:bCs/>
          <w:szCs w:val="34"/>
        </w:rPr>
        <w:t>1.主要风险挑战。</w:t>
      </w:r>
      <w:r>
        <w:rPr>
          <w:rFonts w:hint="eastAsia" w:cs="仿宋_GB2312"/>
          <w:szCs w:val="34"/>
        </w:rPr>
        <w:t>一是国际国内环境制约制造业高质量发展。全球范围内的经贸摩擦、地缘政治等因素不断演化升级，国际贸易投资格局和金融体系面临重大变革，中美经贸摩擦后续效应仍在发酵中，“十四五”后期我区制造业高质量发展可能会受到较大影响。北辰区装备制造产业占比较大，关键零部件进口和出口产品较多，可能受到产品配套制约和订单下降影响。二是后疫情时代“疤痕效应”增加发展风险。我国经济发展虽然经受住了新冠疫情的强势冲击，但仍然面临着就业和收入预期变化带来的需求收缩，制造业企业订单不稳定且不可预期，加之资金周转效率下降，导致企业发展信心不足，经济运行压力仍然较大。</w:t>
      </w:r>
    </w:p>
    <w:p w14:paraId="3958DA80">
      <w:pPr>
        <w:tabs>
          <w:tab w:val="left" w:pos="940"/>
        </w:tabs>
        <w:spacing w:line="560" w:lineRule="exact"/>
        <w:ind w:firstLine="683" w:firstLineChars="200"/>
        <w:jc w:val="both"/>
        <w:rPr>
          <w:rFonts w:ascii="仿宋_GB2312" w:hAnsi="宋体" w:eastAsia="仿宋_GB2312" w:cs="仿宋_GB2312"/>
          <w:color w:val="000000"/>
          <w:kern w:val="0"/>
          <w:sz w:val="31"/>
          <w:szCs w:val="31"/>
          <w:highlight w:val="yellow"/>
          <w:lang w:bidi="ar"/>
        </w:rPr>
      </w:pPr>
      <w:r>
        <w:rPr>
          <w:rFonts w:hint="eastAsia" w:cs="仿宋_GB2312"/>
          <w:b/>
          <w:bCs/>
          <w:szCs w:val="34"/>
        </w:rPr>
        <w:t>2.发展机遇。</w:t>
      </w:r>
      <w:r>
        <w:rPr>
          <w:rFonts w:hint="eastAsia" w:cs="仿宋_GB2312"/>
          <w:szCs w:val="34"/>
        </w:rPr>
        <w:t>一是北辰区深入贯彻落实市委、市政府“十项行动”，锚定“京津医药谷”和“智能制造谷”两个核心载体，打造</w:t>
      </w:r>
      <w:r>
        <w:rPr>
          <w:rFonts w:hint="eastAsia" w:cs="仿宋_GB2312"/>
          <w:szCs w:val="34"/>
          <w:lang w:val="en"/>
        </w:rPr>
        <w:t>2+3</w:t>
      </w:r>
      <w:r>
        <w:rPr>
          <w:rFonts w:hint="eastAsia" w:cs="仿宋_GB2312"/>
          <w:szCs w:val="34"/>
        </w:rPr>
        <w:t>先进制造产业发展体系，通过实施新动能引育、科技创新赋能等六大工程，加快推动制造业高质量发展</w:t>
      </w:r>
      <w:r>
        <w:rPr>
          <w:rFonts w:hint="eastAsia" w:cs="仿宋_GB2312"/>
          <w:szCs w:val="34"/>
          <w:lang w:eastAsia="zh-CN"/>
        </w:rPr>
        <w:t>。</w:t>
      </w:r>
      <w:r>
        <w:rPr>
          <w:rFonts w:hint="eastAsia" w:cs="仿宋_GB2312"/>
          <w:szCs w:val="34"/>
          <w:lang w:val="en" w:eastAsia="zh-CN"/>
        </w:rPr>
        <w:t>依托天津大学等院校资源，成立“天津市工业母机创新联合体”；与河工大科技园深入合作，培育打造“机器人科技成果转化孵化基地”，</w:t>
      </w:r>
      <w:r>
        <w:rPr>
          <w:rFonts w:hint="eastAsia" w:cs="仿宋_GB2312"/>
          <w:szCs w:val="34"/>
        </w:rPr>
        <w:t>202</w:t>
      </w:r>
      <w:r>
        <w:rPr>
          <w:rFonts w:hint="eastAsia" w:cs="仿宋_GB2312"/>
          <w:szCs w:val="34"/>
          <w:lang w:val="en-US" w:eastAsia="zh-CN"/>
        </w:rPr>
        <w:t>4</w:t>
      </w:r>
      <w:r>
        <w:rPr>
          <w:rFonts w:hint="eastAsia" w:cs="仿宋_GB2312"/>
          <w:szCs w:val="34"/>
        </w:rPr>
        <w:t>年</w:t>
      </w:r>
      <w:r>
        <w:rPr>
          <w:rFonts w:hint="eastAsia" w:cs="仿宋_GB2312"/>
          <w:szCs w:val="34"/>
          <w:lang w:eastAsia="zh-CN"/>
        </w:rPr>
        <w:t>全年机器人</w:t>
      </w:r>
      <w:r>
        <w:rPr>
          <w:rFonts w:hint="eastAsia" w:cs="仿宋_GB2312"/>
          <w:szCs w:val="34"/>
        </w:rPr>
        <w:t>产业链产值同比增长</w:t>
      </w:r>
      <w:r>
        <w:rPr>
          <w:rFonts w:hint="eastAsia" w:cs="仿宋_GB2312"/>
          <w:szCs w:val="34"/>
          <w:lang w:val="en-US" w:eastAsia="zh-CN"/>
        </w:rPr>
        <w:t>60</w:t>
      </w:r>
      <w:r>
        <w:rPr>
          <w:rFonts w:hint="eastAsia" w:cs="仿宋_GB2312"/>
          <w:szCs w:val="34"/>
        </w:rPr>
        <w:t>%。二是支撑发展后劲不断增强，京津医药谷、金辰智荟、爱德克斯三期、松洋金属等19个项目开工建设，赛迈斯、小刀等7个项目竣工投产。202</w:t>
      </w:r>
      <w:r>
        <w:rPr>
          <w:rFonts w:hint="eastAsia" w:cs="仿宋_GB2312"/>
          <w:szCs w:val="34"/>
          <w:lang w:val="en-US" w:eastAsia="zh-CN"/>
        </w:rPr>
        <w:t>5</w:t>
      </w:r>
      <w:r>
        <w:rPr>
          <w:rFonts w:hint="eastAsia" w:cs="仿宋_GB2312"/>
          <w:szCs w:val="34"/>
        </w:rPr>
        <w:t>年1-</w:t>
      </w:r>
      <w:r>
        <w:rPr>
          <w:rFonts w:hint="eastAsia" w:cs="仿宋_GB2312"/>
          <w:szCs w:val="34"/>
          <w:lang w:val="en-US" w:eastAsia="zh-CN"/>
        </w:rPr>
        <w:t>10</w:t>
      </w:r>
      <w:r>
        <w:rPr>
          <w:rFonts w:hint="eastAsia" w:cs="仿宋_GB2312"/>
          <w:szCs w:val="34"/>
        </w:rPr>
        <w:t>月份</w:t>
      </w:r>
      <w:r>
        <w:rPr>
          <w:rFonts w:hint="eastAsia" w:cs="仿宋_GB2312"/>
          <w:szCs w:val="34"/>
          <w:lang w:eastAsia="zh-CN"/>
        </w:rPr>
        <w:t>，</w:t>
      </w:r>
      <w:r>
        <w:rPr>
          <w:rFonts w:hint="eastAsia" w:cs="仿宋_GB2312"/>
          <w:szCs w:val="34"/>
        </w:rPr>
        <w:t>全区574家规上工业企业累计实现产值1152.5亿元，同比下降0.3%，增加值增速1%。</w:t>
      </w:r>
    </w:p>
    <w:p w14:paraId="3C541CF7">
      <w:pPr>
        <w:pStyle w:val="2"/>
        <w:keepNext w:val="0"/>
        <w:keepLines w:val="0"/>
        <w:pageBreakBefore w:val="0"/>
        <w:widowControl w:val="0"/>
        <w:kinsoku/>
        <w:wordWrap/>
        <w:overflowPunct/>
        <w:topLinePunct w:val="0"/>
        <w:autoSpaceDE w:val="0"/>
        <w:autoSpaceDN w:val="0"/>
        <w:bidi w:val="0"/>
        <w:adjustRightInd/>
        <w:snapToGrid/>
        <w:spacing w:line="560" w:lineRule="exact"/>
        <w:ind w:firstLine="639" w:firstLineChars="188"/>
        <w:textAlignment w:val="auto"/>
        <w:rPr>
          <w:rFonts w:hint="eastAsia" w:ascii="黑体" w:hAnsi="宋体" w:eastAsia="黑体" w:cs="黑体"/>
          <w:color w:val="000000"/>
          <w:kern w:val="0"/>
          <w:sz w:val="34"/>
          <w:szCs w:val="34"/>
          <w:lang w:val="en-US" w:eastAsia="zh-CN" w:bidi="ar"/>
        </w:rPr>
      </w:pPr>
      <w:r>
        <w:rPr>
          <w:rFonts w:hint="eastAsia" w:ascii="黑体" w:hAnsi="宋体" w:eastAsia="黑体" w:cs="黑体"/>
          <w:color w:val="000000"/>
          <w:kern w:val="0"/>
          <w:sz w:val="34"/>
          <w:szCs w:val="34"/>
          <w:lang w:val="en-US" w:eastAsia="zh-CN" w:bidi="ar"/>
        </w:rPr>
        <w:t>三、进一步推进规划实施的对策建议</w:t>
      </w:r>
    </w:p>
    <w:p w14:paraId="3A61F5F8">
      <w:pPr>
        <w:pStyle w:val="2"/>
        <w:keepNext w:val="0"/>
        <w:keepLines w:val="0"/>
        <w:pageBreakBefore w:val="0"/>
        <w:widowControl w:val="0"/>
        <w:kinsoku/>
        <w:wordWrap/>
        <w:overflowPunct/>
        <w:topLinePunct w:val="0"/>
        <w:autoSpaceDE w:val="0"/>
        <w:autoSpaceDN w:val="0"/>
        <w:bidi w:val="0"/>
        <w:adjustRightInd/>
        <w:snapToGrid/>
        <w:spacing w:line="560" w:lineRule="exact"/>
        <w:ind w:firstLine="642" w:firstLineChars="188"/>
        <w:textAlignment w:val="auto"/>
        <w:rPr>
          <w:rFonts w:hint="eastAsia" w:ascii="Times New Roman" w:hAnsi="Times New Roman" w:eastAsia="仿宋_GB2312" w:cs="仿宋_GB2312"/>
          <w:sz w:val="34"/>
          <w:szCs w:val="34"/>
          <w:lang w:val="en-US" w:eastAsia="zh-CN" w:bidi="ar-SA"/>
        </w:rPr>
      </w:pPr>
      <w:r>
        <w:rPr>
          <w:rFonts w:hint="eastAsia" w:ascii="Times New Roman" w:hAnsi="Times New Roman" w:eastAsia="仿宋_GB2312" w:cs="仿宋_GB2312"/>
          <w:b/>
          <w:bCs/>
          <w:sz w:val="34"/>
          <w:szCs w:val="34"/>
          <w:lang w:val="en-US" w:eastAsia="zh-CN" w:bidi="ar-SA"/>
        </w:rPr>
        <w:t>1.强化京津冀协同，加快引育新动能</w:t>
      </w:r>
      <w:r>
        <w:rPr>
          <w:rFonts w:hint="eastAsia" w:cs="仿宋_GB2312"/>
          <w:b/>
          <w:bCs/>
          <w:sz w:val="34"/>
          <w:szCs w:val="34"/>
          <w:lang w:val="en-US" w:eastAsia="zh-CN" w:bidi="ar-SA"/>
        </w:rPr>
        <w:t>。</w:t>
      </w:r>
      <w:r>
        <w:rPr>
          <w:rFonts w:hint="eastAsia" w:ascii="仿宋_GB2312" w:hAnsi="仿宋_GB2312" w:cs="仿宋_GB2312"/>
          <w:sz w:val="32"/>
          <w:lang w:val="en-US" w:eastAsia="zh-CN"/>
        </w:rPr>
        <w:t>一是扭住承接非首都功能疏解“牛鼻子”。主动对接国家部委、央企、总部</w:t>
      </w:r>
      <w:r>
        <w:rPr>
          <w:rFonts w:hint="eastAsia" w:ascii="Times New Roman" w:hAnsi="Times New Roman" w:eastAsia="仿宋_GB2312" w:cs="仿宋_GB2312"/>
          <w:sz w:val="34"/>
          <w:szCs w:val="34"/>
          <w:lang w:val="en-US" w:eastAsia="zh-CN" w:bidi="ar-SA"/>
        </w:rPr>
        <w:t>、大院大所和中关村、亦庄等重点地区，精准承接北京高新技术制造业企</w:t>
      </w:r>
      <w:r>
        <w:rPr>
          <w:rFonts w:ascii="仿宋_GB2312" w:hAnsi="仿宋_GB2312" w:cs="仿宋_GB2312"/>
          <w:sz w:val="32"/>
          <w:lang w:val="en-US"/>
        </w:rPr>
        <w:t>业，举办专题招商活动和精准撮合对接会，着力引进带动作用强、科技含量高的龙头项目以及产业链关键环节和核心配套企业。</w:t>
      </w:r>
      <w:r>
        <w:rPr>
          <w:rFonts w:hint="eastAsia" w:ascii="仿宋_GB2312" w:hAnsi="仿宋_GB2312" w:cs="仿宋_GB2312"/>
          <w:sz w:val="32"/>
          <w:lang w:val="en-US"/>
        </w:rPr>
        <w:t>二是</w:t>
      </w:r>
      <w:r>
        <w:rPr>
          <w:rFonts w:ascii="仿宋_GB2312" w:hAnsi="仿宋_GB2312" w:cs="仿宋_GB2312"/>
          <w:sz w:val="32"/>
          <w:lang w:val="en-US"/>
        </w:rPr>
        <w:t>抓牢“招商引资”生命线。发挥产业链协</w:t>
      </w:r>
      <w:r>
        <w:rPr>
          <w:rFonts w:hint="eastAsia" w:ascii="Times New Roman" w:hAnsi="Times New Roman" w:eastAsia="仿宋_GB2312" w:cs="仿宋_GB2312"/>
          <w:sz w:val="34"/>
          <w:szCs w:val="34"/>
          <w:lang w:val="en-US" w:eastAsia="zh-CN" w:bidi="ar-SA"/>
        </w:rPr>
        <w:t>同招商工作机制作用，加强专业招商团队与中介机构、龙头企业的对接合作，大力推进集群化精准化目录式招商，主动走出去、请进来，着力引进关联度大、带动性强的高端项目。</w:t>
      </w:r>
    </w:p>
    <w:p w14:paraId="0CF71912">
      <w:pPr>
        <w:pStyle w:val="2"/>
        <w:keepNext w:val="0"/>
        <w:keepLines w:val="0"/>
        <w:pageBreakBefore w:val="0"/>
        <w:widowControl w:val="0"/>
        <w:kinsoku/>
        <w:wordWrap/>
        <w:overflowPunct/>
        <w:topLinePunct w:val="0"/>
        <w:autoSpaceDE w:val="0"/>
        <w:autoSpaceDN w:val="0"/>
        <w:bidi w:val="0"/>
        <w:adjustRightInd/>
        <w:snapToGrid/>
        <w:spacing w:line="560" w:lineRule="exact"/>
        <w:ind w:firstLine="642" w:firstLineChars="188"/>
        <w:textAlignment w:val="auto"/>
        <w:rPr>
          <w:rFonts w:hint="eastAsia" w:ascii="仿宋_GB2312" w:hAnsi="仿宋_GB2312" w:cs="仿宋_GB2312"/>
          <w:sz w:val="32"/>
          <w:lang w:val="en-US"/>
        </w:rPr>
      </w:pPr>
      <w:r>
        <w:rPr>
          <w:rFonts w:hint="eastAsia" w:ascii="Times New Roman" w:hAnsi="Times New Roman" w:eastAsia="仿宋_GB2312" w:cs="仿宋_GB2312"/>
          <w:b/>
          <w:bCs/>
          <w:sz w:val="34"/>
          <w:szCs w:val="34"/>
          <w:lang w:val="en-US" w:eastAsia="zh-CN" w:bidi="ar-SA"/>
        </w:rPr>
        <w:t>2.实施创新驱动，推动数字化转型。</w:t>
      </w:r>
      <w:r>
        <w:rPr>
          <w:rFonts w:hint="eastAsia" w:ascii="Times New Roman" w:hAnsi="Times New Roman" w:eastAsia="仿宋_GB2312" w:cs="仿宋_GB2312"/>
          <w:sz w:val="34"/>
          <w:szCs w:val="34"/>
          <w:lang w:val="en-US" w:eastAsia="zh-CN" w:bidi="ar-SA"/>
        </w:rPr>
        <w:t>一是加强产业基础创新成果转化。重点突破工业母机、精密轴承、高性能材料等“卡脖子”技术</w:t>
      </w:r>
      <w:r>
        <w:rPr>
          <w:rFonts w:hint="eastAsia" w:ascii="仿宋_GB2312" w:hAnsi="仿宋_GB2312" w:cs="仿宋_GB2312"/>
          <w:sz w:val="32"/>
          <w:lang w:val="en-US"/>
        </w:rPr>
        <w:t>，发挥河工大北辰先进装备研究院等区内院所以及企业技术中心优势，加速形成“政产学研用”一体化新模式，通过“揭榜挂帅”“赛马”等方式，集中力量推进一批关键核心技术产业化，建设一批科技成果中试和产业化平台。二是推动制造业数字化转型。依托数字化转型联盟，引导企业发展数字化管理、平台化设计、智能化制造、网络化协同、个性化定制、服务化延伸等新模式，实现创新链与产业链有机融合，计划用5年时间，打造数字化重点平台和标杆企业，智能工厂和数字化车间累计达到40家，培育智能制造和工业互联网系统解决方案集成商累计达到12家，争创国家级智能制造示范区。</w:t>
      </w:r>
    </w:p>
    <w:p w14:paraId="3DEE4200">
      <w:pPr>
        <w:pStyle w:val="2"/>
        <w:spacing w:line="560" w:lineRule="exact"/>
        <w:ind w:firstLine="642" w:firstLineChars="188"/>
        <w:rPr>
          <w:rFonts w:hint="eastAsia" w:ascii="仿宋_GB2312" w:hAnsi="仿宋_GB2312" w:cs="仿宋_GB2312"/>
          <w:sz w:val="32"/>
          <w:lang w:val="en-US"/>
        </w:rPr>
      </w:pPr>
      <w:r>
        <w:rPr>
          <w:rFonts w:hint="eastAsia" w:ascii="Times New Roman" w:hAnsi="Times New Roman" w:eastAsia="仿宋_GB2312" w:cs="仿宋_GB2312"/>
          <w:b/>
          <w:bCs/>
          <w:sz w:val="34"/>
          <w:szCs w:val="34"/>
          <w:lang w:val="en-US" w:eastAsia="zh-CN" w:bidi="ar-SA"/>
        </w:rPr>
        <w:t>3.完善产业链机制，打造优势产业集群。</w:t>
      </w:r>
      <w:r>
        <w:rPr>
          <w:rFonts w:hint="eastAsia" w:ascii="仿宋_GB2312" w:hAnsi="仿宋_GB2312" w:cs="仿宋_GB2312"/>
          <w:sz w:val="32"/>
          <w:lang w:val="en-US"/>
        </w:rPr>
        <w:t>一是优化产业链生态。聚焦9条产业链，深耕16条子链，建立“链长+链主”协同牵引机制，完善“两图两库”，充分发挥市高端装备和智能制造人才创新创业联盟作用，引导资源向“链主”企业、重点项目聚集，推动产业链、供应链、创新链、资本链、人才链深度融合。二是推动产业链式聚集、群化发展。加强行业骨干企业与中小微企业紧密协作，推动产业从物理集聚向“化学反应”迈进，带动产业链更加稳定高效，打造水平分工与垂直整合相结合的优势产业集群。</w:t>
      </w:r>
    </w:p>
    <w:p w14:paraId="2F34E7D7">
      <w:pPr>
        <w:pStyle w:val="2"/>
        <w:spacing w:line="560" w:lineRule="exact"/>
        <w:ind w:firstLine="642" w:firstLineChars="188"/>
        <w:rPr>
          <w:rFonts w:hint="eastAsia"/>
        </w:rPr>
      </w:pPr>
      <w:r>
        <w:rPr>
          <w:rFonts w:hint="eastAsia" w:ascii="Times New Roman" w:hAnsi="Times New Roman" w:eastAsia="仿宋_GB2312" w:cs="仿宋_GB2312"/>
          <w:b/>
          <w:bCs/>
          <w:sz w:val="34"/>
          <w:szCs w:val="34"/>
          <w:lang w:val="en-US" w:eastAsia="zh-CN" w:bidi="ar-SA"/>
        </w:rPr>
        <w:t>4.优化产业生态，提高发展质量和效益</w:t>
      </w:r>
      <w:r>
        <w:rPr>
          <w:rFonts w:hint="eastAsia" w:cs="仿宋_GB2312"/>
          <w:b/>
          <w:bCs/>
          <w:sz w:val="34"/>
          <w:szCs w:val="34"/>
          <w:lang w:val="en-US" w:eastAsia="zh-CN" w:bidi="ar-SA"/>
        </w:rPr>
        <w:t>。</w:t>
      </w:r>
      <w:bookmarkStart w:id="0" w:name="_GoBack"/>
      <w:bookmarkEnd w:id="0"/>
      <w:r>
        <w:rPr>
          <w:rFonts w:hint="eastAsia" w:ascii="仿宋_GB2312" w:hAnsi="仿宋_GB2312" w:cs="仿宋_GB2312"/>
          <w:sz w:val="32"/>
          <w:lang w:val="en-US"/>
        </w:rPr>
        <w:t>一是优化产业发展环境。围绕产业链龙头企业和重大项目，加大政务服务和政策支持力度，用好用足新动能和制造业高质量发展扶持政策，推进产业数字化、智能化升级。建立成长型小微企业重点培育库，鼓励支持企业做大做强、提档升级，建立“龙头企业带动、上下游企业协同、大中小企业集聚”发展模式。二是优化土地资源配置。加快提升土地利用效率，引入产业项目准入机制，推广先租后让、弹性年期出让、分割出让等多种供地方式，提高土地亩均产出贡献率。坚持“亩均论英雄”，正向激励和反向倒逼相结合，促进优质企业做大做强、潜力企业提档升级。</w:t>
      </w:r>
    </w:p>
    <w:p w14:paraId="32D6AFA6">
      <w:pPr>
        <w:pStyle w:val="2"/>
        <w:rPr>
          <w:rFonts w:hint="eastAsia"/>
        </w:rPr>
      </w:pP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FBB9D4-3378-4E80-A79A-E9B2DC2F02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C7734AB-63EB-4FCB-BB51-52A6B80E59CD}"/>
  </w:font>
  <w:font w:name="方正小标宋简体">
    <w:altName w:val="微软雅黑"/>
    <w:panose1 w:val="00000000000000000000"/>
    <w:charset w:val="86"/>
    <w:family w:val="auto"/>
    <w:pitch w:val="default"/>
    <w:sig w:usb0="00000000" w:usb1="00000000" w:usb2="00000000" w:usb3="00000000" w:csb0="00040000" w:csb1="00000000"/>
    <w:embedRegular r:id="rId3" w:fontKey="{CF007B84-570B-4524-A91C-BDB63E9F9708}"/>
  </w:font>
  <w:font w:name="微软雅黑">
    <w:panose1 w:val="020B0503020204020204"/>
    <w:charset w:val="86"/>
    <w:family w:val="auto"/>
    <w:pitch w:val="default"/>
    <w:sig w:usb0="80000287" w:usb1="280F3C52" w:usb2="00000016" w:usb3="00000000" w:csb0="0004001F" w:csb1="00000000"/>
  </w:font>
  <w:font w:name="Noto Sans CJK JP Regular">
    <w:altName w:val="Segoe Print"/>
    <w:panose1 w:val="000000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embedRegular r:id="rId4" w:fontKey="{9F6D53C9-8A6B-4C52-9F5F-275CB9D21046}"/>
  </w:font>
  <w:font w:name="楷体_GB2312">
    <w:panose1 w:val="02010609030101010101"/>
    <w:charset w:val="86"/>
    <w:family w:val="auto"/>
    <w:pitch w:val="default"/>
    <w:sig w:usb0="00000001" w:usb1="080E0000" w:usb2="00000000" w:usb3="00000000" w:csb0="00040000" w:csb1="00000000"/>
    <w:embedRegular r:id="rId5" w:fontKey="{5E8A841B-94DA-4CDB-A87F-473344A5B8FA}"/>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9185D">
    <w:pPr>
      <w:pStyle w:val="8"/>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407A5DC">
                <w:pPr>
                  <w:pStyle w:val="8"/>
                  <w:rPr>
                    <w:rFonts w:cs="Times New Roman"/>
                    <w:sz w:val="21"/>
                    <w:szCs w:val="28"/>
                  </w:rPr>
                </w:pPr>
                <w:r>
                  <w:rPr>
                    <w:rFonts w:cs="Times New Roman"/>
                    <w:sz w:val="21"/>
                    <w:szCs w:val="28"/>
                  </w:rPr>
                  <w:fldChar w:fldCharType="begin"/>
                </w:r>
                <w:r>
                  <w:rPr>
                    <w:rFonts w:cs="Times New Roman"/>
                    <w:sz w:val="21"/>
                    <w:szCs w:val="28"/>
                  </w:rPr>
                  <w:instrText xml:space="preserve"> PAGE  \* MERGEFORMAT </w:instrText>
                </w:r>
                <w:r>
                  <w:rPr>
                    <w:rFonts w:cs="Times New Roman"/>
                    <w:sz w:val="21"/>
                    <w:szCs w:val="28"/>
                  </w:rPr>
                  <w:fldChar w:fldCharType="separate"/>
                </w:r>
                <w:r>
                  <w:rPr>
                    <w:rFonts w:cs="Times New Roman"/>
                    <w:sz w:val="21"/>
                    <w:szCs w:val="28"/>
                  </w:rPr>
                  <w:t>1</w:t>
                </w:r>
                <w:r>
                  <w:rPr>
                    <w:rFonts w:cs="Times New Roman"/>
                    <w:sz w:val="21"/>
                    <w:szCs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5348AE"/>
    <w:rsid w:val="0012731F"/>
    <w:rsid w:val="003F0F45"/>
    <w:rsid w:val="005348AE"/>
    <w:rsid w:val="0060016E"/>
    <w:rsid w:val="00AA7BA9"/>
    <w:rsid w:val="00B133AE"/>
    <w:rsid w:val="00B85679"/>
    <w:rsid w:val="00F03631"/>
    <w:rsid w:val="013F2B7E"/>
    <w:rsid w:val="01981EF3"/>
    <w:rsid w:val="03DB4C68"/>
    <w:rsid w:val="04FC0279"/>
    <w:rsid w:val="05FD653C"/>
    <w:rsid w:val="061607E9"/>
    <w:rsid w:val="06197B0E"/>
    <w:rsid w:val="0717252A"/>
    <w:rsid w:val="0AAA770C"/>
    <w:rsid w:val="0EAC6483"/>
    <w:rsid w:val="0F7E581B"/>
    <w:rsid w:val="0FC67A81"/>
    <w:rsid w:val="11371677"/>
    <w:rsid w:val="12323B41"/>
    <w:rsid w:val="12BC3FB2"/>
    <w:rsid w:val="131D034D"/>
    <w:rsid w:val="13E3340D"/>
    <w:rsid w:val="154E18B4"/>
    <w:rsid w:val="159F5A5E"/>
    <w:rsid w:val="1B925650"/>
    <w:rsid w:val="1C665F7C"/>
    <w:rsid w:val="1E5E5FDC"/>
    <w:rsid w:val="1F522F3C"/>
    <w:rsid w:val="217D495F"/>
    <w:rsid w:val="220628F4"/>
    <w:rsid w:val="22645B7F"/>
    <w:rsid w:val="22D404B5"/>
    <w:rsid w:val="23AF0A55"/>
    <w:rsid w:val="23BF67DC"/>
    <w:rsid w:val="240D7F6A"/>
    <w:rsid w:val="299D3B3E"/>
    <w:rsid w:val="2C943042"/>
    <w:rsid w:val="2D642AF0"/>
    <w:rsid w:val="2E1E0778"/>
    <w:rsid w:val="2E6F2DE9"/>
    <w:rsid w:val="2EA6182F"/>
    <w:rsid w:val="2F2F5F15"/>
    <w:rsid w:val="30AB5AE9"/>
    <w:rsid w:val="32AE46C6"/>
    <w:rsid w:val="34056568"/>
    <w:rsid w:val="34257303"/>
    <w:rsid w:val="34A07ED2"/>
    <w:rsid w:val="34B92DBE"/>
    <w:rsid w:val="35467BEF"/>
    <w:rsid w:val="35DE36F6"/>
    <w:rsid w:val="37184804"/>
    <w:rsid w:val="38077679"/>
    <w:rsid w:val="38A81BB8"/>
    <w:rsid w:val="38A908CC"/>
    <w:rsid w:val="3B547DD5"/>
    <w:rsid w:val="3B9C5E1D"/>
    <w:rsid w:val="3C806756"/>
    <w:rsid w:val="3E706050"/>
    <w:rsid w:val="3F4A2966"/>
    <w:rsid w:val="3FEC3227"/>
    <w:rsid w:val="41DD72D9"/>
    <w:rsid w:val="4267663F"/>
    <w:rsid w:val="42F81358"/>
    <w:rsid w:val="43E45F59"/>
    <w:rsid w:val="45835ABB"/>
    <w:rsid w:val="48855397"/>
    <w:rsid w:val="490A0D3B"/>
    <w:rsid w:val="4A741DF2"/>
    <w:rsid w:val="4C220B11"/>
    <w:rsid w:val="4E1402DE"/>
    <w:rsid w:val="4E1753BE"/>
    <w:rsid w:val="4E34534D"/>
    <w:rsid w:val="52374280"/>
    <w:rsid w:val="52650DED"/>
    <w:rsid w:val="52E72719"/>
    <w:rsid w:val="532E7431"/>
    <w:rsid w:val="542A2FBE"/>
    <w:rsid w:val="54D774E8"/>
    <w:rsid w:val="560C77D2"/>
    <w:rsid w:val="57686C8A"/>
    <w:rsid w:val="58641890"/>
    <w:rsid w:val="59013B21"/>
    <w:rsid w:val="59345076"/>
    <w:rsid w:val="59AC05AD"/>
    <w:rsid w:val="5B8878FB"/>
    <w:rsid w:val="5C0E2DE1"/>
    <w:rsid w:val="5CCE6402"/>
    <w:rsid w:val="5F067039"/>
    <w:rsid w:val="5F1939C4"/>
    <w:rsid w:val="5F395A7F"/>
    <w:rsid w:val="5F3C3E4F"/>
    <w:rsid w:val="603E4A2C"/>
    <w:rsid w:val="61764336"/>
    <w:rsid w:val="61E66BDE"/>
    <w:rsid w:val="631A16C3"/>
    <w:rsid w:val="6462384E"/>
    <w:rsid w:val="64AC0A16"/>
    <w:rsid w:val="65844E32"/>
    <w:rsid w:val="68320ECB"/>
    <w:rsid w:val="69431AF0"/>
    <w:rsid w:val="699478C3"/>
    <w:rsid w:val="6B74273C"/>
    <w:rsid w:val="6B881B0D"/>
    <w:rsid w:val="6C296590"/>
    <w:rsid w:val="6E633C8B"/>
    <w:rsid w:val="6F5B1156"/>
    <w:rsid w:val="6F631DB9"/>
    <w:rsid w:val="70447421"/>
    <w:rsid w:val="71060A7F"/>
    <w:rsid w:val="71290511"/>
    <w:rsid w:val="72A5093A"/>
    <w:rsid w:val="73404FF7"/>
    <w:rsid w:val="7350559E"/>
    <w:rsid w:val="744B67EF"/>
    <w:rsid w:val="75EC4AF4"/>
    <w:rsid w:val="75F75951"/>
    <w:rsid w:val="76716D2E"/>
    <w:rsid w:val="772B705E"/>
    <w:rsid w:val="79E14A4E"/>
    <w:rsid w:val="7D584F27"/>
    <w:rsid w:val="7E830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600" w:lineRule="exact"/>
    </w:pPr>
    <w:rPr>
      <w:rFonts w:ascii="Times New Roman" w:hAnsi="Times New Roman" w:eastAsia="仿宋_GB2312" w:cs="宋体"/>
      <w:sz w:val="34"/>
      <w:szCs w:val="22"/>
      <w:lang w:val="en-US" w:eastAsia="zh-CN" w:bidi="ar-SA"/>
    </w:rPr>
  </w:style>
  <w:style w:type="paragraph" w:styleId="3">
    <w:name w:val="heading 1"/>
    <w:basedOn w:val="1"/>
    <w:next w:val="1"/>
    <w:autoRedefine/>
    <w:qFormat/>
    <w:uiPriority w:val="0"/>
    <w:pPr>
      <w:keepNext/>
      <w:keepLines/>
      <w:autoSpaceDE/>
      <w:autoSpaceDN/>
      <w:ind w:firstLine="880" w:firstLineChars="200"/>
      <w:outlineLvl w:val="0"/>
    </w:pPr>
    <w:rPr>
      <w:rFonts w:eastAsia="黑体" w:cs="Times New Roman"/>
      <w:b/>
      <w:color w:val="000000" w:themeColor="text1"/>
      <w:szCs w:val="44"/>
    </w:rPr>
  </w:style>
  <w:style w:type="paragraph" w:styleId="4">
    <w:name w:val="heading 2"/>
    <w:basedOn w:val="1"/>
    <w:next w:val="1"/>
    <w:autoRedefine/>
    <w:unhideWhenUsed/>
    <w:qFormat/>
    <w:uiPriority w:val="0"/>
    <w:pPr>
      <w:keepNext/>
      <w:keepLines/>
      <w:ind w:firstLine="880" w:firstLineChars="200"/>
      <w:outlineLvl w:val="1"/>
    </w:pPr>
    <w:rPr>
      <w:rFonts w:cs="Times New Roman"/>
      <w:b/>
      <w:color w:val="000000" w:themeColor="text1"/>
      <w:szCs w:val="34"/>
    </w:rPr>
  </w:style>
  <w:style w:type="paragraph" w:styleId="5">
    <w:name w:val="heading 3"/>
    <w:basedOn w:val="1"/>
    <w:next w:val="1"/>
    <w:unhideWhenUsed/>
    <w:qFormat/>
    <w:uiPriority w:val="9"/>
    <w:pPr>
      <w:keepNext/>
      <w:keepLines/>
      <w:ind w:firstLine="880" w:firstLineChars="200"/>
      <w:outlineLvl w:val="2"/>
    </w:pPr>
    <w:rPr>
      <w:rFonts w:cs="Times New Roman"/>
      <w:color w:val="000000" w:themeColor="text1"/>
      <w:szCs w:val="32"/>
    </w:rPr>
  </w:style>
  <w:style w:type="paragraph" w:styleId="6">
    <w:name w:val="heading 4"/>
    <w:basedOn w:val="1"/>
    <w:next w:val="1"/>
    <w:autoRedefine/>
    <w:semiHidden/>
    <w:unhideWhenUsed/>
    <w:qFormat/>
    <w:uiPriority w:val="0"/>
    <w:pPr>
      <w:spacing w:beforeAutospacing="1" w:afterAutospacing="1"/>
      <w:outlineLvl w:val="3"/>
    </w:pPr>
    <w:rPr>
      <w:rFonts w:hint="eastAsia" w:ascii="宋体" w:hAnsi="宋体" w:eastAsia="宋体" w:cs="Times New Roman"/>
      <w:b/>
      <w:bCs/>
      <w:snapToGrid w:val="0"/>
      <w:color w:val="000000"/>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7">
    <w:name w:val="caption"/>
    <w:basedOn w:val="1"/>
    <w:next w:val="1"/>
    <w:semiHidden/>
    <w:unhideWhenUsed/>
    <w:qFormat/>
    <w:uiPriority w:val="0"/>
    <w:rPr>
      <w:rFonts w:ascii="Arial" w:hAnsi="Arial" w:eastAsia="黑体"/>
      <w:sz w:val="20"/>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0">
    <w:name w:val="HTML Preformatted"/>
    <w:basedOn w:val="1"/>
    <w:qFormat/>
    <w:uiPriority w:val="0"/>
    <w:rPr>
      <w:rFonts w:hint="eastAsia" w:ascii="宋体" w:hAnsi="宋体"/>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5257</Words>
  <Characters>5654</Characters>
  <Lines>40</Lines>
  <Paragraphs>11</Paragraphs>
  <TotalTime>9</TotalTime>
  <ScaleCrop>false</ScaleCrop>
  <LinksUpToDate>false</LinksUpToDate>
  <CharactersWithSpaces>5654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2025-06-23T08:03:00Z</dcterms:created>
  <dc:creator>76471</dc:creator>
  <cp:lastModifiedBy>微信用户</cp:lastModifiedBy>
  <dcterms:modified xsi:type="dcterms:W3CDTF">2025-11-26T08:25:19Z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eyJoZGlkIjoiMzkyMTkwMzcwZmQ2NWU5MWNlMWFiMjdiMGM5MjUxNTEiLCJ1c2VySWQiOiIxMjYyMDkyMTcxIn0=</vt:lpwstr>
  </property>
  <property fmtid="{D5CDD505-2E9C-101B-9397-08002B2CF9AE}" pid="4" name="ICV">
    <vt:lpwstr>BE5313194BED46FBB1C49DA8D84ED104_13</vt:lpwstr>
  </property>
</Properties>
</file>