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78602"/>
    <w:p w14:paraId="3C891D1F"/>
    <w:p w14:paraId="673F2AFC">
      <w:pPr>
        <w:spacing w:line="360" w:lineRule="auto"/>
        <w:ind w:firstLine="0" w:firstLineChars="0"/>
        <w:jc w:val="center"/>
        <w:rPr>
          <w:rFonts w:ascii="方正小标宋简体" w:eastAsia="方正小标宋简体"/>
          <w:sz w:val="48"/>
          <w:szCs w:val="48"/>
        </w:rPr>
      </w:pPr>
      <w:r>
        <w:rPr>
          <w:rFonts w:hint="eastAsia" w:ascii="方正小标宋简体" w:eastAsia="方正小标宋简体"/>
          <w:sz w:val="48"/>
          <w:szCs w:val="48"/>
        </w:rPr>
        <w:t>天津市北辰区生态环境保护</w:t>
      </w:r>
    </w:p>
    <w:p w14:paraId="08ADDC3E">
      <w:pPr>
        <w:spacing w:line="360" w:lineRule="auto"/>
        <w:ind w:firstLine="0" w:firstLineChars="0"/>
        <w:jc w:val="center"/>
        <w:rPr>
          <w:rFonts w:ascii="方正小标宋简体" w:eastAsia="方正小标宋简体"/>
          <w:sz w:val="48"/>
          <w:szCs w:val="48"/>
        </w:rPr>
      </w:pPr>
      <w:r>
        <w:rPr>
          <w:rFonts w:hint="eastAsia" w:ascii="方正小标宋简体" w:eastAsia="方正小标宋简体"/>
          <w:sz w:val="48"/>
          <w:szCs w:val="48"/>
        </w:rPr>
        <w:t>第十四个五年规划</w:t>
      </w:r>
    </w:p>
    <w:p w14:paraId="1EE86BC7">
      <w:pPr>
        <w:spacing w:line="360" w:lineRule="auto"/>
        <w:ind w:firstLine="0" w:firstLineChars="0"/>
        <w:jc w:val="center"/>
        <w:rPr>
          <w:rFonts w:ascii="方正小标宋简体" w:eastAsia="方正小标宋简体"/>
          <w:sz w:val="48"/>
          <w:szCs w:val="48"/>
        </w:rPr>
      </w:pPr>
      <w:r>
        <w:rPr>
          <w:rFonts w:hint="eastAsia" w:ascii="方正小标宋简体" w:eastAsia="方正小标宋简体"/>
          <w:sz w:val="48"/>
          <w:szCs w:val="48"/>
        </w:rPr>
        <w:t>（征求意见稿）</w:t>
      </w:r>
    </w:p>
    <w:p w14:paraId="4427275B">
      <w:pPr>
        <w:ind w:firstLine="0" w:firstLineChars="0"/>
      </w:pPr>
    </w:p>
    <w:p w14:paraId="6A17ABF6">
      <w:pPr>
        <w:ind w:firstLine="0" w:firstLineChars="0"/>
      </w:pPr>
    </w:p>
    <w:p w14:paraId="3EF75AB5">
      <w:pPr>
        <w:ind w:firstLine="0" w:firstLineChars="0"/>
      </w:pPr>
    </w:p>
    <w:p w14:paraId="52B4FE62">
      <w:pPr>
        <w:ind w:firstLine="0" w:firstLineChars="0"/>
      </w:pPr>
    </w:p>
    <w:p w14:paraId="622A6EFE">
      <w:pPr>
        <w:ind w:firstLine="0" w:firstLineChars="0"/>
      </w:pPr>
    </w:p>
    <w:p w14:paraId="79C0B624">
      <w:pPr>
        <w:ind w:firstLine="0" w:firstLineChars="0"/>
      </w:pPr>
    </w:p>
    <w:p w14:paraId="0552CBF9">
      <w:pPr>
        <w:ind w:firstLine="0" w:firstLineChars="0"/>
      </w:pPr>
    </w:p>
    <w:p w14:paraId="04BD427B">
      <w:pPr>
        <w:ind w:firstLine="0" w:firstLineChars="0"/>
      </w:pPr>
    </w:p>
    <w:p w14:paraId="6B6E9162">
      <w:pPr>
        <w:ind w:firstLine="0" w:firstLineChars="0"/>
      </w:pPr>
    </w:p>
    <w:p w14:paraId="7DCD7ECD">
      <w:pPr>
        <w:ind w:firstLine="0" w:firstLineChars="0"/>
      </w:pPr>
    </w:p>
    <w:p w14:paraId="026D70D3">
      <w:pPr>
        <w:ind w:firstLine="0" w:firstLineChars="0"/>
      </w:pPr>
    </w:p>
    <w:p w14:paraId="6CA2AC43">
      <w:pPr>
        <w:ind w:firstLine="0" w:firstLineChars="0"/>
        <w:jc w:val="center"/>
        <w:rPr>
          <w:rFonts w:ascii="楷体_GB2312" w:eastAsia="楷体_GB2312"/>
        </w:rPr>
      </w:pPr>
      <w:r>
        <w:rPr>
          <w:rFonts w:hint="eastAsia" w:ascii="楷体_GB2312" w:eastAsia="楷体_GB2312"/>
        </w:rPr>
        <w:t>天津市北辰区人民政府</w:t>
      </w:r>
    </w:p>
    <w:p w14:paraId="3F1A8D9D">
      <w:pPr>
        <w:ind w:firstLine="0" w:firstLineChars="0"/>
        <w:jc w:val="center"/>
        <w:rPr>
          <w:rFonts w:ascii="楷体_GB2312" w:eastAsia="楷体_GB2312"/>
        </w:rPr>
      </w:pPr>
      <w:r>
        <w:rPr>
          <w:rFonts w:hint="eastAsia" w:ascii="楷体_GB2312" w:eastAsia="楷体_GB2312"/>
        </w:rPr>
        <w:t>2021年9月</w:t>
      </w:r>
    </w:p>
    <w:p w14:paraId="17A052D4">
      <w:pPr>
        <w:ind w:firstLine="0" w:firstLineChars="0"/>
      </w:pPr>
    </w:p>
    <w:p w14:paraId="5CC7E301">
      <w:pPr>
        <w:ind w:firstLine="0" w:firstLineChars="0"/>
      </w:pPr>
    </w:p>
    <w:p w14:paraId="64E9D5E8">
      <w:pPr>
        <w:ind w:firstLine="0" w:firstLineChars="0"/>
      </w:pPr>
    </w:p>
    <w:p w14:paraId="6DA21648">
      <w:pPr>
        <w:ind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700" w:bottom="1440" w:left="1800" w:header="851" w:footer="992" w:gutter="0"/>
          <w:pgNumType w:start="3"/>
          <w:cols w:space="425" w:num="1"/>
          <w:docGrid w:type="lines" w:linePitch="312" w:charSpace="0"/>
        </w:sectPr>
      </w:pPr>
    </w:p>
    <w:p w14:paraId="3439C757">
      <w:r>
        <w:rPr>
          <w:rFonts w:hint="eastAsia"/>
        </w:rPr>
        <w:t>序  言</w:t>
      </w:r>
    </w:p>
    <w:p w14:paraId="5FB981B6">
      <w:r>
        <w:rPr>
          <w:rFonts w:hint="eastAsia"/>
        </w:rPr>
        <w:t>“十四五”时期是我国经济社会进入高质量发展的关键阶段，是开启全面建设社会主义现代化国家新征程、向第二个百年奋斗目标进军的第一个五年。北辰区以习近平新时代中国特色社会主义思想为指导，深入贯彻落实党的十九大、十九届二中、三中、四中、五中全会精神，准确把握新发展阶段，全面贯彻新发展理念，积极融入新发展格局，全面推动区域经济社会高质量发展，建设生态宜居美丽新北辰。北辰区在京津冀协同发展背景下，深化供给侧结构性改革，探索区域生态环境保护联防联控联治，补齐区域生态环境保护短板，逐步改善区域环境质量。</w:t>
      </w:r>
    </w:p>
    <w:p w14:paraId="68A2A7C4">
      <w:r>
        <w:rPr>
          <w:rFonts w:hint="eastAsia"/>
        </w:rPr>
        <w:t>自十八大以来，党和国家高度重视生态文明建设及生态环境保护工作，党中央及国务院针对生态环境保护工作作出了一系列重大决策部署，党的十九</w:t>
      </w:r>
      <w:r>
        <w:rPr>
          <w:rFonts w:hint="eastAsia"/>
          <w:lang w:val="en-US" w:eastAsia="zh-CN"/>
        </w:rPr>
        <w:t>届</w:t>
      </w:r>
      <w:r>
        <w:rPr>
          <w:rFonts w:hint="eastAsia"/>
        </w:rPr>
        <w:t>五中全会更是明确生态文明建设新目标：国土空间开发保护格局得到优化，生产生活方式绿色转型成效显著，能源资源配置更加合理、利用效率大幅提高，主要污染物排放总量持续减少，生态环境持续改善，生态安全屏障更加牢固，城乡人居环境明显改善。为北辰区生态环境保护“十四五”规划制定战略目标、明确发展路径、安排重点任务、扎实推动区域生态文明建设及生态环境保护工作指明了方向。把握新常态，摸清新发展，理清新思路，努力改善生态环境质量，全力保障环境民生，加快推动经济结构和发展模式优化转型升级，严守生态环境空间和红线，优化产业空间结构布局，要坚持方向不变、力度不减，突出精准治污、科学治污、依法治污，加强细颗粒物和臭氧协同控制，深入打好污染防治攻坚战。要加快构建现代环境治理体系，推进生态环境治理体系和治理能力现代化，加快补齐区域生态环境保护短板，加强生态环境保护基础设施建设，完善区域环境监测、监控、管理平台工程体系化建设，着力提升生态环境服务效能，强化环境依法执法监管能力，推动生态环境保护法治化发展，要以狠抓落实中央巡视整改为契机，坚决落实全面从严治党主体责任，认真贯彻新时代党的组织路线，树立正确选人用人导向，加快打造生态环境保护铁军。创新绿色发展模式，全面促进生态环境保护同经济发展相适应、相协调，持续加大生态环境保护投入力度，以经济发展促进环境改善，以环境改善服务经济发展。</w:t>
      </w:r>
    </w:p>
    <w:p w14:paraId="32927AE1">
      <w:r>
        <w:rPr>
          <w:rFonts w:hint="eastAsia"/>
        </w:rPr>
        <w:t>面对党中央、国务院对生态环境保护工作的高度重视、面对社会各界对生态环境保护工作的密切关注、面对人民群众对美好环境的热切期盼，面对新发展时期复杂且艰巨的生态环境保护形势和要求，需要充分总结和借鉴北辰区生态环境保护“十三五”规划编制和实施经验，认真吸纳污染防治攻坚战以来先进管理模式、优秀经验做法，创新治污手段，认真结合北辰区现阶段发展实际，找准当前北辰区生态文明建设及生态环境保护领域存在问题及短板，并根据《中共中央关于制定国民经济和社会发展第十四个五年规划和二</w:t>
      </w:r>
      <w:r>
        <w:rPr>
          <w:rFonts w:hint="eastAsia" w:ascii="微软雅黑" w:hAnsi="微软雅黑" w:eastAsia="微软雅黑" w:cs="微软雅黑"/>
        </w:rPr>
        <w:t>〇</w:t>
      </w:r>
      <w:r>
        <w:rPr>
          <w:rFonts w:hint="eastAsia"/>
        </w:rPr>
        <w:t>三五年远景目标的建议》中关于生态环境保护方面的远景目标，深刻分析未来一段时期的生态环境保护面临的形势、机遇和挑战，在巩固污染防治攻坚战战果及“十三五”规划实施成果的基础上，积极谋划生态环境保护“十四五”规划的目标指标、重点任务和重大项目，更好的指导北辰区“十四五”生态环境保护工作，全力推动北辰区生态文明建设及生态环境保护工作取得新突破、新成果、新局面。</w:t>
      </w:r>
    </w:p>
    <w:p w14:paraId="786AC0AB"/>
    <w:p w14:paraId="4E1EDF3A">
      <w:r>
        <w:br w:type="page"/>
      </w:r>
    </w:p>
    <w:sdt>
      <w:sdtPr>
        <w:rPr>
          <w:rFonts w:hint="eastAsia"/>
          <w:sz w:val="24"/>
        </w:rPr>
        <w:id w:val="147452472"/>
        <w:docPartObj>
          <w:docPartGallery w:val="Table of Contents"/>
          <w:docPartUnique/>
        </w:docPartObj>
      </w:sdtPr>
      <w:sdtEndPr>
        <w:rPr>
          <w:rFonts w:hint="eastAsia" w:ascii="宋体" w:hAnsi="宋体" w:eastAsia="宋体" w:cs="黑体"/>
          <w:sz w:val="32"/>
        </w:rPr>
      </w:sdtEndPr>
      <w:sdtContent>
        <w:p w14:paraId="0FE65DF3">
          <w:pPr>
            <w:ind w:firstLine="480"/>
          </w:pPr>
          <w:r>
            <w:rPr>
              <w:rFonts w:hint="eastAsia"/>
            </w:rPr>
            <w:t>目  录</w:t>
          </w:r>
        </w:p>
        <w:p w14:paraId="37A2A08C">
          <w:pPr>
            <w:pStyle w:val="19"/>
            <w:tabs>
              <w:tab w:val="right" w:leader="dot" w:pos="8296"/>
            </w:tabs>
            <w:ind w:firstLine="480"/>
            <w:rPr>
              <w:rFonts w:asciiTheme="minorHAnsi" w:hAnsiTheme="minorHAnsi" w:eastAsiaTheme="minorEastAsia"/>
              <w:sz w:val="21"/>
              <w:szCs w:val="22"/>
            </w:rPr>
          </w:pPr>
          <w:r>
            <w:rPr>
              <w:sz w:val="24"/>
            </w:rPr>
            <w:fldChar w:fldCharType="begin"/>
          </w:r>
          <w:r>
            <w:rPr>
              <w:sz w:val="24"/>
            </w:rPr>
            <w:instrText xml:space="preserve"> TOC \o "1-2" \h \z \u </w:instrText>
          </w:r>
          <w:r>
            <w:rPr>
              <w:sz w:val="24"/>
            </w:rPr>
            <w:fldChar w:fldCharType="separate"/>
          </w:r>
          <w:r>
            <w:fldChar w:fldCharType="begin"/>
          </w:r>
          <w:r>
            <w:instrText xml:space="preserve"> HYPERLINK \l "_Toc72504247" </w:instrText>
          </w:r>
          <w:r>
            <w:fldChar w:fldCharType="separate"/>
          </w:r>
          <w:r>
            <w:rPr>
              <w:rStyle w:val="36"/>
            </w:rPr>
            <w:t>第一章  环境保护“十三五”规划回顾</w:t>
          </w:r>
          <w:r>
            <w:tab/>
          </w:r>
          <w:r>
            <w:fldChar w:fldCharType="begin"/>
          </w:r>
          <w:r>
            <w:instrText xml:space="preserve"> PAGEREF _Toc72504247 \h </w:instrText>
          </w:r>
          <w:r>
            <w:fldChar w:fldCharType="separate"/>
          </w:r>
          <w:r>
            <w:t>1</w:t>
          </w:r>
          <w:r>
            <w:fldChar w:fldCharType="end"/>
          </w:r>
          <w:r>
            <w:fldChar w:fldCharType="end"/>
          </w:r>
        </w:p>
        <w:p w14:paraId="42B6FF3B">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"_Toc72504248" </w:instrText>
          </w:r>
          <w:r>
            <w:fldChar w:fldCharType="separate"/>
          </w:r>
          <w:r>
            <w:rPr>
              <w:rStyle w:val="36"/>
            </w:rPr>
            <w:t>第一节  环境保护“十三五”规划取得积极进展</w:t>
          </w:r>
          <w:r>
            <w:tab/>
          </w:r>
          <w:r>
            <w:fldChar w:fldCharType="begin"/>
          </w:r>
          <w:r>
            <w:instrText xml:space="preserve"> PAGEREF _Toc72504248 \h </w:instrText>
          </w:r>
          <w:r>
            <w:fldChar w:fldCharType="separate"/>
          </w:r>
          <w:r>
            <w:t>1</w:t>
          </w:r>
          <w:r>
            <w:fldChar w:fldCharType="end"/>
          </w:r>
          <w:r>
            <w:fldChar w:fldCharType="end"/>
          </w:r>
        </w:p>
        <w:p w14:paraId="1B93B88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"_Toc72504249" </w:instrText>
          </w:r>
          <w:r>
            <w:fldChar w:fldCharType="separate"/>
          </w:r>
          <w:r>
            <w:rPr>
              <w:rStyle w:val="36"/>
            </w:rPr>
            <w:t>第二节  环境保护“十三五”规划实施期间存在问题</w:t>
          </w:r>
          <w:r>
            <w:tab/>
          </w:r>
          <w:r>
            <w:fldChar w:fldCharType="begin"/>
          </w:r>
          <w:r>
            <w:instrText xml:space="preserve"> PAGEREF _Toc72504249 \h </w:instrText>
          </w:r>
          <w:r>
            <w:fldChar w:fldCharType="separate"/>
          </w:r>
          <w:r>
            <w:t>22</w:t>
          </w:r>
          <w:r>
            <w:fldChar w:fldCharType="end"/>
          </w:r>
          <w:r>
            <w:fldChar w:fldCharType="end"/>
          </w:r>
        </w:p>
        <w:p w14:paraId="049563EB">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"_Toc72504250" </w:instrText>
          </w:r>
          <w:r>
            <w:fldChar w:fldCharType="separate"/>
          </w:r>
          <w:r>
            <w:rPr>
              <w:rStyle w:val="36"/>
            </w:rPr>
            <w:t>第二章  生态环境保护“十四五”规划形势分析</w:t>
          </w:r>
          <w:r>
            <w:tab/>
          </w:r>
          <w:r>
            <w:fldChar w:fldCharType="begin"/>
          </w:r>
          <w:r>
            <w:instrText xml:space="preserve"> PAGEREF _Toc72504250 \h </w:instrText>
          </w:r>
          <w:r>
            <w:fldChar w:fldCharType="separate"/>
          </w:r>
          <w:r>
            <w:t>27</w:t>
          </w:r>
          <w:r>
            <w:fldChar w:fldCharType="end"/>
          </w:r>
          <w:r>
            <w:fldChar w:fldCharType="end"/>
          </w:r>
        </w:p>
        <w:p w14:paraId="1DAA119D">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"_Toc72504251" </w:instrText>
          </w:r>
          <w:r>
            <w:fldChar w:fldCharType="separate"/>
          </w:r>
          <w:r>
            <w:rPr>
              <w:rStyle w:val="36"/>
            </w:rPr>
            <w:t>第一节  面临的新形势</w:t>
          </w:r>
          <w:r>
            <w:tab/>
          </w:r>
          <w:r>
            <w:fldChar w:fldCharType="begin"/>
          </w:r>
          <w:r>
            <w:instrText xml:space="preserve"> PAGEREF _Toc72504251 \h </w:instrText>
          </w:r>
          <w:r>
            <w:fldChar w:fldCharType="separate"/>
          </w:r>
          <w:r>
            <w:t>28</w:t>
          </w:r>
          <w:r>
            <w:fldChar w:fldCharType="end"/>
          </w:r>
          <w:r>
            <w:fldChar w:fldCharType="end"/>
          </w:r>
        </w:p>
        <w:p w14:paraId="7779AD6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"_Toc72504252" </w:instrText>
          </w:r>
          <w:r>
            <w:fldChar w:fldCharType="separate"/>
          </w:r>
          <w:r>
            <w:rPr>
              <w:rStyle w:val="36"/>
            </w:rPr>
            <w:t>第二节  面临的新挑战</w:t>
          </w:r>
          <w:r>
            <w:tab/>
          </w:r>
          <w:r>
            <w:fldChar w:fldCharType="begin"/>
          </w:r>
          <w:r>
            <w:instrText xml:space="preserve"> PAGEREF _Toc72504252 \h </w:instrText>
          </w:r>
          <w:r>
            <w:fldChar w:fldCharType="separate"/>
          </w:r>
          <w:r>
            <w:t>28</w:t>
          </w:r>
          <w:r>
            <w:fldChar w:fldCharType="end"/>
          </w:r>
          <w:r>
            <w:fldChar w:fldCharType="end"/>
          </w:r>
        </w:p>
        <w:p w14:paraId="71894F90">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"_Toc72504253" </w:instrText>
          </w:r>
          <w:r>
            <w:fldChar w:fldCharType="separate"/>
          </w:r>
          <w:r>
            <w:rPr>
              <w:rStyle w:val="36"/>
            </w:rPr>
            <w:t>第三节  面临的新诉求</w:t>
          </w:r>
          <w:r>
            <w:tab/>
          </w:r>
          <w:r>
            <w:fldChar w:fldCharType="begin"/>
          </w:r>
          <w:r>
            <w:instrText xml:space="preserve"> PAGEREF _Toc72504253 \h </w:instrText>
          </w:r>
          <w:r>
            <w:fldChar w:fldCharType="separate"/>
          </w:r>
          <w:r>
            <w:t>29</w:t>
          </w:r>
          <w:r>
            <w:fldChar w:fldCharType="end"/>
          </w:r>
          <w:r>
            <w:fldChar w:fldCharType="end"/>
          </w:r>
        </w:p>
        <w:p w14:paraId="60B794BB">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"_Toc72504254" </w:instrText>
          </w:r>
          <w:r>
            <w:fldChar w:fldCharType="separate"/>
          </w:r>
          <w:r>
            <w:rPr>
              <w:rStyle w:val="36"/>
            </w:rPr>
            <w:t>第四节  面临的新远景</w:t>
          </w:r>
          <w:r>
            <w:tab/>
          </w:r>
          <w:r>
            <w:fldChar w:fldCharType="begin"/>
          </w:r>
          <w:r>
            <w:instrText xml:space="preserve"> PAGEREF _Toc72504254 \h </w:instrText>
          </w:r>
          <w:r>
            <w:fldChar w:fldCharType="separate"/>
          </w:r>
          <w:r>
            <w:t>30</w:t>
          </w:r>
          <w:r>
            <w:fldChar w:fldCharType="end"/>
          </w:r>
          <w:r>
            <w:fldChar w:fldCharType="end"/>
          </w:r>
        </w:p>
        <w:p w14:paraId="2CF46416">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"_Toc72504255" </w:instrText>
          </w:r>
          <w:r>
            <w:fldChar w:fldCharType="separate"/>
          </w:r>
          <w:r>
            <w:rPr>
              <w:rStyle w:val="36"/>
            </w:rPr>
            <w:t>第三章  规划范围、指导思想与主要目标</w:t>
          </w:r>
          <w:r>
            <w:tab/>
          </w:r>
          <w:r>
            <w:fldChar w:fldCharType="begin"/>
          </w:r>
          <w:r>
            <w:instrText xml:space="preserve"> PAGEREF _Toc72504255 \h </w:instrText>
          </w:r>
          <w:r>
            <w:fldChar w:fldCharType="separate"/>
          </w:r>
          <w:r>
            <w:t>31</w:t>
          </w:r>
          <w:r>
            <w:fldChar w:fldCharType="end"/>
          </w:r>
          <w:r>
            <w:fldChar w:fldCharType="end"/>
          </w:r>
        </w:p>
        <w:p w14:paraId="40F1CD41">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"_Toc72504256" </w:instrText>
          </w:r>
          <w:r>
            <w:fldChar w:fldCharType="separate"/>
          </w:r>
          <w:r>
            <w:rPr>
              <w:rStyle w:val="36"/>
            </w:rPr>
            <w:t>第一节  规划范围</w:t>
          </w:r>
          <w:r>
            <w:tab/>
          </w:r>
          <w:r>
            <w:fldChar w:fldCharType="begin"/>
          </w:r>
          <w:r>
            <w:instrText xml:space="preserve"> PAGEREF _Toc72504256 \h </w:instrText>
          </w:r>
          <w:r>
            <w:fldChar w:fldCharType="separate"/>
          </w:r>
          <w:r>
            <w:t>31</w:t>
          </w:r>
          <w:r>
            <w:fldChar w:fldCharType="end"/>
          </w:r>
          <w:r>
            <w:fldChar w:fldCharType="end"/>
          </w:r>
        </w:p>
        <w:p w14:paraId="5A89B138">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"_Toc72504257" </w:instrText>
          </w:r>
          <w:r>
            <w:fldChar w:fldCharType="separate"/>
          </w:r>
          <w:r>
            <w:rPr>
              <w:rStyle w:val="36"/>
            </w:rPr>
            <w:t>第二节  指导思想</w:t>
          </w:r>
          <w:r>
            <w:tab/>
          </w:r>
          <w:r>
            <w:fldChar w:fldCharType="begin"/>
          </w:r>
          <w:r>
            <w:instrText xml:space="preserve"> PAGEREF _Toc72504257 \h </w:instrText>
          </w:r>
          <w:r>
            <w:fldChar w:fldCharType="separate"/>
          </w:r>
          <w:r>
            <w:t>31</w:t>
          </w:r>
          <w:r>
            <w:fldChar w:fldCharType="end"/>
          </w:r>
          <w:r>
            <w:fldChar w:fldCharType="end"/>
          </w:r>
        </w:p>
        <w:p w14:paraId="27400B1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"_Toc72504258" </w:instrText>
          </w:r>
          <w:r>
            <w:fldChar w:fldCharType="separate"/>
          </w:r>
          <w:r>
            <w:rPr>
              <w:rStyle w:val="36"/>
            </w:rPr>
            <w:t>第三节  目标指标</w:t>
          </w:r>
          <w:r>
            <w:tab/>
          </w:r>
          <w:r>
            <w:fldChar w:fldCharType="begin"/>
          </w:r>
          <w:r>
            <w:instrText xml:space="preserve"> PAGEREF _Toc72504258 \h </w:instrText>
          </w:r>
          <w:r>
            <w:fldChar w:fldCharType="separate"/>
          </w:r>
          <w:r>
            <w:t>35</w:t>
          </w:r>
          <w:r>
            <w:fldChar w:fldCharType="end"/>
          </w:r>
          <w:r>
            <w:fldChar w:fldCharType="end"/>
          </w:r>
        </w:p>
        <w:p w14:paraId="43BB34D1">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"_Toc72504259" </w:instrText>
          </w:r>
          <w:r>
            <w:fldChar w:fldCharType="separate"/>
          </w:r>
          <w:r>
            <w:rPr>
              <w:rStyle w:val="36"/>
            </w:rPr>
            <w:t>第四章  生态环境保护“十四五”规划重点任务</w:t>
          </w:r>
          <w:r>
            <w:tab/>
          </w:r>
          <w:r>
            <w:fldChar w:fldCharType="begin"/>
          </w:r>
          <w:r>
            <w:instrText xml:space="preserve"> PAGEREF _Toc72504259 \h </w:instrText>
          </w:r>
          <w:r>
            <w:fldChar w:fldCharType="separate"/>
          </w:r>
          <w:r>
            <w:t>39</w:t>
          </w:r>
          <w:r>
            <w:fldChar w:fldCharType="end"/>
          </w:r>
          <w:r>
            <w:fldChar w:fldCharType="end"/>
          </w:r>
        </w:p>
        <w:p w14:paraId="7D929745">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"_Toc72504260" </w:instrText>
          </w:r>
          <w:r>
            <w:fldChar w:fldCharType="separate"/>
          </w:r>
          <w:r>
            <w:rPr>
              <w:rStyle w:val="36"/>
            </w:rPr>
            <w:t>第一节  减污降碳，整体提升区域绿色发展水平</w:t>
          </w:r>
          <w:r>
            <w:tab/>
          </w:r>
          <w:r>
            <w:fldChar w:fldCharType="begin"/>
          </w:r>
          <w:r>
            <w:instrText xml:space="preserve"> PAGEREF _Toc72504260 \h </w:instrText>
          </w:r>
          <w:r>
            <w:fldChar w:fldCharType="separate"/>
          </w:r>
          <w:r>
            <w:t>39</w:t>
          </w:r>
          <w:r>
            <w:fldChar w:fldCharType="end"/>
          </w:r>
          <w:r>
            <w:fldChar w:fldCharType="end"/>
          </w:r>
        </w:p>
        <w:p w14:paraId="65269EF1">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"_Toc72504261" </w:instrText>
          </w:r>
          <w:r>
            <w:fldChar w:fldCharType="separate"/>
          </w:r>
          <w:r>
            <w:rPr>
              <w:rStyle w:val="36"/>
            </w:rPr>
            <w:t>第二节  精准施策，持续改善区域大气环境质量</w:t>
          </w:r>
          <w:r>
            <w:tab/>
          </w:r>
          <w:r>
            <w:fldChar w:fldCharType="begin"/>
          </w:r>
          <w:r>
            <w:instrText xml:space="preserve"> PAGEREF _Toc72504261 \h </w:instrText>
          </w:r>
          <w:r>
            <w:fldChar w:fldCharType="separate"/>
          </w:r>
          <w:r>
            <w:t>50</w:t>
          </w:r>
          <w:r>
            <w:fldChar w:fldCharType="end"/>
          </w:r>
          <w:r>
            <w:fldChar w:fldCharType="end"/>
          </w:r>
        </w:p>
        <w:p w14:paraId="6D65A38A">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"_Toc72504262" </w:instrText>
          </w:r>
          <w:r>
            <w:fldChar w:fldCharType="separate"/>
          </w:r>
          <w:r>
            <w:rPr>
              <w:rStyle w:val="36"/>
            </w:rPr>
            <w:t>第三节  查测溯治，持续改善区域水生态环境质量</w:t>
          </w:r>
          <w:r>
            <w:tab/>
          </w:r>
          <w:r>
            <w:fldChar w:fldCharType="begin"/>
          </w:r>
          <w:r>
            <w:instrText xml:space="preserve"> PAGEREF _Toc72504262 \h </w:instrText>
          </w:r>
          <w:r>
            <w:fldChar w:fldCharType="separate"/>
          </w:r>
          <w:r>
            <w:t>63</w:t>
          </w:r>
          <w:r>
            <w:fldChar w:fldCharType="end"/>
          </w:r>
          <w:r>
            <w:fldChar w:fldCharType="end"/>
          </w:r>
        </w:p>
        <w:p w14:paraId="1AC28EFA">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"_Toc72504263" </w:instrText>
          </w:r>
          <w:r>
            <w:fldChar w:fldCharType="separate"/>
          </w:r>
          <w:r>
            <w:rPr>
              <w:rStyle w:val="36"/>
            </w:rPr>
            <w:t>第四节  分类管控，保护区域土壤环境质量安全</w:t>
          </w:r>
          <w:r>
            <w:tab/>
          </w:r>
          <w:r>
            <w:fldChar w:fldCharType="begin"/>
          </w:r>
          <w:r>
            <w:instrText xml:space="preserve"> PAGEREF _Toc72504263 \h </w:instrText>
          </w:r>
          <w:r>
            <w:fldChar w:fldCharType="separate"/>
          </w:r>
          <w:r>
            <w:t>71</w:t>
          </w:r>
          <w:r>
            <w:fldChar w:fldCharType="end"/>
          </w:r>
          <w:r>
            <w:fldChar w:fldCharType="end"/>
          </w:r>
        </w:p>
        <w:p w14:paraId="6BAEA954">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"_Toc72504264" </w:instrText>
          </w:r>
          <w:r>
            <w:fldChar w:fldCharType="separate"/>
          </w:r>
          <w:r>
            <w:rPr>
              <w:rStyle w:val="36"/>
            </w:rPr>
            <w:t>第五节  多措并举，推进美丽宜居乡村环境改善</w:t>
          </w:r>
          <w:r>
            <w:tab/>
          </w:r>
          <w:r>
            <w:fldChar w:fldCharType="begin"/>
          </w:r>
          <w:r>
            <w:instrText xml:space="preserve"> PAGEREF _Toc72504264 \h </w:instrText>
          </w:r>
          <w:r>
            <w:fldChar w:fldCharType="separate"/>
          </w:r>
          <w:r>
            <w:t>83</w:t>
          </w:r>
          <w:r>
            <w:fldChar w:fldCharType="end"/>
          </w:r>
          <w:r>
            <w:fldChar w:fldCharType="end"/>
          </w:r>
        </w:p>
        <w:p w14:paraId="3B731897">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"_Toc72504265" </w:instrText>
          </w:r>
          <w:r>
            <w:fldChar w:fldCharType="separate"/>
          </w:r>
          <w:r>
            <w:rPr>
              <w:rStyle w:val="36"/>
            </w:rPr>
            <w:t>第六节  管建并重，系统推进环境监管与生态修复</w:t>
          </w:r>
          <w:r>
            <w:tab/>
          </w:r>
          <w:r>
            <w:fldChar w:fldCharType="begin"/>
          </w:r>
          <w:r>
            <w:instrText xml:space="preserve"> PAGEREF _Toc72504265 \h </w:instrText>
          </w:r>
          <w:r>
            <w:fldChar w:fldCharType="separate"/>
          </w:r>
          <w:r>
            <w:t>93</w:t>
          </w:r>
          <w:r>
            <w:fldChar w:fldCharType="end"/>
          </w:r>
          <w:r>
            <w:fldChar w:fldCharType="end"/>
          </w:r>
        </w:p>
        <w:p w14:paraId="1D013AE5">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"_Toc72504266" </w:instrText>
          </w:r>
          <w:r>
            <w:fldChar w:fldCharType="separate"/>
          </w:r>
          <w:r>
            <w:rPr>
              <w:rStyle w:val="36"/>
            </w:rPr>
            <w:t>第七节  综合施策，健全生态环境保护治理体系</w:t>
          </w:r>
          <w:r>
            <w:tab/>
          </w:r>
          <w:r>
            <w:fldChar w:fldCharType="begin"/>
          </w:r>
          <w:r>
            <w:instrText xml:space="preserve"> PAGEREF _Toc72504266 \h </w:instrText>
          </w:r>
          <w:r>
            <w:fldChar w:fldCharType="separate"/>
          </w:r>
          <w:r>
            <w:t>98</w:t>
          </w:r>
          <w:r>
            <w:fldChar w:fldCharType="end"/>
          </w:r>
          <w:r>
            <w:fldChar w:fldCharType="end"/>
          </w:r>
        </w:p>
        <w:p w14:paraId="1F4D6EA9">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"_Toc72504267" </w:instrText>
          </w:r>
          <w:r>
            <w:fldChar w:fldCharType="separate"/>
          </w:r>
          <w:r>
            <w:rPr>
              <w:rStyle w:val="36"/>
            </w:rPr>
            <w:t>第五章  规划重点任务清单</w:t>
          </w:r>
          <w:r>
            <w:tab/>
          </w:r>
          <w:r>
            <w:fldChar w:fldCharType="begin"/>
          </w:r>
          <w:r>
            <w:instrText xml:space="preserve"> PAGEREF _Toc72504267 \h </w:instrText>
          </w:r>
          <w:r>
            <w:fldChar w:fldCharType="separate"/>
          </w:r>
          <w:r>
            <w:t>111</w:t>
          </w:r>
          <w:r>
            <w:fldChar w:fldCharType="end"/>
          </w:r>
          <w:r>
            <w:fldChar w:fldCharType="end"/>
          </w:r>
        </w:p>
        <w:p w14:paraId="679233D7">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"_Toc72504268" </w:instrText>
          </w:r>
          <w:r>
            <w:fldChar w:fldCharType="separate"/>
          </w:r>
          <w:r>
            <w:rPr>
              <w:rStyle w:val="36"/>
            </w:rPr>
            <w:t>第一节  重点工程</w:t>
          </w:r>
          <w:r>
            <w:tab/>
          </w:r>
          <w:r>
            <w:fldChar w:fldCharType="begin"/>
          </w:r>
          <w:r>
            <w:instrText xml:space="preserve"> PAGEREF _Toc72504268 \h </w:instrText>
          </w:r>
          <w:r>
            <w:fldChar w:fldCharType="separate"/>
          </w:r>
          <w:r>
            <w:t>111</w:t>
          </w:r>
          <w:r>
            <w:fldChar w:fldCharType="end"/>
          </w:r>
          <w:r>
            <w:fldChar w:fldCharType="end"/>
          </w:r>
        </w:p>
        <w:p w14:paraId="42299FB3">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"_Toc72504269" </w:instrText>
          </w:r>
          <w:r>
            <w:fldChar w:fldCharType="separate"/>
          </w:r>
          <w:r>
            <w:rPr>
              <w:rStyle w:val="36"/>
            </w:rPr>
            <w:t>第二节  投资重点</w:t>
          </w:r>
          <w:r>
            <w:tab/>
          </w:r>
          <w:r>
            <w:fldChar w:fldCharType="begin"/>
          </w:r>
          <w:r>
            <w:instrText xml:space="preserve"> PAGEREF _Toc72504269 \h </w:instrText>
          </w:r>
          <w:r>
            <w:fldChar w:fldCharType="separate"/>
          </w:r>
          <w:r>
            <w:t>118</w:t>
          </w:r>
          <w:r>
            <w:fldChar w:fldCharType="end"/>
          </w:r>
          <w:r>
            <w:fldChar w:fldCharType="end"/>
          </w:r>
        </w:p>
        <w:p w14:paraId="148FAE0B">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"_Toc72504270" </w:instrText>
          </w:r>
          <w:r>
            <w:fldChar w:fldCharType="separate"/>
          </w:r>
          <w:r>
            <w:rPr>
              <w:rStyle w:val="36"/>
            </w:rPr>
            <w:t>第六章  保障措施</w:t>
          </w:r>
          <w:r>
            <w:tab/>
          </w:r>
          <w:r>
            <w:fldChar w:fldCharType="begin"/>
          </w:r>
          <w:r>
            <w:instrText xml:space="preserve"> PAGEREF _Toc72504270 \h </w:instrText>
          </w:r>
          <w:r>
            <w:fldChar w:fldCharType="separate"/>
          </w:r>
          <w:r>
            <w:t>120</w:t>
          </w:r>
          <w:r>
            <w:fldChar w:fldCharType="end"/>
          </w:r>
          <w:r>
            <w:fldChar w:fldCharType="end"/>
          </w:r>
        </w:p>
        <w:p w14:paraId="39EE9E64">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"_Toc72504271" </w:instrText>
          </w:r>
          <w:r>
            <w:fldChar w:fldCharType="separate"/>
          </w:r>
          <w:r>
            <w:rPr>
              <w:rStyle w:val="36"/>
            </w:rPr>
            <w:t>第一节  加强组织领导，强化责任落实</w:t>
          </w:r>
          <w:r>
            <w:tab/>
          </w:r>
          <w:r>
            <w:fldChar w:fldCharType="begin"/>
          </w:r>
          <w:r>
            <w:instrText xml:space="preserve"> PAGEREF _Toc72504271 \h </w:instrText>
          </w:r>
          <w:r>
            <w:fldChar w:fldCharType="separate"/>
          </w:r>
          <w:r>
            <w:t>120</w:t>
          </w:r>
          <w:r>
            <w:fldChar w:fldCharType="end"/>
          </w:r>
          <w:r>
            <w:fldChar w:fldCharType="end"/>
          </w:r>
        </w:p>
        <w:p w14:paraId="3AE7744E">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"_Toc72504272" </w:instrText>
          </w:r>
          <w:r>
            <w:fldChar w:fldCharType="separate"/>
          </w:r>
          <w:r>
            <w:rPr>
              <w:rStyle w:val="36"/>
            </w:rPr>
            <w:t>第二节  加强协调沟通，强化统筹推动</w:t>
          </w:r>
          <w:r>
            <w:tab/>
          </w:r>
          <w:r>
            <w:fldChar w:fldCharType="begin"/>
          </w:r>
          <w:r>
            <w:instrText xml:space="preserve"> PAGEREF _Toc72504272 \h </w:instrText>
          </w:r>
          <w:r>
            <w:fldChar w:fldCharType="separate"/>
          </w:r>
          <w:r>
            <w:t>121</w:t>
          </w:r>
          <w:r>
            <w:fldChar w:fldCharType="end"/>
          </w:r>
          <w:r>
            <w:fldChar w:fldCharType="end"/>
          </w:r>
        </w:p>
        <w:p w14:paraId="67C4C2AF">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"_Toc72504273" </w:instrText>
          </w:r>
          <w:r>
            <w:fldChar w:fldCharType="separate"/>
          </w:r>
          <w:r>
            <w:rPr>
              <w:rStyle w:val="36"/>
            </w:rPr>
            <w:t>第三节  拓宽资金渠道，强化资金保障</w:t>
          </w:r>
          <w:r>
            <w:tab/>
          </w:r>
          <w:r>
            <w:fldChar w:fldCharType="begin"/>
          </w:r>
          <w:r>
            <w:instrText xml:space="preserve"> PAGEREF _Toc72504273 \h </w:instrText>
          </w:r>
          <w:r>
            <w:fldChar w:fldCharType="separate"/>
          </w:r>
          <w:r>
            <w:t>122</w:t>
          </w:r>
          <w:r>
            <w:fldChar w:fldCharType="end"/>
          </w:r>
          <w:r>
            <w:fldChar w:fldCharType="end"/>
          </w:r>
        </w:p>
        <w:p w14:paraId="1C78FB71">
          <w:pPr>
            <w:pStyle w:val="24"/>
            <w:tabs>
              <w:tab w:val="right" w:leader="dot" w:pos="8296"/>
            </w:tabs>
            <w:ind w:left="640"/>
            <w:rPr>
              <w:rFonts w:asciiTheme="minorHAnsi" w:hAnsiTheme="minorHAnsi" w:eastAsiaTheme="minorEastAsia"/>
              <w:sz w:val="21"/>
              <w:szCs w:val="22"/>
            </w:rPr>
          </w:pPr>
          <w:r>
            <w:fldChar w:fldCharType="begin"/>
          </w:r>
          <w:r>
            <w:instrText xml:space="preserve"> HYPERLINK \l "_Toc72504274" </w:instrText>
          </w:r>
          <w:r>
            <w:fldChar w:fldCharType="separate"/>
          </w:r>
          <w:r>
            <w:rPr>
              <w:rStyle w:val="36"/>
            </w:rPr>
            <w:t>第四节  加强宣传教育，营造生态氛围</w:t>
          </w:r>
          <w:r>
            <w:tab/>
          </w:r>
          <w:r>
            <w:fldChar w:fldCharType="begin"/>
          </w:r>
          <w:r>
            <w:instrText xml:space="preserve"> PAGEREF _Toc72504274 \h </w:instrText>
          </w:r>
          <w:r>
            <w:fldChar w:fldCharType="separate"/>
          </w:r>
          <w:r>
            <w:t>122</w:t>
          </w:r>
          <w:r>
            <w:fldChar w:fldCharType="end"/>
          </w:r>
          <w:r>
            <w:fldChar w:fldCharType="end"/>
          </w:r>
        </w:p>
        <w:p w14:paraId="591C8F83">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"_Toc72504275" </w:instrText>
          </w:r>
          <w:r>
            <w:fldChar w:fldCharType="separate"/>
          </w:r>
          <w:r>
            <w:rPr>
              <w:rStyle w:val="36"/>
            </w:rPr>
            <w:t>附表1 北辰区“十四五”环境保护规划责任分解表</w:t>
          </w:r>
          <w:r>
            <w:tab/>
          </w:r>
          <w:r>
            <w:fldChar w:fldCharType="begin"/>
          </w:r>
          <w:r>
            <w:instrText xml:space="preserve"> PAGEREF _Toc72504275 \h </w:instrText>
          </w:r>
          <w:r>
            <w:fldChar w:fldCharType="separate"/>
          </w:r>
          <w:r>
            <w:t>125</w:t>
          </w:r>
          <w:r>
            <w:fldChar w:fldCharType="end"/>
          </w:r>
          <w:r>
            <w:fldChar w:fldCharType="end"/>
          </w:r>
        </w:p>
        <w:p w14:paraId="36FDFB6B">
          <w:pPr>
            <w:pStyle w:val="19"/>
            <w:tabs>
              <w:tab w:val="right" w:leader="dot" w:pos="8296"/>
            </w:tabs>
            <w:ind w:firstLine="560"/>
            <w:rPr>
              <w:rFonts w:asciiTheme="minorHAnsi" w:hAnsiTheme="minorHAnsi" w:eastAsiaTheme="minorEastAsia"/>
              <w:sz w:val="21"/>
              <w:szCs w:val="22"/>
            </w:rPr>
          </w:pPr>
          <w:r>
            <w:fldChar w:fldCharType="begin"/>
          </w:r>
          <w:r>
            <w:instrText xml:space="preserve"> HYPERLINK \l "_Toc72504276" </w:instrText>
          </w:r>
          <w:r>
            <w:fldChar w:fldCharType="separate"/>
          </w:r>
          <w:r>
            <w:rPr>
              <w:rStyle w:val="36"/>
            </w:rPr>
            <w:t>附表2 北辰区“十四五”环境保护规划重大工程项目列表</w:t>
          </w:r>
          <w:r>
            <w:tab/>
          </w:r>
          <w:r>
            <w:fldChar w:fldCharType="begin"/>
          </w:r>
          <w:r>
            <w:instrText xml:space="preserve"> PAGEREF _Toc72504276 \h </w:instrText>
          </w:r>
          <w:r>
            <w:fldChar w:fldCharType="separate"/>
          </w:r>
          <w:r>
            <w:t>128</w:t>
          </w:r>
          <w:r>
            <w:fldChar w:fldCharType="end"/>
          </w:r>
          <w:r>
            <w:fldChar w:fldCharType="end"/>
          </w:r>
        </w:p>
        <w:p w14:paraId="2EDCE967">
          <w:pPr>
            <w:ind w:firstLine="480"/>
            <w:sectPr>
              <w:footerReference r:id="rId11" w:type="default"/>
              <w:pgSz w:w="11906" w:h="16838"/>
              <w:pgMar w:top="1440" w:right="1800" w:bottom="1440" w:left="1800" w:header="851" w:footer="992" w:gutter="0"/>
              <w:pgNumType w:fmt="upperRoman" w:start="1"/>
              <w:cols w:space="425" w:num="1"/>
              <w:docGrid w:type="lines" w:linePitch="312" w:charSpace="0"/>
            </w:sectPr>
          </w:pPr>
          <w:r>
            <w:rPr>
              <w:sz w:val="24"/>
            </w:rPr>
            <w:fldChar w:fldCharType="end"/>
          </w:r>
        </w:p>
      </w:sdtContent>
    </w:sdt>
    <w:p w14:paraId="1D49A390">
      <w:pPr>
        <w:pStyle w:val="2"/>
        <w:spacing w:before="156" w:after="156"/>
      </w:pPr>
      <w:bookmarkStart w:id="0" w:name="_Toc55464487"/>
      <w:bookmarkEnd w:id="0"/>
      <w:bookmarkStart w:id="1" w:name="_Toc7810"/>
      <w:bookmarkEnd w:id="1"/>
      <w:bookmarkStart w:id="2" w:name="_Toc23811"/>
      <w:bookmarkStart w:id="3" w:name="_Toc29137"/>
      <w:bookmarkStart w:id="4" w:name="_Toc6242"/>
      <w:bookmarkStart w:id="5" w:name="_Toc72504247"/>
      <w:bookmarkStart w:id="6" w:name="_Toc55464488"/>
      <w:r>
        <w:rPr>
          <w:rFonts w:hint="eastAsia"/>
        </w:rPr>
        <w:t>第一章 环境保护“十三五”规划回顾</w:t>
      </w:r>
      <w:bookmarkEnd w:id="2"/>
      <w:bookmarkEnd w:id="3"/>
      <w:bookmarkEnd w:id="4"/>
      <w:bookmarkEnd w:id="5"/>
      <w:bookmarkEnd w:id="6"/>
    </w:p>
    <w:p w14:paraId="7E431248">
      <w:r>
        <w:rPr>
          <w:rFonts w:hint="eastAsia"/>
        </w:rPr>
        <w:t>自环境保护“十三五”规划实施以来，北辰区在市委、市政府的坚强领导下，以习近平新时代中国特色社会主义思想指导，深入贯彻落实党的十九大精神和习近平生态文明思想，特别是十九大之后，全区各镇街、开发区，各相关责任单位在区委、区政府的带领下，高度重视生态文明建设及生态环境保护工作，厚植“绿水青山就是金山银山”绿色理念，高度重视生态文明建设及生态环境保护工作。</w:t>
      </w:r>
    </w:p>
    <w:p w14:paraId="7DEBD85B">
      <w:pPr>
        <w:pStyle w:val="3"/>
        <w:spacing w:before="156" w:after="156"/>
      </w:pPr>
      <w:bookmarkStart w:id="7" w:name="_Toc55464489"/>
      <w:bookmarkStart w:id="8" w:name="_Toc10764"/>
      <w:bookmarkStart w:id="9" w:name="_Toc72504248"/>
      <w:bookmarkStart w:id="10" w:name="_Toc7542"/>
      <w:bookmarkStart w:id="11" w:name="_Toc11568"/>
      <w:r>
        <w:rPr>
          <w:rFonts w:hint="eastAsia"/>
        </w:rPr>
        <w:t>第一节 环境保护“十三五”规划取得积极进展</w:t>
      </w:r>
      <w:bookmarkEnd w:id="7"/>
      <w:bookmarkEnd w:id="8"/>
      <w:bookmarkEnd w:id="9"/>
      <w:bookmarkEnd w:id="10"/>
      <w:bookmarkEnd w:id="11"/>
    </w:p>
    <w:p w14:paraId="6FDFEE57">
      <w:r>
        <w:rPr>
          <w:rFonts w:hint="eastAsia"/>
        </w:rPr>
        <w:t>环境保护“十三五”规划坚持以制度为先导，不断提升区域生态环境保护工作能力水平，不断完善区域生态环境保护体系化、制度化建设；坚持重点导向，以打好打赢污染防治攻坚战为落脚点，聚焦重点指标任务，齐抓共管，攻坚克难，顺利推动污染防治攻坚战各项工作任务全面完成；坚持问题导向，以各级生态环境保护督察反馈问题整改工作为契机，以人民群众反映强烈的生态环境保护问题为线索，加快补齐区域生态环境保护短板，着力解决区域突出生态环境保护问题。全区上下以前所未有的决心和力度，顺利推动环境保护“十三五”规划开展，生态环境保护工作治理能力水平显著提升，区域环境质量稳中向好，逐年改善。</w:t>
      </w:r>
    </w:p>
    <w:p w14:paraId="29830009">
      <w:pPr>
        <w:pStyle w:val="4"/>
      </w:pPr>
      <w:bookmarkStart w:id="12" w:name="_Toc14858"/>
      <w:bookmarkStart w:id="13" w:name="_Toc19185"/>
      <w:r>
        <w:rPr>
          <w:rFonts w:hint="eastAsia"/>
        </w:rPr>
        <w:t>一、</w:t>
      </w:r>
      <w:r>
        <w:t>区域环境质量逐年改善</w:t>
      </w:r>
      <w:bookmarkEnd w:id="12"/>
      <w:bookmarkEnd w:id="13"/>
    </w:p>
    <w:p w14:paraId="7A06DE66">
      <w:r>
        <w:drawing>
          <wp:anchor distT="0" distB="0" distL="114300" distR="114300" simplePos="0" relativeHeight="251664384" behindDoc="0" locked="0" layoutInCell="1" allowOverlap="1">
            <wp:simplePos x="0" y="0"/>
            <wp:positionH relativeFrom="margin">
              <wp:align>center</wp:align>
            </wp:positionH>
            <wp:positionV relativeFrom="paragraph">
              <wp:posOffset>2489200</wp:posOffset>
            </wp:positionV>
            <wp:extent cx="5003800" cy="3136265"/>
            <wp:effectExtent l="0" t="0" r="6350" b="698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03800" cy="3136265"/>
                    </a:xfrm>
                    <a:prstGeom prst="rect">
                      <a:avLst/>
                    </a:prstGeom>
                    <a:noFill/>
                  </pic:spPr>
                </pic:pic>
              </a:graphicData>
            </a:graphic>
          </wp:anchor>
        </w:drawing>
      </w:r>
      <w:r>
        <w:rPr>
          <w:rFonts w:hint="eastAsia"/>
        </w:rPr>
        <w:t>区域空气环境质量逐步改善。“十三五”规划实施后，北辰区大气环境质量逐步改善，PM</w:t>
      </w:r>
      <w:r>
        <w:rPr>
          <w:rFonts w:hint="eastAsia"/>
          <w:vertAlign w:val="subscript"/>
        </w:rPr>
        <w:t>2.5</w:t>
      </w:r>
      <w:r>
        <w:rPr>
          <w:rFonts w:hint="eastAsia"/>
        </w:rPr>
        <w:t>指数由2016年76微克/立方米降低至2020年底49微克/立方米，重污染天气天数减少，由2016年38天减少至2020年9天，区域环境质量综合排名逐年提升，2020年全市排名第三，彻底摆脱倒数后三位，全区大气环境空气质量明显改善。</w:t>
      </w:r>
    </w:p>
    <w:p w14:paraId="78F6803B">
      <w:pPr>
        <w:pStyle w:val="9"/>
      </w:pPr>
      <w:r>
        <w:rPr>
          <w:rFonts w:hint="eastAsia"/>
        </w:rPr>
        <w:t>图</w:t>
      </w:r>
      <w:r>
        <w:t xml:space="preserve"> 1  </w:t>
      </w:r>
      <w:r>
        <w:rPr>
          <w:rFonts w:hint="eastAsia"/>
        </w:rPr>
        <w:t>北辰区环境空气质量</w:t>
      </w:r>
    </w:p>
    <w:p w14:paraId="2B825905">
      <w:pPr>
        <w:ind w:firstLine="643"/>
      </w:pPr>
      <w:r>
        <w:rPr>
          <w:rFonts w:hint="eastAsia" w:hAnsi="仿宋_GB2312" w:cs="仿宋_GB2312"/>
          <w:b/>
          <w:bCs/>
        </w:rPr>
        <w:t>区域水环境质量稳中向好。</w:t>
      </w:r>
      <w:r>
        <w:rPr>
          <w:rFonts w:hint="eastAsia"/>
        </w:rPr>
        <w:t>2017年中开展地表水水质考核工作后，北辰区水环境质量稳中向好，逐步改善。2018年，地表水优良水体比例为33.3%，同比上升8.3%；达到Ⅴ类以上水体比例为91.7%，同比上升41.7%；综合排名位列全市第2。2019年，北辰区地表水水质考核达标率为80.26%，水体</w:t>
      </w:r>
      <w:r>
        <w:drawing>
          <wp:anchor distT="0" distB="0" distL="114300" distR="114300" simplePos="0" relativeHeight="251665408" behindDoc="1" locked="0" layoutInCell="1" allowOverlap="1">
            <wp:simplePos x="0" y="0"/>
            <wp:positionH relativeFrom="margin">
              <wp:align>center</wp:align>
            </wp:positionH>
            <wp:positionV relativeFrom="paragraph">
              <wp:posOffset>777240</wp:posOffset>
            </wp:positionV>
            <wp:extent cx="4817745" cy="2936240"/>
            <wp:effectExtent l="0" t="0" r="1905" b="0"/>
            <wp:wrapTight wrapText="bothSides">
              <wp:wrapPolygon>
                <wp:start x="0" y="0"/>
                <wp:lineTo x="0" y="21441"/>
                <wp:lineTo x="21523" y="21441"/>
                <wp:lineTo x="2152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17745" cy="2936240"/>
                    </a:xfrm>
                    <a:prstGeom prst="rect">
                      <a:avLst/>
                    </a:prstGeom>
                    <a:noFill/>
                  </pic:spPr>
                </pic:pic>
              </a:graphicData>
            </a:graphic>
          </wp:anchor>
        </w:drawing>
      </w:r>
      <w:r>
        <w:rPr>
          <w:rFonts w:hint="eastAsia"/>
        </w:rPr>
        <w:t>优良比例41.6%。2020年，北辰区地表水水质考核达标率为92.25%，V类以上水体比例91.70%，水体优良比例66.7%。</w:t>
      </w:r>
    </w:p>
    <w:p w14:paraId="0CFDC529">
      <w:pPr>
        <w:pStyle w:val="9"/>
      </w:pPr>
      <w:r>
        <w:drawing>
          <wp:anchor distT="0" distB="0" distL="114300" distR="114300" simplePos="0" relativeHeight="251661312" behindDoc="1" locked="0" layoutInCell="1" allowOverlap="1">
            <wp:simplePos x="0" y="0"/>
            <wp:positionH relativeFrom="margin">
              <wp:align>center</wp:align>
            </wp:positionH>
            <wp:positionV relativeFrom="paragraph">
              <wp:posOffset>3455035</wp:posOffset>
            </wp:positionV>
            <wp:extent cx="4938395" cy="3395980"/>
            <wp:effectExtent l="0" t="0" r="0" b="0"/>
            <wp:wrapTight wrapText="bothSides">
              <wp:wrapPolygon>
                <wp:start x="0" y="0"/>
                <wp:lineTo x="0" y="21447"/>
                <wp:lineTo x="21497" y="21447"/>
                <wp:lineTo x="21497" y="0"/>
                <wp:lineTo x="0" y="0"/>
              </wp:wrapPolygon>
            </wp:wrapTigh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938395" cy="3395980"/>
                    </a:xfrm>
                    <a:prstGeom prst="rect">
                      <a:avLst/>
                    </a:prstGeom>
                    <a:noFill/>
                  </pic:spPr>
                </pic:pic>
              </a:graphicData>
            </a:graphic>
          </wp:anchor>
        </w:drawing>
      </w:r>
      <w:r>
        <w:rPr>
          <w:rFonts w:hint="eastAsia"/>
        </w:rPr>
        <w:t>图2北辰区地表水环境质量变化图</w:t>
      </w:r>
    </w:p>
    <w:p w14:paraId="212BBAF0">
      <w:pPr>
        <w:pStyle w:val="9"/>
      </w:pPr>
      <w:bookmarkStart w:id="14" w:name="_Toc16967"/>
      <w:bookmarkStart w:id="15" w:name="_Toc16245"/>
      <w:r>
        <w:rPr>
          <w:rFonts w:hint="eastAsia"/>
        </w:rPr>
        <w:t>图</w:t>
      </w:r>
      <w:r>
        <w:t xml:space="preserve"> 3 </w:t>
      </w:r>
      <w:r>
        <w:rPr>
          <w:rFonts w:hint="eastAsia"/>
        </w:rPr>
        <w:t>北辰区河道断面化学需氧量达标率</w:t>
      </w:r>
    </w:p>
    <w:p w14:paraId="251D8F19">
      <w:pPr>
        <w:pStyle w:val="9"/>
      </w:pPr>
      <w:r>
        <w:drawing>
          <wp:anchor distT="0" distB="0" distL="114300" distR="114300" simplePos="0" relativeHeight="251663360" behindDoc="1" locked="0" layoutInCell="1" allowOverlap="1">
            <wp:simplePos x="0" y="0"/>
            <wp:positionH relativeFrom="margin">
              <wp:posOffset>29845</wp:posOffset>
            </wp:positionH>
            <wp:positionV relativeFrom="paragraph">
              <wp:posOffset>4233545</wp:posOffset>
            </wp:positionV>
            <wp:extent cx="4938395" cy="3395980"/>
            <wp:effectExtent l="0" t="0" r="0" b="0"/>
            <wp:wrapTight wrapText="bothSides">
              <wp:wrapPolygon>
                <wp:start x="0" y="0"/>
                <wp:lineTo x="0" y="21447"/>
                <wp:lineTo x="21497" y="21447"/>
                <wp:lineTo x="21497"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938395" cy="3395980"/>
                    </a:xfrm>
                    <a:prstGeom prst="rect">
                      <a:avLst/>
                    </a:prstGeom>
                    <a:noFill/>
                  </pic:spPr>
                </pic:pic>
              </a:graphicData>
            </a:graphic>
          </wp:anchor>
        </w:drawing>
      </w:r>
      <w:r>
        <w:drawing>
          <wp:anchor distT="0" distB="0" distL="114300" distR="114300" simplePos="0" relativeHeight="251660288" behindDoc="1" locked="0" layoutInCell="1" allowOverlap="1">
            <wp:simplePos x="0" y="0"/>
            <wp:positionH relativeFrom="margin">
              <wp:align>center</wp:align>
            </wp:positionH>
            <wp:positionV relativeFrom="paragraph">
              <wp:posOffset>124460</wp:posOffset>
            </wp:positionV>
            <wp:extent cx="4938395" cy="3389630"/>
            <wp:effectExtent l="0" t="0" r="0" b="1270"/>
            <wp:wrapTight wrapText="bothSides">
              <wp:wrapPolygon>
                <wp:start x="0" y="0"/>
                <wp:lineTo x="0" y="21487"/>
                <wp:lineTo x="21497" y="21487"/>
                <wp:lineTo x="21497"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38395" cy="3389630"/>
                    </a:xfrm>
                    <a:prstGeom prst="rect">
                      <a:avLst/>
                    </a:prstGeom>
                    <a:noFill/>
                  </pic:spPr>
                </pic:pic>
              </a:graphicData>
            </a:graphic>
          </wp:anchor>
        </w:drawing>
      </w:r>
      <w:r>
        <w:rPr>
          <w:rFonts w:hint="eastAsia"/>
        </w:rPr>
        <w:t xml:space="preserve">图 </w:t>
      </w:r>
      <w:r>
        <w:t xml:space="preserve">4 </w:t>
      </w:r>
      <w:r>
        <w:rPr>
          <w:rFonts w:hint="eastAsia"/>
        </w:rPr>
        <w:t>北辰区河道断面氨氮达标率</w:t>
      </w:r>
    </w:p>
    <w:p w14:paraId="7FD80C2A">
      <w:pPr>
        <w:pStyle w:val="9"/>
      </w:pPr>
      <w:r>
        <w:rPr>
          <w:rFonts w:hint="eastAsia"/>
        </w:rPr>
        <w:t xml:space="preserve">图 </w:t>
      </w:r>
      <w:r>
        <w:t xml:space="preserve">5 </w:t>
      </w:r>
      <w:r>
        <w:rPr>
          <w:rFonts w:hint="eastAsia"/>
        </w:rPr>
        <w:t>北辰区河道断面总磷达标率</w:t>
      </w:r>
    </w:p>
    <w:p w14:paraId="1577275D">
      <w:pPr>
        <w:pStyle w:val="9"/>
      </w:pPr>
      <w:r>
        <w:drawing>
          <wp:anchor distT="0" distB="0" distL="114300" distR="114300" simplePos="0" relativeHeight="251662336" behindDoc="1" locked="0" layoutInCell="1" allowOverlap="1">
            <wp:simplePos x="0" y="0"/>
            <wp:positionH relativeFrom="column">
              <wp:posOffset>28575</wp:posOffset>
            </wp:positionH>
            <wp:positionV relativeFrom="paragraph">
              <wp:posOffset>53340</wp:posOffset>
            </wp:positionV>
            <wp:extent cx="4940300" cy="3390900"/>
            <wp:effectExtent l="0" t="0" r="0" b="0"/>
            <wp:wrapTight wrapText="bothSides">
              <wp:wrapPolygon>
                <wp:start x="0" y="0"/>
                <wp:lineTo x="0" y="21479"/>
                <wp:lineTo x="21489" y="21479"/>
                <wp:lineTo x="21489" y="0"/>
                <wp:lineTo x="0" y="0"/>
              </wp:wrapPolygon>
            </wp:wrapTight>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t>图 6 北辰区河道断面总氮达标率</w:t>
      </w:r>
    </w:p>
    <w:p w14:paraId="397A0D03">
      <w:pPr>
        <w:rPr>
          <w:rFonts w:eastAsia="黑体" w:cs="Times New Roman"/>
          <w:sz w:val="28"/>
          <w:szCs w:val="28"/>
        </w:rPr>
      </w:pPr>
      <w:r>
        <w:t>此外，土壤、噪声环境质量状况保持稳定，环境风险总体可控，工业危险废物保持零排放，医疗废物无害化处置率保持</w:t>
      </w:r>
      <w:r>
        <w:rPr>
          <w:rFonts w:hint="eastAsia" w:hAnsi="TimesNewRomanPSMT"/>
        </w:rPr>
        <w:t>100%</w:t>
      </w:r>
      <w:r>
        <w:rPr>
          <w:rFonts w:hint="eastAsia"/>
        </w:rPr>
        <w:t>，未</w:t>
      </w:r>
      <w:r>
        <w:t>发生较大及以上突发环境污染事件。</w:t>
      </w:r>
    </w:p>
    <w:p w14:paraId="2162B681">
      <w:pPr>
        <w:pStyle w:val="4"/>
      </w:pPr>
      <w:r>
        <w:rPr>
          <w:rFonts w:hint="eastAsia"/>
        </w:rPr>
        <w:t>二、区域生态环境保护体制机制日臻完善</w:t>
      </w:r>
      <w:bookmarkEnd w:id="14"/>
      <w:bookmarkEnd w:id="15"/>
    </w:p>
    <w:p w14:paraId="1FEAACDA">
      <w:pPr>
        <w:ind w:firstLine="643"/>
      </w:pPr>
      <w:r>
        <w:rPr>
          <w:rFonts w:hint="eastAsia" w:hAnsi="仿宋_GB2312" w:cs="仿宋_GB2312"/>
          <w:b/>
          <w:bCs/>
        </w:rPr>
        <w:t>加强组织领导，强化责任意识。</w:t>
      </w:r>
      <w:r>
        <w:rPr>
          <w:rFonts w:hint="eastAsia" w:hAnsi="仿宋_GB2312" w:cs="仿宋_GB2312"/>
        </w:rPr>
        <w:t>“十三五”规划实施以来，</w:t>
      </w:r>
      <w:r>
        <w:rPr>
          <w:rFonts w:hint="eastAsia"/>
        </w:rPr>
        <w:t>环境治理成为北辰区鲜明的政治导向和政治要求。生态环境保护工作始终坚持“战区制，主官上”，切实落实环境保护“一把手”负责制，做到各级党政主要领导全面抓、负总责，分管领导具体抓、尽主责，其他领导配合抓、同担责，坚决做到守土有责、守土尽责。特别是自中央环保督察以来，区委</w:t>
      </w:r>
      <w:r>
        <w:t>、政府主要领导和</w:t>
      </w:r>
      <w:r>
        <w:rPr>
          <w:rFonts w:hint="eastAsia"/>
        </w:rPr>
        <w:t>政府</w:t>
      </w:r>
      <w:r>
        <w:t>分管领导</w:t>
      </w:r>
      <w:r>
        <w:rPr>
          <w:rFonts w:hint="eastAsia"/>
        </w:rPr>
        <w:t>先后400余次批示相关文件提出要求，组织召开区委常务会、政府常务会等各类相关会议100余次，切实做到了强化组织领导，明确责任分工，密切协调配合。</w:t>
      </w:r>
    </w:p>
    <w:p w14:paraId="17A21F69">
      <w:pPr>
        <w:ind w:firstLine="643"/>
      </w:pPr>
      <w:r>
        <w:rPr>
          <w:rFonts w:hint="eastAsia"/>
          <w:b/>
          <w:bCs/>
        </w:rPr>
        <w:t>完善组织架构，加快体制建设。</w:t>
      </w:r>
      <w:r>
        <w:rPr>
          <w:rFonts w:hint="eastAsia"/>
        </w:rPr>
        <w:t>成立北辰区生态环境保护委员会和北辰区污染防治攻坚战指挥部，均由区委书记任总指挥，区长任副总指挥；各镇街、开发区均对照区内组织架构成立指挥部。建立包联制度，发挥“第一书记”作用。制定了《北辰区生态环境保护区领导联系点制度工作方案》，认真抓好生态环境保护工作。</w:t>
      </w:r>
    </w:p>
    <w:p w14:paraId="789AC98C">
      <w:pPr>
        <w:ind w:firstLine="643"/>
        <w:rPr>
          <w:rFonts w:hAnsi="仿宋"/>
        </w:rPr>
      </w:pPr>
      <w:r>
        <w:rPr>
          <w:rFonts w:hint="eastAsia" w:hAnsi="仿宋"/>
          <w:b/>
          <w:bCs/>
        </w:rPr>
        <w:t>强化监管监督，严肃追责问责。</w:t>
      </w:r>
      <w:r>
        <w:rPr>
          <w:rFonts w:hint="eastAsia" w:hAnsi="仿宋"/>
        </w:rPr>
        <w:t>全力支持配合中央环保督察开展工作，</w:t>
      </w:r>
      <w:r>
        <w:rPr>
          <w:rFonts w:hAnsi="仿宋"/>
        </w:rPr>
        <w:t>共办理</w:t>
      </w:r>
      <w:r>
        <w:rPr>
          <w:rFonts w:hint="eastAsia" w:hAnsi="仿宋"/>
        </w:rPr>
        <w:t>中央</w:t>
      </w:r>
      <w:r>
        <w:rPr>
          <w:rFonts w:hAnsi="仿宋"/>
        </w:rPr>
        <w:t>环保信访举报件</w:t>
      </w:r>
      <w:r>
        <w:rPr>
          <w:rFonts w:hint="eastAsia" w:hAnsi="仿宋"/>
        </w:rPr>
        <w:t>310件</w:t>
      </w:r>
      <w:r>
        <w:rPr>
          <w:rFonts w:hAnsi="仿宋"/>
        </w:rPr>
        <w:t>，办理市级信访举报件</w:t>
      </w:r>
      <w:r>
        <w:rPr>
          <w:rFonts w:hint="eastAsia" w:hAnsi="仿宋"/>
        </w:rPr>
        <w:t>及生态环境部转办问题</w:t>
      </w:r>
      <w:r>
        <w:rPr>
          <w:rFonts w:hAnsi="仿宋"/>
        </w:rPr>
        <w:t>1</w:t>
      </w:r>
      <w:r>
        <w:rPr>
          <w:rFonts w:hint="eastAsia" w:hAnsi="仿宋"/>
        </w:rPr>
        <w:t>3</w:t>
      </w:r>
      <w:r>
        <w:rPr>
          <w:rFonts w:hAnsi="仿宋"/>
        </w:rPr>
        <w:t>00</w:t>
      </w:r>
      <w:r>
        <w:rPr>
          <w:rFonts w:hint="eastAsia" w:hAnsi="仿宋"/>
        </w:rPr>
        <w:t>余件</w:t>
      </w:r>
      <w:r>
        <w:rPr>
          <w:rFonts w:hAnsi="仿宋"/>
        </w:rPr>
        <w:t>。</w:t>
      </w:r>
      <w:r>
        <w:rPr>
          <w:rFonts w:hint="eastAsia"/>
        </w:rPr>
        <w:t>同时，</w:t>
      </w:r>
      <w:r>
        <w:t>针对中央</w:t>
      </w:r>
      <w:r>
        <w:rPr>
          <w:rFonts w:hint="eastAsia"/>
        </w:rPr>
        <w:t>和市级生态环境保护督察</w:t>
      </w:r>
      <w:r>
        <w:t>反馈的问题，严肃</w:t>
      </w:r>
      <w:r>
        <w:rPr>
          <w:rFonts w:hint="eastAsia"/>
        </w:rPr>
        <w:t>问责</w:t>
      </w:r>
      <w:r>
        <w:t>相关</w:t>
      </w:r>
      <w:r>
        <w:rPr>
          <w:rFonts w:hint="eastAsia"/>
        </w:rPr>
        <w:t>人员。问责镇街村居和相关单位，切实做到责任不落实坚决不放过，问题不解决坚决不放过，整改不到位坚决不放过，决不含糊、决不护短、决不手软，以责任链条倒逼生态环境保护各项工作落实。</w:t>
      </w:r>
    </w:p>
    <w:p w14:paraId="0E913483">
      <w:pPr>
        <w:pStyle w:val="4"/>
      </w:pPr>
      <w:bookmarkStart w:id="16" w:name="_Toc31522"/>
      <w:bookmarkStart w:id="17" w:name="_Toc12460"/>
      <w:r>
        <w:rPr>
          <w:rFonts w:hint="eastAsia"/>
        </w:rPr>
        <w:t>三、区域大气污染防治水平不断提高</w:t>
      </w:r>
      <w:bookmarkEnd w:id="16"/>
      <w:bookmarkEnd w:id="17"/>
    </w:p>
    <w:p w14:paraId="3CD552CE">
      <w:pPr>
        <w:ind w:firstLine="643"/>
      </w:pPr>
      <w:r>
        <w:rPr>
          <w:rFonts w:hint="eastAsia"/>
          <w:b/>
          <w:bCs/>
        </w:rPr>
        <w:t>区域能源结构逐步调整。</w:t>
      </w:r>
      <w:r>
        <w:rPr>
          <w:rFonts w:hint="eastAsia"/>
        </w:rPr>
        <w:t>一是全力做好煤炭清洁化利用，认真做好居民清洁取暖工作，全部完成环内10311户、环外4553户，共计14864户居民清洁取暖改造任务；二是大力推动非化石类能源利用，电力外网建设新设箱站22台，新装变台97座，新立电杆504基，安装FDF箱357个，安装计量箱1633个，敷设高压电缆23315米，敷设低压电缆70092米。同时，加大可再生能源的发电量，利用生活垃圾焚烧发电，2017年全年发电总量7222.24万千瓦时，大力推广光伏等新能源发电，光伏累计发电量为356.4876万千瓦时。三是持续加大商业燃煤治理力度，完成247台商业燃煤设施治理工作，组织各镇、街、开发区对已完成无煤化治理的商业燃煤设施进行回头看专项整治活动，对商户逐一进行拉网式再排查。四是强化煤品质量监管，“十三五”期间无新增煤炭实际经营市场主体，全面排查有照经营户82户，通过宣传教育、督促引导，全区82户煤炭经营户均停止经营活动，完成煤炭实际经营主体“清零”任务。同时，共清理取缔无照煤炭经营点位35个，全区6个煤炭堆场全部停止经营。加大煤炭抽查频次和覆盖面，共抽检散煤、民用成型煤、清洁煤275批次、20.91万吨，其中73批次、2.38万吨不合格，查处煤炭质量不合格案件46件，罚没款96.47万元，销毁不合格煤炭72吨。</w:t>
      </w:r>
    </w:p>
    <w:p w14:paraId="384CD485">
      <w:pPr>
        <w:ind w:firstLine="643"/>
        <w:rPr>
          <w:szCs w:val="32"/>
        </w:rPr>
      </w:pPr>
      <w:r>
        <w:rPr>
          <w:rFonts w:hint="eastAsia"/>
          <w:b/>
          <w:bCs/>
        </w:rPr>
        <w:t>区域空间布局日趋合理。</w:t>
      </w:r>
      <w:r>
        <w:rPr>
          <w:rFonts w:hint="eastAsia"/>
        </w:rPr>
        <w:t>自园区围城整治工作开展以来，北辰区高度重视园区围城整治工作，一方面将其作为落实中央环保督察整改的政治任务，另一方面将其作为推进高质量发展的重要抓手，与生态文明建设、城镇化建设、乡村振兴战略实施相结合，完成全区</w:t>
      </w:r>
      <w:r>
        <w:t>17</w:t>
      </w:r>
      <w:r>
        <w:rPr>
          <w:rFonts w:hint="eastAsia"/>
        </w:rPr>
        <w:t>个整合类园区的审批程序。明确工作任务，推动完成</w:t>
      </w:r>
      <w:r>
        <w:t>6</w:t>
      </w:r>
      <w:r>
        <w:rPr>
          <w:rFonts w:hint="eastAsia"/>
        </w:rPr>
        <w:t>个园区保留、</w:t>
      </w:r>
      <w:r>
        <w:t>17</w:t>
      </w:r>
      <w:r>
        <w:rPr>
          <w:rFonts w:hint="eastAsia"/>
        </w:rPr>
        <w:t>个园区整合任务，完成李房子、张献庄、红光农场、铁锅店、胡园、飞龙工业区、大杨庄和郎园工业区共</w:t>
      </w:r>
      <w:r>
        <w:t>8</w:t>
      </w:r>
      <w:r>
        <w:rPr>
          <w:rFonts w:hint="eastAsia"/>
        </w:rPr>
        <w:t>个园区取缔任务，并已基本完成了取缔园区地上物测绘。</w:t>
      </w:r>
    </w:p>
    <w:p w14:paraId="445D6817">
      <w:pPr>
        <w:ind w:firstLine="643"/>
      </w:pPr>
      <w:r>
        <w:rPr>
          <w:rFonts w:hint="eastAsia"/>
          <w:b/>
          <w:bCs/>
        </w:rPr>
        <w:t>区域产业结构逐步优化。</w:t>
      </w:r>
      <w:r>
        <w:rPr>
          <w:rFonts w:hint="eastAsia"/>
        </w:rPr>
        <w:t>一是推动钢铁产能退出，按照要求积极推动江天重工退出工作，制定完成专项方案，开展了尽职调查、签订框架协议、土地规划调整工作，于2020年底前外迁广西防城港。二是集中整治“散乱污”企业。2</w:t>
      </w:r>
      <w:r>
        <w:t>017</w:t>
      </w:r>
      <w:r>
        <w:rPr>
          <w:rFonts w:hint="eastAsia"/>
        </w:rPr>
        <w:t>年以来</w:t>
      </w:r>
      <w:r>
        <w:t>，</w:t>
      </w:r>
      <w:r>
        <w:rPr>
          <w:rFonts w:hint="eastAsia"/>
        </w:rPr>
        <w:t>共排查“散乱污”企业2136家，并将其中1726家企业纳入关停取缔清单，占全市关停取缔企业的五分之一，力度之大居全市各区之首。逐一深入各镇街开展了多轮次联合执法专项行动，共计完成1726家</w:t>
      </w:r>
      <w:r>
        <w:t>“</w:t>
      </w:r>
      <w:r>
        <w:rPr>
          <w:rFonts w:hint="eastAsia"/>
        </w:rPr>
        <w:t>散乱污</w:t>
      </w:r>
      <w:r>
        <w:t>”</w:t>
      </w:r>
      <w:r>
        <w:rPr>
          <w:rFonts w:hint="eastAsia"/>
        </w:rPr>
        <w:t>企业两断三清</w:t>
      </w:r>
      <w:r>
        <w:t>，</w:t>
      </w:r>
      <w:r>
        <w:rPr>
          <w:rFonts w:hint="eastAsia"/>
        </w:rPr>
        <w:t>搬迁改造企业250家，原地改造企业160家，并建立长效监管机制，严防“散乱污”企业死灰复燃。三是扎实开展危化企业整治工作。制定印发了《北辰区推进城镇人口密集区危险化学品生产企业搬迁改造实施方案》和《北辰区危险化学品生产企业提升改造实施细则》。重点推动完成了盛霖化工安全隐患整改工作，威邦油漆、明佳伟业均已拆除了设备、清空了原料产品。四是关停部分低产能企业。关闭勇钢纸制品等低产能印刷企业，对宜兴埠镇内包装行业进行整顿，中荣科技等大型企业完成治理设施建设。五是着力发展先进制造业。形成了以长荣股份、沃德传动、建科机械等为代表的装备制造产业，以天士力、六中药等为代表的生物医药产业，以中材节能、金牛电源等为代表的新能源新材料，以LG乐金电子为代表的电子信息等优势产业。同时加大招商引资力度，引进了SMC气动元器件、朝亚大数据、爱旭科技等多家战略性新兴产业，进一步优化了产业结构。</w:t>
      </w:r>
    </w:p>
    <w:p w14:paraId="3D741540">
      <w:pPr>
        <w:ind w:firstLine="643"/>
        <w:rPr>
          <w:rFonts w:hAnsi="仿宋_GB2312" w:cs="仿宋_GB2312"/>
        </w:rPr>
      </w:pPr>
      <w:r>
        <w:rPr>
          <w:rFonts w:hint="eastAsia"/>
          <w:b/>
          <w:bCs/>
        </w:rPr>
        <w:t>涉气工业污染治理力度空前。</w:t>
      </w:r>
      <w:r>
        <w:rPr>
          <w:rFonts w:hint="eastAsia" w:hAnsi="仿宋_GB2312" w:cs="仿宋_GB2312"/>
        </w:rPr>
        <w:t>一是持续</w:t>
      </w:r>
      <w:r>
        <w:rPr>
          <w:rFonts w:hint="eastAsia"/>
        </w:rPr>
        <w:t>强化VOCs治理。</w:t>
      </w:r>
      <w:r>
        <w:rPr>
          <w:rFonts w:hint="eastAsia" w:hAnsi="仿宋"/>
        </w:rPr>
        <w:t>在完成</w:t>
      </w:r>
      <w:r>
        <w:rPr>
          <w:rFonts w:hAnsi="仿宋"/>
        </w:rPr>
        <w:t>市级交办</w:t>
      </w:r>
      <w:r>
        <w:rPr>
          <w:rFonts w:hint="eastAsia" w:hAnsi="仿宋"/>
        </w:rPr>
        <w:t>VOCs治理任务的基础上</w:t>
      </w:r>
      <w:r>
        <w:rPr>
          <w:rFonts w:hAnsi="仿宋"/>
        </w:rPr>
        <w:t>，</w:t>
      </w:r>
      <w:r>
        <w:rPr>
          <w:rFonts w:hint="eastAsia"/>
        </w:rPr>
        <w:t>根据第二次污染源普查数据，全部完成204家VOCs企业建档立卡动态更新及新增255家VOCs企业的建档立卡及管理系统填报。推动区域72家涉VOCs企业治理设施升级改造，重点对宜兴埠镇印刷和零部件制造企业、天穆镇零部件制造企业开展排查，共排查出宜兴埠镇涉印刷企业14家、涉VOCs零部件制造企业40家，天穆镇涉VOCs零部件制造企业17家。针对企业存在的治理设施处理效率低、收集效率低等问题，按照“标杆建设、改造提升、优化整合、淘汰退出”的工作要求，分别制定“一企一策”整改方案，推动企业落实整改要求，强化污染物治理，提升产业发展质量。对天穆镇55家零部件制造企业进行关停、前端收集、升级改造等措施，完成296家涉气企业工况用电在线监测装置安装</w:t>
      </w:r>
      <w:r>
        <w:rPr>
          <w:rFonts w:hint="eastAsia" w:hAnsi="仿宋"/>
        </w:rPr>
        <w:t>；</w:t>
      </w:r>
      <w:r>
        <w:rPr>
          <w:rFonts w:hint="eastAsia"/>
        </w:rPr>
        <w:t>二是全面完成燃煤设备清零改造任务。拉网式排查辖区内35蒸吨以下燃煤并全部实现清零。对三家供热站7台35蒸吨以上锅炉全面实施了升级改造，燃煤锅炉改造后均符合大气污染物特别排放限值要求，同时，组织各镇街、开发区开展燃煤锅炉专项执法检查，全面巩固清零成果。三是认真组织推动燃气锅炉低氮改造，</w:t>
      </w:r>
      <w:r>
        <w:rPr>
          <w:rFonts w:hint="eastAsia" w:hAnsi="仿宋_GB2312" w:cs="仿宋_GB2312"/>
        </w:rPr>
        <w:t>超额完成全市既定工作目标。四是深入开展餐饮油烟服务行业专项治理，共计完成1004家餐饮油烟服务行业，完成73家机关事业单位油烟净化设施排查工作，组织推动201家餐饮油烟服务行业安装在线监控设施。</w:t>
      </w:r>
    </w:p>
    <w:p w14:paraId="6DA8A027">
      <w:pPr>
        <w:ind w:firstLine="643"/>
      </w:pPr>
      <w:r>
        <w:rPr>
          <w:rFonts w:hint="eastAsia"/>
          <w:b/>
          <w:bCs/>
        </w:rPr>
        <w:t>区域扬尘治理效果斐然。</w:t>
      </w:r>
      <w:r>
        <w:rPr>
          <w:rFonts w:hint="eastAsia"/>
        </w:rPr>
        <w:t>全面核查企业封闭料场、防风抑尘网等抑尘措施落实情况，坚持对重点区域以及全区隔离施工工地开展不间断巡查检查，督促施工单位严格落实“六个百分之百”降尘措施。合理安排区域道路喷雾、洒水、湿扫频次，采购各类大、中型机扫水洗车辆10余部、小型机扫车20余部，全区主次干道机扫水洗率达到100%，全面完成全部新增的902块裸地治理工作任务。在建成区范围内推行“环卫一体化”。统一建成区范围内环卫作业标准，全面提升管理运行水平，在充分汲取先进地区经验基础上，将建成区范围内道路扫保、垃圾清运、绿地捡拾、公厕、转运站运行、小广告治理等工作内容统一打包推向市场化运作。截至目前，一体化范围内的260余条道路已经实现机扫水洗全覆盖，实现机扫水洗率100%。</w:t>
      </w:r>
    </w:p>
    <w:p w14:paraId="56F5A414">
      <w:pPr>
        <w:ind w:firstLine="643"/>
      </w:pPr>
      <w:r>
        <w:rPr>
          <w:rFonts w:hint="eastAsia" w:hAnsi="仿宋_GB2312" w:cs="仿宋_GB2312"/>
          <w:b/>
          <w:bCs/>
        </w:rPr>
        <w:t>区域移动源污染治理监管落实到位。</w:t>
      </w:r>
      <w:r>
        <w:rPr>
          <w:rFonts w:hint="eastAsia"/>
        </w:rPr>
        <w:t>联合交警支队组成联合执法队伍，进一步增加上路执法频次，“十三五”期间，累计道路拦检检测柴油车12000余辆，处罚2436辆。持续加强移动源遥测检测点位建设，累计建成移动源固定检测门站2座、移动门站1座，利用门站与遥测车开展机动车尾气遥测工作，遥测车辆60余万辆；持续开展重型柴油车“大户制”管理，完善监管平台，与全部144家签订环保达标承诺书，定期检查抽测138辆。与交警联合路检检测柴油车4150辆，处罚1392辆，利用监测车和固定站遥测机动车31余万辆，责令工地18台不合格非道路移动机械退场。划定高排放非道路移动机械禁用区，深入全区各类施工工地，检测非道路移动机械1301台，及时责令不合格机械处罚退场。持续加强对4S店、验车机构和加油站等的检查。不断加强区域油品质量监管，累计出动执法人员1336人次，巡查加油站668家次，累计开展市级专项抽检452批次，其中抽检92号、95号、98号汽油共287批次，抽检0号柴油165批次,共1家加油站2批次油品质量不合格，</w:t>
      </w:r>
      <w:r>
        <w:rPr>
          <w:rFonts w:hint="eastAsia"/>
          <w:lang w:val="zh-CN"/>
        </w:rPr>
        <w:t>没收不符合保障人体健康和人身、财产安全的国家标准的车用乙醇汽油（E10）（ⅥA）5.4吨，罚款75813.39元。依托区级质量抽检，加强车用油品和尿素质量监管。累计抽检92号、95号、98号汽油共计627批次，抽检0号柴油199批次，抽检车用尿素1</w:t>
      </w:r>
      <w:r>
        <w:rPr>
          <w:color w:val="000000"/>
          <w:lang w:val="zh-CN"/>
        </w:rPr>
        <w:t>5</w:t>
      </w:r>
      <w:r>
        <w:rPr>
          <w:rFonts w:hint="eastAsia"/>
          <w:color w:val="000000"/>
          <w:lang w:val="zh-CN"/>
        </w:rPr>
        <w:t>批次，共</w:t>
      </w:r>
      <w:r>
        <w:rPr>
          <w:color w:val="000000"/>
          <w:lang w:val="zh-CN"/>
        </w:rPr>
        <w:t>1</w:t>
      </w:r>
      <w:r>
        <w:rPr>
          <w:rFonts w:hint="eastAsia"/>
          <w:color w:val="000000"/>
          <w:lang w:val="zh-CN"/>
        </w:rPr>
        <w:t>家加油站</w:t>
      </w:r>
      <w:r>
        <w:rPr>
          <w:color w:val="000000"/>
          <w:lang w:val="zh-CN"/>
        </w:rPr>
        <w:t>1</w:t>
      </w:r>
      <w:r>
        <w:rPr>
          <w:rFonts w:hint="eastAsia"/>
          <w:color w:val="000000"/>
          <w:lang w:val="zh-CN"/>
        </w:rPr>
        <w:t>批次油品质量不合格，罚款</w:t>
      </w:r>
      <w:r>
        <w:rPr>
          <w:color w:val="000000"/>
          <w:lang w:val="zh-CN"/>
        </w:rPr>
        <w:t>79723.4</w:t>
      </w:r>
      <w:r>
        <w:rPr>
          <w:rFonts w:hint="eastAsia"/>
          <w:color w:val="000000"/>
          <w:lang w:val="zh-CN"/>
        </w:rPr>
        <w:t>元。同时，</w:t>
      </w:r>
      <w:r>
        <w:rPr>
          <w:rFonts w:hint="eastAsia"/>
          <w:lang w:val="zh-CN"/>
        </w:rPr>
        <w:t>严厉</w:t>
      </w:r>
      <w:r>
        <w:rPr>
          <w:rFonts w:hint="eastAsia"/>
        </w:rPr>
        <w:t>打击非法加油站，对全区在营、在建（改造）的加油站、油库进行全面检查，强化宣传引导，印发了打非宣传资料6000余份，悬挂条幅300余条。</w:t>
      </w:r>
    </w:p>
    <w:p w14:paraId="7A2F7065">
      <w:pPr>
        <w:ind w:firstLine="643"/>
      </w:pPr>
      <w:r>
        <w:rPr>
          <w:rFonts w:hint="eastAsia"/>
          <w:b/>
          <w:bCs/>
        </w:rPr>
        <w:t>区域重污染天气应对妥善有效。</w:t>
      </w:r>
      <w:r>
        <w:rPr>
          <w:rFonts w:hint="eastAsia"/>
        </w:rPr>
        <w:t>逐年修改完善《北辰区重污染天气应急保障实施方案》明确各镇、街、开发区、职能部门的职责，督查和检查重点排污企业落实重污染天气应急保障预案。对在重污染天气应急响应中被曝光的点位依考核办法提出了问责意见。修订《北辰区重污染天气应急保障实施方案》，对3家重点企业、130家一般企业、60个各类工地逐一落实停限产要求，实施清单化管理，全力削减污染峰值。补充完善重污染天气应急减排企业清单，以第二次污染源普查现有成果为依托，将1065家企业、188个施工工地纳入应急减排清单，做到涉气排放企业应纳尽纳，逐一制定减排措施，确保减排方式有实效、易核查。</w:t>
      </w:r>
    </w:p>
    <w:p w14:paraId="4535C71F">
      <w:pPr>
        <w:pStyle w:val="4"/>
      </w:pPr>
      <w:bookmarkStart w:id="18" w:name="_Toc11565"/>
      <w:bookmarkStart w:id="19" w:name="_Toc24527"/>
      <w:r>
        <w:rPr>
          <w:rFonts w:hint="eastAsia"/>
        </w:rPr>
        <w:t>四、区域水环境污染防治稳中向好</w:t>
      </w:r>
      <w:bookmarkEnd w:id="18"/>
      <w:bookmarkEnd w:id="19"/>
    </w:p>
    <w:p w14:paraId="40FFFC12">
      <w:pPr>
        <w:ind w:firstLine="643"/>
      </w:pPr>
      <w:r>
        <w:rPr>
          <w:rFonts w:hint="eastAsia"/>
          <w:b/>
          <w:bCs/>
        </w:rPr>
        <w:t>涉水污染源监督管控到位。</w:t>
      </w:r>
      <w:r>
        <w:rPr>
          <w:rFonts w:hint="eastAsia"/>
        </w:rPr>
        <w:t>全面加强区域涉水污染源监督管理，“十三五”规划实施期间，升级改造治理416家涉水企业。安装自动在线监控设备31家重点涉水企业及5座污水处理厂，持续监管5座集中式污水处理厂和重点水污染物排放单位，定期现场检查设施运行状况和运行记录，完成T</w:t>
      </w:r>
      <w:r>
        <w:t>P</w:t>
      </w:r>
      <w:r>
        <w:rPr>
          <w:rFonts w:hint="eastAsia"/>
        </w:rPr>
        <w:t>、T</w:t>
      </w:r>
      <w:r>
        <w:t>N</w:t>
      </w:r>
      <w:r>
        <w:rPr>
          <w:rFonts w:hint="eastAsia"/>
        </w:rPr>
        <w:t>在线监测联网。</w:t>
      </w:r>
    </w:p>
    <w:p w14:paraId="54598C24">
      <w:pPr>
        <w:ind w:firstLine="643"/>
      </w:pPr>
      <w:r>
        <w:rPr>
          <w:rFonts w:hint="eastAsia"/>
          <w:b/>
          <w:bCs/>
        </w:rPr>
        <w:t>区域地表水水质监控网络日趋完善。</w:t>
      </w:r>
      <w:r>
        <w:rPr>
          <w:rFonts w:hint="eastAsia"/>
        </w:rPr>
        <w:t>累计建设完成14座区级地表水水质监控系统和6座市级地表水水质监控系统，建设完成3座市级考核断面自动站，为提升区域水环境质量，精确打击社会违法行为提供靶向性依据。</w:t>
      </w:r>
    </w:p>
    <w:p w14:paraId="0CBD7F94">
      <w:pPr>
        <w:ind w:firstLine="643"/>
      </w:pPr>
      <w:r>
        <w:rPr>
          <w:rFonts w:hint="eastAsia"/>
          <w:b/>
          <w:bCs/>
        </w:rPr>
        <w:t>饮用水水源地环境安全保障严格。</w:t>
      </w:r>
      <w:r>
        <w:rPr>
          <w:rFonts w:hint="eastAsia"/>
        </w:rPr>
        <w:t>组织划定引滦明渠饮用水源保护区，加强引滦、南水北调输水沿线巡查整治力度，每月开展2次巡查，建立巡查台账。完成引滦输水明渠饮用水水源保护区和41个千人以上农村集中式地下水饮用水源地保护区划定工作，对划定后的保护区开展问题整治。加强引滦入津、南水北调等调水工程沿线水质保护。拆除引滦明渠周边及沿线实施污口封堵、村落治理和违法建筑。管理引滦入津、南水北调等调水工程规范水源保护区，强化输水沿线监管，严格控制水源保护区的建设项目及其他活动。根据千人以上农村集中式饮用水水源保护区划定，核定千人以上农村集中式饮用水水源地基础信息，建立基础信息台账。完成农村饮水提质增效工程，完成27个村村内管网建设。</w:t>
      </w:r>
    </w:p>
    <w:p w14:paraId="6C93C344">
      <w:pPr>
        <w:ind w:firstLine="643"/>
      </w:pPr>
      <w:r>
        <w:rPr>
          <w:rFonts w:hint="eastAsia"/>
          <w:b/>
          <w:bCs/>
        </w:rPr>
        <w:t>城镇污水处理能力明显提升。</w:t>
      </w:r>
      <w:r>
        <w:rPr>
          <w:rFonts w:hint="eastAsia"/>
        </w:rPr>
        <w:t>加快城镇污水处理设施建设和改造。“十三五”期间完成大双污水处理厂和双青污水处理厂提标及扩建项目，推动实施新区污水处理厂建设。全区污水处理能力由24万吨/日提升至37万吨/日，出水水质全部达到《天津市城镇污水处理厂污染物排放标准》（DB12/599-2015）中A标准。</w:t>
      </w:r>
    </w:p>
    <w:p w14:paraId="73309CD4">
      <w:pPr>
        <w:ind w:firstLine="643"/>
      </w:pPr>
      <w:r>
        <w:rPr>
          <w:rFonts w:hint="eastAsia"/>
          <w:b/>
          <w:bCs/>
        </w:rPr>
        <w:t>区域黑臭水体治理稳步推进。</w:t>
      </w:r>
      <w:r>
        <w:rPr>
          <w:rFonts w:hint="eastAsia"/>
        </w:rPr>
        <w:t>统筹全区涉水工程任务，有机结合全域清洁化工作，确保岸线垃圾的及时清运；结合拆违工作，减少水体周边的污染源。拆除北仓片区22万余平，王秦庄片区12万余平，彻底切断污染水体源头；结合农村户厕改造，减少沿线粪污直排；结合农村截污控污工程，实现生活污水进管网有处理。编制印发《黑臭水体治理导则》，定期取水监测区域内黑臭水体。完成治理117条黑臭水体，基本消除黑臭水体。</w:t>
      </w:r>
    </w:p>
    <w:p w14:paraId="5F14DE0D">
      <w:pPr>
        <w:ind w:firstLine="643"/>
      </w:pPr>
      <w:r>
        <w:rPr>
          <w:rFonts w:hint="eastAsia" w:hAnsi="仿宋"/>
          <w:b/>
          <w:bCs/>
        </w:rPr>
        <w:t>管网空白区问题取得阶段成效。</w:t>
      </w:r>
      <w:r>
        <w:rPr>
          <w:rFonts w:hint="eastAsia"/>
        </w:rPr>
        <w:t>完成37个村庄和12个村级工业集聚区管网空白区整改工作，确保整改工作取得阶段性成效，区域水环境质量得到进一步改善。</w:t>
      </w:r>
    </w:p>
    <w:p w14:paraId="367ABDC0">
      <w:pPr>
        <w:ind w:firstLine="643"/>
      </w:pPr>
      <w:r>
        <w:rPr>
          <w:rFonts w:hint="eastAsia" w:hAnsi="PMingLiU-ExtB" w:cs="仿宋_GB2312"/>
          <w:b/>
        </w:rPr>
        <w:t>引滦明渠占压难题逐步破解。</w:t>
      </w:r>
      <w:r>
        <w:rPr>
          <w:rFonts w:hint="eastAsia"/>
        </w:rPr>
        <w:t>针对宜兴埠泵站周边及输水沿线占压和万达轮胎厂违规排污问题，制定综合治理方案，推动宜兴埠水源地管理所周边及沿线4条供水管线红线范围占压情况综合治理。对万达轮胎厂闲置污水处理设施行为处罚17.3万元，对废水超标排放行为处罚款30.1万元，并责令立即改正，企业修复了污水处理设施，完成污水排放口市政管网污水回流问题整改，实现达标排放。同时公安部门对企业8名责任人处以行政拘留。同时超额完成占压建筑物拆除及其他整治工作。完成引滦沿线17座鱼塘治理任务；宜兴埠泵站周边及4条出水管线和18.7公里引滦暗渠红线保护范围内17万余平米占压建筑物已全部拆除，拆迁建筑垃圾清理完毕。引滦宜兴埠泵站所属DN2000、DN2600管线切改工程由市水务集团引滦市区分公司建设完毕，并正式通水使用，沿线隔离围栏及绿化工程已全部完工，确保了全市饮用水水源安全。</w:t>
      </w:r>
    </w:p>
    <w:p w14:paraId="470CF2EB">
      <w:pPr>
        <w:ind w:firstLine="643"/>
      </w:pPr>
      <w:r>
        <w:rPr>
          <w:rFonts w:hint="eastAsia" w:hAnsi="仿宋" w:cs="仿宋"/>
          <w:b/>
        </w:rPr>
        <w:t>河湖长制全面推行。</w:t>
      </w:r>
      <w:r>
        <w:rPr>
          <w:rFonts w:hint="eastAsia"/>
        </w:rPr>
        <w:t>进一步完善河（湖）长制体系建设，实现区域水体全部纳管要求。完成河长制组织机构建设，成立北辰区河长制事务中心。统筹巡河力量，建立立体巡查机制，确保河湖问题得到及时整改。推动河湖岸线管理到位。完成区管河湖蓝线划定工作。提前实施并完成区管河湖管理范围划定和界桩设立工作。同时按要求开展河湖“清四乱”专项行动，完成全区共计477个“四乱”点位销号任务。据统计行动共出动人力5642人次，机械2430台次，采取联合执法大行动16次，总计拆除构建筑物686处，近50万余平。为实现河湖岸线健康，拆除市水务局下达点位以外房屋135处，面积达11万余平米。</w:t>
      </w:r>
    </w:p>
    <w:p w14:paraId="2F462636">
      <w:pPr>
        <w:pStyle w:val="4"/>
      </w:pPr>
      <w:bookmarkStart w:id="20" w:name="_Toc29823"/>
      <w:bookmarkStart w:id="21" w:name="_Toc5547"/>
      <w:r>
        <w:rPr>
          <w:rFonts w:hint="eastAsia"/>
        </w:rPr>
        <w:t>五、土壤污染防治逐步成熟</w:t>
      </w:r>
      <w:bookmarkEnd w:id="20"/>
      <w:bookmarkEnd w:id="21"/>
    </w:p>
    <w:p w14:paraId="5219D428">
      <w:pPr>
        <w:ind w:firstLine="643"/>
      </w:pPr>
      <w:r>
        <w:rPr>
          <w:rFonts w:hint="eastAsia" w:hAnsi="仿宋_GB2312" w:cs="仿宋_GB2312"/>
          <w:b/>
          <w:bCs/>
        </w:rPr>
        <w:t>区域土壤管理日趋规范。</w:t>
      </w:r>
      <w:r>
        <w:rPr>
          <w:rFonts w:hint="eastAsia"/>
        </w:rPr>
        <w:t>完善全国污染地块土壤环境管理系统信息，动态更新疑似污染地块名单，对新增65个进行场地调查的地块全部书面通知。组织召开大张庄示范镇永进道以北栖凤小镇居住项目9等41个地块的土壤污染状况初步调查专家评审会，出具审查意见。配合市生态局开展土壤污染状况详查，已完成农用地土壤详查工作涉及北辰区详查单元59个，核实农用地详查点位374个，全面开展重点行业企业用地基础信息采集工作。</w:t>
      </w:r>
    </w:p>
    <w:p w14:paraId="653ED7FF">
      <w:pPr>
        <w:ind w:firstLine="643"/>
        <w:rPr>
          <w:rFonts w:hAnsi="仿宋_GB2312" w:cs="仿宋_GB2312"/>
        </w:rPr>
      </w:pPr>
      <w:r>
        <w:rPr>
          <w:rFonts w:hint="eastAsia" w:cs="Times New Roman"/>
          <w:b/>
          <w:bCs/>
        </w:rPr>
        <w:t>重点污染地块治理修复有序。</w:t>
      </w:r>
      <w:r>
        <w:rPr>
          <w:rFonts w:hint="eastAsia" w:cs="Times New Roman"/>
        </w:rPr>
        <w:t>推动</w:t>
      </w:r>
      <w:r>
        <w:rPr>
          <w:rFonts w:hint="eastAsia"/>
        </w:rPr>
        <w:t>天重三期地块、危化品库地块、荣国路（安康）地块的修复方案制定及场地治理修复工作开展；建立健全农药厂地块、铬渣污染地块“周调度，月巡查”机制，协调治理主体渤化集团，推动农药厂地块治理修复工作，生态环境部门组织区住建委、司法局、土地整理中心、北仓镇等相关部门召开了118次周例会，协调农药厂地修复工作问题，全力推动修复工作开展，农药厂地块治理修复工作累计开展污染土修复158.15919万方，占修复工程总量（158.15919万方）的100%；修复效果第三方检测合格100.5万方，占修复工程总量（158.15919万方）的63.54%。有序推动北辰铬渣污染地块治理修复，已完成修复技术方案的编制。积极推动有机化工一厂地块治理，已全面完成地上物拆除、渣土运输和场地平整工作。</w:t>
      </w:r>
    </w:p>
    <w:p w14:paraId="7BEC0960">
      <w:pPr>
        <w:ind w:firstLine="643"/>
      </w:pPr>
      <w:r>
        <w:rPr>
          <w:rFonts w:hint="eastAsia"/>
          <w:b/>
          <w:bCs/>
        </w:rPr>
        <w:t>危险废弃物监督管理更加严格。</w:t>
      </w:r>
      <w:r>
        <w:rPr>
          <w:rFonts w:hint="eastAsia" w:hAnsi="仿宋"/>
        </w:rPr>
        <w:t>按照《固体废物污染环境防治法》要求，逐年</w:t>
      </w:r>
      <w:r>
        <w:rPr>
          <w:rFonts w:hint="eastAsia"/>
        </w:rPr>
        <w:t>制定北辰区危险废物规范化管理工作方案，建立重点危险废物产生单位监管名单，对152家重点产废单位进行危险废物规范化管理培训，转移危险废物143939.85吨。组织对63家产废单位进行考核，结果全部达标。积极开展医疗废弃物监管工作开展，指导医疗机构做好医疗废弃物处置转移工作。</w:t>
      </w:r>
    </w:p>
    <w:p w14:paraId="451A76DD">
      <w:pPr>
        <w:ind w:firstLine="643"/>
      </w:pPr>
      <w:r>
        <w:rPr>
          <w:rFonts w:hint="eastAsia"/>
          <w:b/>
          <w:bCs/>
        </w:rPr>
        <w:t>垃圾处置能力水平逐步提升。</w:t>
      </w:r>
      <w:r>
        <w:rPr>
          <w:rFonts w:hint="eastAsia"/>
        </w:rPr>
        <w:t>按照重点工作责任清单，扎实推进焚烧厂建设、垃圾分类和非正规垃圾堆放点排查整治工作。届时每天可焚烧处理垃圾2250吨，日最大处理能力达到3000吨，处理餐厨垃圾200吨，以彻底解决北辰及红桥、河北、西青、武清等兄弟区生活垃圾处理问题，并彻底解决北辰餐厨垃圾处理问题，确保生活垃圾无害化处理率达到100%。垃圾分类工作已完成114个社区（含12个精品示范社区）、2家医院</w:t>
      </w:r>
      <w:r>
        <w:rPr>
          <w:rFonts w:hint="eastAsia"/>
          <w:b/>
          <w:bCs/>
        </w:rPr>
        <w:t>、</w:t>
      </w:r>
      <w:r>
        <w:rPr>
          <w:rFonts w:hint="eastAsia"/>
        </w:rPr>
        <w:t>3所学校、3个政府机关、5个示范村庄、1个部队营区示范建设工作，累计开展社区宣传127次、大型主题宣传活动20次。全区31处非正规垃圾堆放点已全部完成整改并经市级部门现场验收合格，在住建部非正规垃圾整治工作平台申报销号。</w:t>
      </w:r>
    </w:p>
    <w:p w14:paraId="67B77EAD">
      <w:pPr>
        <w:ind w:firstLine="643"/>
      </w:pPr>
      <w:r>
        <w:rPr>
          <w:rFonts w:hint="eastAsia"/>
          <w:b/>
          <w:bCs/>
        </w:rPr>
        <w:t>农村生活垃圾收运体系建设初具成效。</w:t>
      </w:r>
      <w:r>
        <w:rPr>
          <w:rFonts w:hint="eastAsia"/>
        </w:rPr>
        <w:t>根据区全域清洁化领导小组统揽全域清洁工程资金使用情况，明确了村庄保洁员队伍建设管理、保洁设施设备配备和日常管理、农村垃圾长效管护机制建设等任务。涉农区域现有垃圾转运箱986个，垃圾桶14240个，侧翻通车57台，三轮垃圾清运车67台，勾臂车53台，垃圾转运车71台，其他扫保设备442台件，服务6万余户村民。扫保配套设施基本满足“户集、村收、镇运、区处理”收运体系处理能力。在此基础上，结合农村全域清洁化工作开展，原清洁村庄保洁人员比例由原先5‰提升至7‰，人员由1063人增加至1471人，保障了村庄生活垃圾日产日清。</w:t>
      </w:r>
    </w:p>
    <w:p w14:paraId="0526D393">
      <w:pPr>
        <w:ind w:firstLine="643"/>
      </w:pPr>
      <w:r>
        <w:rPr>
          <w:rFonts w:hint="eastAsia" w:hAnsi="仿宋_GB2312" w:cs="仿宋_GB2312"/>
          <w:b/>
          <w:bCs/>
        </w:rPr>
        <w:t>地下水污染防治持续推进。</w:t>
      </w:r>
      <w:r>
        <w:rPr>
          <w:rFonts w:hint="eastAsia"/>
        </w:rPr>
        <w:t>为防止地下水串层污染，严格控制地下水开采。坚持“节”“调”“控”“管”多措并举，推动成立区工作领导小组，建立健全防治管理体系。区水务局组织各镇、街、开发区对全区报废水井进行了多次地毯式排查，针对排查出的报废机井，实施废井回填工程，</w:t>
      </w:r>
      <w:r>
        <w:t>累计回填</w:t>
      </w:r>
      <w:r>
        <w:rPr>
          <w:rFonts w:hint="eastAsia"/>
        </w:rPr>
        <w:t>94</w:t>
      </w:r>
      <w:r>
        <w:t>9眼报废机井。同时，对区内3409家企事业单位进行地下水水源转换工程，完成投资26146万元。</w:t>
      </w:r>
      <w:r>
        <w:rPr>
          <w:rFonts w:hint="eastAsia"/>
        </w:rPr>
        <w:t>积极推动全区加油站开展地下双层储油罐改造，342个站点已全部完成改造。</w:t>
      </w:r>
    </w:p>
    <w:p w14:paraId="6BCAB0E9">
      <w:pPr>
        <w:pStyle w:val="4"/>
      </w:pPr>
      <w:bookmarkStart w:id="22" w:name="_Toc4311"/>
      <w:bookmarkStart w:id="23" w:name="_Toc25341"/>
      <w:r>
        <w:rPr>
          <w:rFonts w:hint="eastAsia"/>
        </w:rPr>
        <w:t>六、环境监管服务效能持续提升</w:t>
      </w:r>
      <w:bookmarkEnd w:id="22"/>
      <w:bookmarkEnd w:id="23"/>
    </w:p>
    <w:p w14:paraId="063E294E">
      <w:pPr>
        <w:ind w:firstLine="643"/>
      </w:pPr>
      <w:r>
        <w:rPr>
          <w:rFonts w:hint="eastAsia"/>
          <w:b/>
          <w:bCs/>
        </w:rPr>
        <w:t>排污许可证审核发放工作有序开展。</w:t>
      </w:r>
      <w:r>
        <w:rPr>
          <w:rFonts w:hint="eastAsia"/>
        </w:rPr>
        <w:t>全面启动排污许可证核发工作，按照新版《排污许可分类管理名录》，结合第二次污染源普查数据，安排各属地镇街园区对申领企业进行了汇总。确定235家拟申请企业初步名单，并按照重点、简化、登记管理范围逐一进行了核实。对汽车、家具、表面处理、锅炉、建材、饮料乳制品、食品等主要行业分别组织开展填报培训。完成审核家具行业企业38家，建材行业企业6家，汽车行业企业22家。</w:t>
      </w:r>
    </w:p>
    <w:p w14:paraId="22BCC963">
      <w:pPr>
        <w:ind w:firstLine="643"/>
        <w:rPr>
          <w:rFonts w:hAnsi="仿宋_GB2312" w:cs="仿宋_GB2312"/>
        </w:rPr>
      </w:pPr>
      <w:r>
        <w:rPr>
          <w:rFonts w:hint="eastAsia" w:hAnsi="仿宋_GB2312" w:cs="仿宋_GB2312"/>
          <w:b/>
          <w:bCs/>
        </w:rPr>
        <w:t>第二次全国污染源普查全面开展。</w:t>
      </w:r>
      <w:r>
        <w:rPr>
          <w:rFonts w:hint="eastAsia"/>
        </w:rPr>
        <w:t>北辰区污普办成立可全面掌握北辰区污染现状，查清各类污染源情况。制定《北辰区第二次污染源普查方案》，建立涵括各镇街、开发区和相关委局等共40家成员单位的工作组织架构。按照“进度控制优先、任务同步推进、协调督办并行”的原则有序开展各项工作。制定《北辰区第二次污染源普查方案》，建立工作组织架构，逐步完成前期准备、清查建库和数据采集三个阶段的工作。完成</w:t>
      </w:r>
      <w:r>
        <w:rPr>
          <w:rFonts w:hint="eastAsia" w:hAnsi="仿宋_GB2312" w:cs="仿宋_GB2312"/>
        </w:rPr>
        <w:t>“北辰区第二次污染源普查清查底册”、“北辰区第二次污染源普查名录库”、“北辰区第二次污染源</w:t>
      </w:r>
      <w:r>
        <w:rPr>
          <w:rFonts w:hint="eastAsia"/>
        </w:rPr>
        <w:t>普查数据库”等工作，摸清了全区工业源（</w:t>
      </w:r>
      <w:r>
        <w:t>3465</w:t>
      </w:r>
      <w:r>
        <w:rPr>
          <w:rFonts w:hint="eastAsia"/>
        </w:rPr>
        <w:t>家工业企业、</w:t>
      </w:r>
      <w:r>
        <w:t>2</w:t>
      </w:r>
      <w:r>
        <w:rPr>
          <w:rFonts w:hint="eastAsia"/>
        </w:rPr>
        <w:t>个产业园区）、农业源（</w:t>
      </w:r>
      <w:r>
        <w:t>70</w:t>
      </w:r>
      <w:r>
        <w:rPr>
          <w:rFonts w:hint="eastAsia"/>
        </w:rPr>
        <w:t>家规模化畜禽养殖场）、生活源（</w:t>
      </w:r>
      <w:r>
        <w:t>65</w:t>
      </w:r>
      <w:r>
        <w:rPr>
          <w:rFonts w:hint="eastAsia"/>
        </w:rPr>
        <w:t>家生活源锅炉、</w:t>
      </w:r>
      <w:r>
        <w:t>38</w:t>
      </w:r>
      <w:r>
        <w:rPr>
          <w:rFonts w:hint="eastAsia"/>
        </w:rPr>
        <w:t>个入河排污口、</w:t>
      </w:r>
      <w:r>
        <w:t>255</w:t>
      </w:r>
      <w:r>
        <w:rPr>
          <w:rFonts w:hint="eastAsia"/>
        </w:rPr>
        <w:t>个社区或村）、移动源（</w:t>
      </w:r>
      <w:r>
        <w:t>65</w:t>
      </w:r>
      <w:r>
        <w:rPr>
          <w:rFonts w:hint="eastAsia"/>
        </w:rPr>
        <w:t>座加油站、</w:t>
      </w:r>
      <w:r>
        <w:t>3</w:t>
      </w:r>
      <w:r>
        <w:rPr>
          <w:rFonts w:hint="eastAsia"/>
        </w:rPr>
        <w:t>家油品运输企业）和</w:t>
      </w:r>
      <w:r>
        <w:t>13</w:t>
      </w:r>
      <w:r>
        <w:rPr>
          <w:rFonts w:hint="eastAsia"/>
        </w:rPr>
        <w:t>家集中式污染治理设施的基本情况，初步核算了污染物排放量。通过系统验证、交叉验证、专家验证等多重方式，不断提升普查</w:t>
      </w:r>
      <w:r>
        <w:rPr>
          <w:rFonts w:hint="eastAsia" w:hAnsi="仿宋_GB2312" w:cs="仿宋_GB2312"/>
        </w:rPr>
        <w:t>数据库的质量。</w:t>
      </w:r>
    </w:p>
    <w:p w14:paraId="3CAF0A6E">
      <w:pPr>
        <w:ind w:firstLine="643"/>
      </w:pPr>
      <w:r>
        <w:rPr>
          <w:rFonts w:hint="eastAsia"/>
          <w:b/>
          <w:bCs/>
        </w:rPr>
        <w:t>“环保管家”服务模式率先启动。</w:t>
      </w:r>
      <w:r>
        <w:rPr>
          <w:rFonts w:hint="eastAsia"/>
        </w:rPr>
        <w:t>与光大环保合作，为政府和企业提供一站式综合环保服务，补充环境管理力量，提升环境保护水平。建立了周报、月报、整改监督反馈机制和问题处理基本流程，探索建立全区重点精细化管控模式，结合北辰区实际情况，编制《北辰区重点排污企业环境守法行为评分方法》、《北辰区区域环境质量对策分析报告》、建立北辰区环境事故应急专家库。针对全区74家金属制品、家具制造、制药等重点行业企业，开展现场帮扶指导工作，已对9家国控源企业完成12轮指导服务，对其余非国控源企业完成4轮指导服务，协助企业完成202项环保问题整改，对37家强化督查组及52家中央督查组曝光问题企业整改工作进行现场指导，为环境精准执法提供依据。</w:t>
      </w:r>
    </w:p>
    <w:p w14:paraId="74D7AA1D">
      <w:pPr>
        <w:ind w:firstLine="643"/>
      </w:pPr>
      <w:r>
        <w:rPr>
          <w:rFonts w:hint="eastAsia" w:hAnsi="仿宋_GB2312" w:cs="仿宋_GB2312"/>
          <w:b/>
          <w:bCs/>
        </w:rPr>
        <w:t>生态环境保护宣传教育氛围浓厚。</w:t>
      </w:r>
      <w:r>
        <w:rPr>
          <w:rFonts w:hint="eastAsia"/>
        </w:rPr>
        <w:t>每年度编制《北辰区环境教育工作安排意见》，并将生态环境保护宣传教育工作纳入绩效考核范围，协调推动各镇街、开发区和各委局加强环境宣传教育。突出主题、围绕重点，深入社区开展世界地球日、世界水日等宣传活动；以校园为平台，每年固定举办开展“我是小小生态环境局长”活动；走进天士力幼儿园等3家施工工地和天重江天、灯塔涂料等企业进行“入户”，对管理人员和一线工人进行环保宣讲；联合区委宣传部、区文明办以不同主题开展“六五环境日环境教育宣传周”活动，扩大环保宣传影响力。以镇街、园区为单位组织企业集中培训，覆盖全区各区域、各领域、各行业企业。</w:t>
      </w:r>
    </w:p>
    <w:p w14:paraId="7FD88377">
      <w:pPr>
        <w:ind w:firstLine="643"/>
      </w:pPr>
      <w:r>
        <w:rPr>
          <w:rFonts w:hint="eastAsia"/>
          <w:b/>
          <w:bCs/>
        </w:rPr>
        <w:t>环境执法力度从实从严。</w:t>
      </w:r>
      <w:r>
        <w:rPr>
          <w:rFonts w:hint="eastAsia"/>
        </w:rPr>
        <w:t>坚持“双随机、一公开”制度，以重点企业全覆盖、一般企业和建设项目“双随机”为基本方式，突出监管划重点、提高执法效率，积极开展各类执法专项行动，严厉打击各类生态环境保护违法行为。“十三五”期间，共立案1579件，下达处罚决定1092件。移送行政拘留案件42件，移送犯罪案件19件。坚持365天24小时信访受理制度，累计受理各类环境信访问题12689件，确保按时接单、按时办结，达到群众满意。</w:t>
      </w:r>
    </w:p>
    <w:p w14:paraId="078C5238">
      <w:pPr>
        <w:pStyle w:val="3"/>
        <w:spacing w:before="156" w:after="156"/>
      </w:pPr>
      <w:bookmarkStart w:id="24" w:name="_Toc10890"/>
      <w:bookmarkStart w:id="25" w:name="_Toc7824"/>
      <w:bookmarkStart w:id="26" w:name="_Toc2189"/>
      <w:bookmarkStart w:id="27" w:name="_Toc55464490"/>
      <w:bookmarkStart w:id="28" w:name="_Toc72504249"/>
      <w:r>
        <w:rPr>
          <w:rFonts w:hint="eastAsia"/>
        </w:rPr>
        <w:t>第二节 环境保护“十三五”规划实施期间存在问题</w:t>
      </w:r>
      <w:bookmarkEnd w:id="24"/>
      <w:bookmarkEnd w:id="25"/>
      <w:bookmarkEnd w:id="26"/>
      <w:bookmarkEnd w:id="27"/>
      <w:bookmarkEnd w:id="28"/>
    </w:p>
    <w:p w14:paraId="270578C1">
      <w:r>
        <w:rPr>
          <w:rFonts w:hint="eastAsia"/>
        </w:rPr>
        <w:t>“十三五”规划实施以来，全区上下在环境污染治理工作中负重前行，面对生态环境改善的严峻形势，不畏难、不服输，在环境污染治理上取得了一定成效。但是，北辰区生态环境保护工作基础薄弱，企业众多，环境承载能力已近上限，区域生态环境保护水平仍相对落后，生态环境质量距离人民群众的期盼仍有较大的差距，环境保护工作形势依然十分严峻。主要存在以下几方面问题：</w:t>
      </w:r>
    </w:p>
    <w:p w14:paraId="24251DAD">
      <w:pPr>
        <w:pStyle w:val="4"/>
      </w:pPr>
      <w:r>
        <w:rPr>
          <w:rFonts w:hint="eastAsia"/>
        </w:rPr>
        <w:t>一、生态环境保护意识需加强提升</w:t>
      </w:r>
    </w:p>
    <w:p w14:paraId="48B4423D">
      <w:pPr>
        <w:ind w:firstLine="643"/>
      </w:pPr>
      <w:r>
        <w:rPr>
          <w:rFonts w:hint="eastAsia"/>
          <w:b/>
          <w:bCs/>
        </w:rPr>
        <w:t>生态环境保护的极端重要性认识还需深入。</w:t>
      </w:r>
      <w:r>
        <w:rPr>
          <w:rFonts w:hint="eastAsia"/>
        </w:rPr>
        <w:t>党的十八大以来,以习近平同志为核心的党中央推动生态文明建设和生态环境保护从实践到认识发生历史性、转折性、全局性变化，形成了习近平生态文明思想。在笃学笃信习近平生态文明思想上，学习深度广度不够，主动性有待不强，将理论学习成果与日常工作结合起来，用新理论、新办法、新技术推动工作的能力仍需提升。</w:t>
      </w:r>
    </w:p>
    <w:p w14:paraId="1AB62479">
      <w:pPr>
        <w:ind w:firstLine="643"/>
      </w:pPr>
      <w:r>
        <w:rPr>
          <w:rFonts w:hint="eastAsia"/>
          <w:b/>
          <w:bCs/>
        </w:rPr>
        <w:t>生态环境保护机制体制不够完善。</w:t>
      </w:r>
      <w:r>
        <w:rPr>
          <w:rFonts w:hint="eastAsia"/>
        </w:rPr>
        <w:t>落实“党委领导、政府负责、环境保护部门统一监管、部门分工协作、公众积极参与”的长效机制还有欠缺，一些部门和单位的环保意识不够强，没有把“党政同责”“一岗双责”的要求完全落到实处，在治理体系和治理能力方面，我们的工作成效和当前生态环境面临的形势还不相适应。如：全区生态环境保护考核体系不够完善，目前只对属地镇街和开发区进行年度考核，尚未实现对区属委办局等责任单位的全覆盖，考核“指挥棒”作用还没有充分发挥出来，造成压力传导不到位，存在“水流不到头”的现象。</w:t>
      </w:r>
    </w:p>
    <w:p w14:paraId="0EA05199">
      <w:pPr>
        <w:pStyle w:val="4"/>
      </w:pPr>
      <w:r>
        <w:rPr>
          <w:rFonts w:hint="eastAsia"/>
        </w:rPr>
        <w:t>二、生态环境改善形势严峻</w:t>
      </w:r>
    </w:p>
    <w:p w14:paraId="5B171362">
      <w:pPr>
        <w:ind w:firstLine="643"/>
      </w:pPr>
      <w:r>
        <w:rPr>
          <w:rFonts w:hint="eastAsia"/>
          <w:b/>
        </w:rPr>
        <w:t>大气呈现复合型污染。</w:t>
      </w:r>
      <w:r>
        <w:rPr>
          <w:rFonts w:hint="eastAsia"/>
        </w:rPr>
        <w:t>北辰区大气污染成因复杂，在控尘、控车、控工业污染等方面均面临严峻形势，在全市各区中问题突出，治理难度大。1-2月大气环境受PM</w:t>
      </w:r>
      <w:r>
        <w:rPr>
          <w:rFonts w:hint="eastAsia"/>
          <w:vertAlign w:val="subscript"/>
        </w:rPr>
        <w:t>2.5</w:t>
      </w:r>
      <w:r>
        <w:rPr>
          <w:rFonts w:hint="eastAsia"/>
        </w:rPr>
        <w:t>污染影响，5-7月受</w:t>
      </w:r>
      <w:r>
        <w:t>O</w:t>
      </w:r>
      <w:r>
        <w:rPr>
          <w:rFonts w:hint="eastAsia"/>
          <w:vertAlign w:val="subscript"/>
        </w:rPr>
        <w:t>3</w:t>
      </w:r>
      <w:r>
        <w:rPr>
          <w:rFonts w:hint="eastAsia"/>
        </w:rPr>
        <w:t>污染影响。受扬尘、机动车影响，宜兴埠镇PM</w:t>
      </w:r>
      <w:r>
        <w:rPr>
          <w:rFonts w:hint="eastAsia"/>
          <w:vertAlign w:val="subscript"/>
        </w:rPr>
        <w:t>2.5</w:t>
      </w:r>
      <w:r>
        <w:rPr>
          <w:rFonts w:hint="eastAsia"/>
        </w:rPr>
        <w:t>和PM</w:t>
      </w:r>
      <w:r>
        <w:rPr>
          <w:rFonts w:hint="eastAsia"/>
          <w:vertAlign w:val="subscript"/>
        </w:rPr>
        <w:t>10</w:t>
      </w:r>
      <w:r>
        <w:rPr>
          <w:rFonts w:hint="eastAsia"/>
        </w:rPr>
        <w:t>均值高。受机动车影响，普东街NO</w:t>
      </w:r>
      <w:r>
        <w:rPr>
          <w:vertAlign w:val="subscript"/>
        </w:rPr>
        <w:t>2</w:t>
      </w:r>
      <w:r>
        <w:rPr>
          <w:rFonts w:hint="eastAsia"/>
        </w:rPr>
        <w:t>年均值高。扬尘污染方面，北辰处于大开发、大建设阶段，95平方改革试验区内工地数量多，拆迁工地，扬尘总量大，监管难度较大；工业污染方面，北辰乡镇企业相对发达，分布广泛，环境基础设施建设滞后，环境保护治污水平落后，以零部件制造为主的天穆镇存在5家未完成升级改造，以包装行业为主的宜兴埠镇存在部分企业未完成升级改造，垃圾焚烧行业仅对晨兴力克和光大环保两家完成提标改造，剩余任务仍较大；机动车污染方面，多条国省干线、高速公路汇集，物流行业集中，外环线和九园线上机动车特别是大型柴油运输车辆尾气污染突出。</w:t>
      </w:r>
    </w:p>
    <w:p w14:paraId="16CE4A93">
      <w:pPr>
        <w:ind w:firstLine="643"/>
      </w:pPr>
      <w:r>
        <w:rPr>
          <w:rFonts w:hint="eastAsia"/>
          <w:b/>
        </w:rPr>
        <w:t>水环境质量改善难度大。</w:t>
      </w:r>
      <w:r>
        <w:rPr>
          <w:rFonts w:hint="eastAsia"/>
        </w:rPr>
        <w:t>北辰河流水系较多，虽然一级河道水质得到明显改善，但部分二级河道及干支渠水体污染仍时有发生。水系连通工程仍处于起步阶段，水体循环不足，自净能力较差。环境基础设施建设较为滞后，水环境改善难度大。</w:t>
      </w:r>
    </w:p>
    <w:p w14:paraId="54267D1F">
      <w:pPr>
        <w:ind w:firstLine="643"/>
        <w:rPr>
          <w:rFonts w:cs="仿宋_GB2312"/>
        </w:rPr>
      </w:pPr>
      <w:r>
        <w:rPr>
          <w:rFonts w:hint="eastAsia"/>
          <w:b/>
        </w:rPr>
        <w:t>土壤污染防治基础薄弱。</w:t>
      </w:r>
      <w:r>
        <w:rPr>
          <w:rFonts w:hint="eastAsia"/>
        </w:rPr>
        <w:t>区域污染土壤治理处理处于起步阶段，机制不健全。在农药厂修复过程中，群众反映强烈，区域内还存在部分污染地块尚未开展修复。区域内还有部分污染地块尚未开展治理。</w:t>
      </w:r>
      <w:r>
        <w:rPr>
          <w:rFonts w:hint="eastAsia" w:cs="仿宋_GB2312"/>
        </w:rPr>
        <w:t>土壤污染监测网络和信息化管理平台未建成，监管能力薄弱。固体废物及危险废物管理力度仍需加强，危险废物集中处置设施建设进度仍需加快。</w:t>
      </w:r>
    </w:p>
    <w:p w14:paraId="6AC80986">
      <w:pPr>
        <w:pStyle w:val="4"/>
      </w:pPr>
      <w:r>
        <w:rPr>
          <w:rFonts w:hint="eastAsia"/>
        </w:rPr>
        <w:t>三、环境风险隐患不容忽视</w:t>
      </w:r>
    </w:p>
    <w:p w14:paraId="2153C4D8">
      <w:pPr>
        <w:ind w:firstLine="643"/>
      </w:pPr>
      <w:r>
        <w:rPr>
          <w:rFonts w:hint="eastAsia"/>
          <w:b/>
        </w:rPr>
        <w:t>环境保护矛盾存在转移风险。</w:t>
      </w:r>
      <w:r>
        <w:rPr>
          <w:rFonts w:hint="eastAsia"/>
        </w:rPr>
        <w:t>目前，北辰在推动产业结构升级，促进全区高质量发展的过程中，北辰区应存在着工作进度不够理想，推动用力不足，工业产业结构偏重偏旧等问题。相当一批企业还处在产业链低端，制造业企业比重偏高，传统行业多，老旧企业多，战略性新兴产业发展不快，带动力相对较强的龙头企业相对较少。导致目前北辰区优质载体相对不足，制约了企业转型升级，也是生态环境保护工作面临的形势更加严峻。</w:t>
      </w:r>
    </w:p>
    <w:p w14:paraId="3DC62974">
      <w:pPr>
        <w:ind w:firstLine="643"/>
      </w:pPr>
      <w:r>
        <w:rPr>
          <w:rFonts w:hint="eastAsia"/>
          <w:b/>
        </w:rPr>
        <w:t>环境矛盾纠纷多发。</w:t>
      </w:r>
      <w:r>
        <w:rPr>
          <w:rFonts w:hint="eastAsia"/>
        </w:rPr>
        <w:t>自第一轮中央环保督察以来，北辰共接收群众信访转办件310批，督察结束至今接收市转办件800余批，共计1300余批次。个别环境问题整改成效与人民群众期望仍有一定差距，</w:t>
      </w:r>
      <w:r>
        <w:t>造成出现</w:t>
      </w:r>
      <w:r>
        <w:rPr>
          <w:rFonts w:hint="eastAsia"/>
        </w:rPr>
        <w:t>信访重复举报和对处置结果不满意情况。</w:t>
      </w:r>
    </w:p>
    <w:p w14:paraId="3BBE949F">
      <w:pPr>
        <w:pStyle w:val="4"/>
      </w:pPr>
      <w:r>
        <w:rPr>
          <w:rFonts w:hint="eastAsia"/>
        </w:rPr>
        <w:t>四、环境违法问题时有发生</w:t>
      </w:r>
    </w:p>
    <w:p w14:paraId="49718D04">
      <w:pPr>
        <w:ind w:firstLine="643"/>
      </w:pPr>
      <w:r>
        <w:rPr>
          <w:rFonts w:hint="eastAsia"/>
          <w:b/>
        </w:rPr>
        <w:t>工业企业违法情况依旧存在。</w:t>
      </w:r>
      <w:r>
        <w:rPr>
          <w:rFonts w:hint="eastAsia"/>
        </w:rPr>
        <w:t>日常检查和生态环境部强化督查发现，部分企业依旧存在环境违法行为，主要包括不正常运行污染防治设施、工业粉尘无组织排放。环保管家涉及的企业占比较低，造成部分企业不能严格落实环境保护法律制度，未有效落实防治污染的主体责任。</w:t>
      </w:r>
    </w:p>
    <w:p w14:paraId="4253BCD9">
      <w:pPr>
        <w:ind w:firstLine="643"/>
      </w:pPr>
      <w:r>
        <w:rPr>
          <w:rFonts w:hint="eastAsia"/>
          <w:b/>
        </w:rPr>
        <w:t>企业治污主体责任压得不够实。</w:t>
      </w:r>
      <w:r>
        <w:rPr>
          <w:rFonts w:hint="eastAsia"/>
        </w:rPr>
        <w:t>环保执法部门的执法监管用力不足，对企业震慑效应不够强烈，执法监管的“利剑”作用没能充分发挥出来。特别是各镇街、开发区等基层一线，执法力量相对薄弱，专业能力水平不高，巡查管理还有不严不细的问题，致使企业还有重生产、轻环保的认识偏差，不能严格执行环境保护各项法律制度，在工地扬尘管控、固废危废处置、环保设施升级、运行台账管理等方面存在较大差距，甚至极个别企业还存在未批先建、未验先投等违法违规问题。企业存在“一朝合格、终身免检”的惯性思维，未能及时更新、提高对企业的环保检查要求。</w:t>
      </w:r>
      <w:r>
        <w:rPr>
          <w:rFonts w:hint="eastAsia"/>
          <w:b/>
        </w:rPr>
        <w:t>生态保护区管理难度大。生态保护红线</w:t>
      </w:r>
      <w:r>
        <w:rPr>
          <w:rFonts w:hint="eastAsia"/>
        </w:rPr>
        <w:t>北辰永久性生态保护区域范围较大，占全区总面积的37%，保护区内多涉及原有建筑物占压等历史问题，占压土地多为集体用地及国有用地，搬迁治理难度较大。</w:t>
      </w:r>
    </w:p>
    <w:p w14:paraId="532AAAE6">
      <w:pPr>
        <w:pStyle w:val="4"/>
      </w:pPr>
      <w:r>
        <w:rPr>
          <w:rFonts w:hint="eastAsia"/>
        </w:rPr>
        <w:t>五、环境治理能力和水平不高</w:t>
      </w:r>
    </w:p>
    <w:p w14:paraId="0033EF0B">
      <w:pPr>
        <w:ind w:firstLine="643"/>
      </w:pPr>
      <w:r>
        <w:rPr>
          <w:rFonts w:hint="eastAsia"/>
          <w:b/>
        </w:rPr>
        <w:t>对污染源解析能力有待提高。</w:t>
      </w:r>
      <w:r>
        <w:rPr>
          <w:rFonts w:hint="eastAsia"/>
        </w:rPr>
        <w:t>环境保护科技监管手段不足，涉及VOCs的企业高达500多家，但仅50多家安装大气在线自动监测系统，企业自动监测系统安装率低，工况用电自动检测系统安装费用高，推广较难。“天眼工程”一体化监管系统仍需完善。地表水质监控系统仍需逐步完善。监控系统存在3家运维机构，对污染情况整体统筹分析不足。</w:t>
      </w:r>
    </w:p>
    <w:p w14:paraId="57455F1C">
      <w:pPr>
        <w:ind w:firstLine="643"/>
      </w:pPr>
      <w:r>
        <w:rPr>
          <w:rFonts w:hint="eastAsia"/>
          <w:b/>
        </w:rPr>
        <w:t>拆违治乱执法水平有待加强。</w:t>
      </w:r>
      <w:r>
        <w:rPr>
          <w:rFonts w:hint="eastAsia"/>
        </w:rPr>
        <w:t>部分地区私搭乱建、环境脏乱差情况依旧存在，个别中央环保督察期间群众反映的“双违”问题点位仍未得到彻底解决。针对占道经营、店外经营高随意性、高反复性、高流动性问题还没有形成严管重罚的成熟机制。补齐城乡人居环境短板的任务还比较重。作为典型的城乡结合部地区，在城区环境治理和农村生态保护方面还有不小差距，中央生态环保督察期间，群众反</w:t>
      </w:r>
      <w:r>
        <w:rPr>
          <w:rFonts w:hint="eastAsia"/>
          <w:lang w:val="en-US" w:eastAsia="zh-CN"/>
        </w:rPr>
        <w:t>应</w:t>
      </w:r>
      <w:r>
        <w:rPr>
          <w:rFonts w:hint="eastAsia"/>
        </w:rPr>
        <w:t>比较强烈。主要表现在城市管理水平不足，部分社区仍存在绿地破损、基础设施落后、配套设施不健全等问题，个别地区私搭乱建、环境脏乱差情况仍然存在，拆违治乱的决心、水平、力度有待提高。农村生活垃圾治理存在短板，通过近期自查发现，部分镇村在垃圾治理工作中标准不高，在城乡结合部的部分区域治理水平还有待提升。此外，区内规模养殖场粪污消纳管理还需规范，散户养殖生产过程中产生粪污需加快提升处置能力，畜禽养殖场所环境卫生状况还需要进一步改善。</w:t>
      </w:r>
    </w:p>
    <w:p w14:paraId="4D9E97D8">
      <w:pPr>
        <w:ind w:firstLine="643"/>
      </w:pPr>
      <w:r>
        <w:rPr>
          <w:rFonts w:hint="eastAsia"/>
          <w:b/>
          <w:bCs/>
        </w:rPr>
        <w:t>运输结构性调整问题仍比较突出。</w:t>
      </w:r>
      <w:r>
        <w:rPr>
          <w:rFonts w:hint="eastAsia"/>
        </w:rPr>
        <w:t>对自身所处特殊区位和生态环境保护之间的关系和影响认识不够深刻，在交通结构性调整上统筹推动的能力还不强，招法措施还不细。区内道路布局有待进一步调整优化，对城区的大中型运输车辆仍需下更大力度规范管理。如：在环内物流园区综合整治工作中，由于考虑维稳压力、供应链供给等客观实际，致使物流园区搬迁整治工作进度缓慢，城区内仍有一定数量的“国三”、“国四”车辆，柴油货车尾气排放污染较重，道路交通拥堵情况时有发生，公转铁结构性转型仍面临瓶颈，移动源污染问题未得到有效解决。</w:t>
      </w:r>
    </w:p>
    <w:p w14:paraId="745E3863">
      <w:pPr>
        <w:pStyle w:val="2"/>
        <w:spacing w:before="156" w:after="156"/>
      </w:pPr>
      <w:bookmarkStart w:id="29" w:name="_Toc72504250"/>
      <w:r>
        <w:rPr>
          <w:rFonts w:hint="eastAsia"/>
        </w:rPr>
        <w:t xml:space="preserve">第二章 </w:t>
      </w:r>
      <w:bookmarkStart w:id="30" w:name="_Toc1532"/>
      <w:bookmarkStart w:id="31" w:name="_Toc55464491"/>
      <w:bookmarkStart w:id="32" w:name="_Toc22380"/>
      <w:bookmarkStart w:id="33" w:name="_Toc6511"/>
      <w:r>
        <w:rPr>
          <w:rFonts w:hint="eastAsia"/>
        </w:rPr>
        <w:t>生态环境保护“十四五”规划形势分析</w:t>
      </w:r>
      <w:bookmarkEnd w:id="29"/>
      <w:bookmarkEnd w:id="30"/>
      <w:bookmarkEnd w:id="31"/>
      <w:bookmarkEnd w:id="32"/>
      <w:bookmarkEnd w:id="33"/>
    </w:p>
    <w:p w14:paraId="37B3AEAA">
      <w:r>
        <w:rPr>
          <w:rFonts w:hint="eastAsia"/>
        </w:rPr>
        <w:t>“十四五”时期是中国全面建成小康社会、实现第一个百年奋斗目标之后，乘势而上开启全面建设社会主义现代化国家新征程、向第二个百年奋斗目标进军的第一个五年，也是北辰借力供给侧结构性改革、融入京津冀协同发展、实现高质量发展，加快推动建设繁荣富裕、文明和谐、生态宜居新北辰的关键时期。</w:t>
      </w:r>
    </w:p>
    <w:p w14:paraId="6772E2BC">
      <w:pPr>
        <w:pStyle w:val="3"/>
        <w:spacing w:before="156" w:after="156"/>
      </w:pPr>
      <w:bookmarkStart w:id="34" w:name="_Toc72504251"/>
      <w:r>
        <w:rPr>
          <w:rFonts w:hint="eastAsia"/>
        </w:rPr>
        <w:t>第一节 面临的新形势</w:t>
      </w:r>
      <w:bookmarkEnd w:id="34"/>
    </w:p>
    <w:p w14:paraId="51BF986C">
      <w:r>
        <w:rPr>
          <w:rFonts w:hint="eastAsia"/>
        </w:rPr>
        <w:t>伴随“十三五”规划实施收官及“十四五”规划实施开展，区域经济迈入高质量发展阶段，经济结构、能源结构、空间布局持续优化，生态环境将继续向好发展。尤其是习近平总书记在第七十五届联合国大会一般性辩论上郑重宣布，“中国将提高国家自主贡献力度，采取更加有力的政策和措施，二氧化碳排放力争2030年前达到峰值，努力争取2060年前实现碳中和。”这一重要宣示为我国应对气候变化、绿色低碳发展提供了方向指引、擘画了宏伟蓝图。但生态环境保护事业仍然任重道远，区域生态环境相对薄弱、生态环境发展稍显滞后、区域生态保护短板依旧存在等问题依旧存在，生态环境治理和生态文明建设工作难度不断加大，“十四五”时期将进入生态环境质量提升、改善的爬坡期。</w:t>
      </w:r>
    </w:p>
    <w:p w14:paraId="4CFA6631">
      <w:pPr>
        <w:pStyle w:val="3"/>
        <w:spacing w:before="156" w:after="156"/>
      </w:pPr>
      <w:bookmarkStart w:id="35" w:name="_Toc72504252"/>
      <w:r>
        <w:rPr>
          <w:rFonts w:hint="eastAsia"/>
        </w:rPr>
        <w:t>第二节 面临的新挑战</w:t>
      </w:r>
      <w:bookmarkEnd w:id="35"/>
    </w:p>
    <w:p w14:paraId="0E26CEC7">
      <w:r>
        <w:rPr>
          <w:rFonts w:hint="eastAsia"/>
        </w:rPr>
        <w:t>新形势、新常态下，北辰区生态文明建设及生态环境保护工作经过“十三五”环境保护规划实施及污染防治攻坚战的全面收官，全区生态文明建设及生态环境保护工作从思想上、制度上、管理上、能力上等各个方面都得到了全面的提升，区域生态环境显著改善，区域环境质量不断提高。在相对容易解决的生态环境问题已经得到普遍改善的同时，要进一步将生态环境质量从“及格”提高到“良”，乃至“优”的难度将不断加大，成本也将越发高昂；污染防治攻坚战解决了北辰生态环境治理工作“欠新账”的问题，“十四五”期间应着力加快填补区域积累了几十年的“旧账”，加快解决生态产品供给严重不足的问题，继续牢固树立“绿水青山就是金山银山”理念，不断夯实“保护生态环境就是保护生产力，改善生态环境就是发展生产力”的理念，切实使区域生态环境保护进程符合区域经济社会发展大局，把绿色发展理念融入经济社会发展各方面、全方位、全领域、全过程，使生态环境保护更好地适应经济社会发展，更好地助推带动经济发展，推进形成区域绿色生产和绿色生活方式的形成，推动由生态环境保护短板到区域生态环境优势的转变。</w:t>
      </w:r>
    </w:p>
    <w:p w14:paraId="751281DB">
      <w:pPr>
        <w:pStyle w:val="3"/>
        <w:spacing w:before="156" w:after="156"/>
      </w:pPr>
      <w:bookmarkStart w:id="36" w:name="_Toc72504253"/>
      <w:r>
        <w:rPr>
          <w:rFonts w:hint="eastAsia"/>
        </w:rPr>
        <w:t>第三节 面临的新诉求</w:t>
      </w:r>
      <w:bookmarkEnd w:id="36"/>
    </w:p>
    <w:p w14:paraId="65B6ED53">
      <w:r>
        <w:rPr>
          <w:rFonts w:hint="eastAsia"/>
        </w:rPr>
        <w:t>伴随国家治理现代化、法治化进程推进，民众全力意识高涨，维权意识不断提高。同时，生态环境与人民群众利益息息相关，对美好生态环境的向往与期盼日趋强烈，紧盯人民群众反映强烈的突出生态环境保护问题，加快满足人民群众日益增长的对美好生活的向往与期盼，充分运用法治思维、法治方式，妥善解决生态环境保护领域“邻避问题”，本着“谁受益、谁付费、谁受损、谁补偿”的原则，建立多元化沟通平台，形成有效沟通机制，探索合理的利益补偿办法，使不同利益主体求同存异，依法实现自身权益最大化，提高政府生态治理能力，有效化解群众权益受损时的“信任危机”，满足人民群众合法诉求。</w:t>
      </w:r>
    </w:p>
    <w:p w14:paraId="0BF864DD">
      <w:pPr>
        <w:pStyle w:val="3"/>
        <w:spacing w:before="156" w:after="156"/>
      </w:pPr>
      <w:bookmarkStart w:id="37" w:name="_Toc72504254"/>
      <w:r>
        <w:rPr>
          <w:rFonts w:hint="eastAsia"/>
        </w:rPr>
        <w:t>第四节 面临的新远景</w:t>
      </w:r>
      <w:bookmarkEnd w:id="37"/>
    </w:p>
    <w:p w14:paraId="407F6C76">
      <w:r>
        <w:rPr>
          <w:rFonts w:hint="eastAsia"/>
        </w:rPr>
        <w:t>中国共产党第十九届中央委员会第五次全体会议审议通过了《中共中央关于制定国民经济和社会发展第十四个五年规划和二</w:t>
      </w:r>
      <w:r>
        <w:rPr>
          <w:rFonts w:hint="eastAsia" w:ascii="微软雅黑" w:hAnsi="微软雅黑" w:eastAsia="微软雅黑" w:cs="微软雅黑"/>
        </w:rPr>
        <w:t>〇</w:t>
      </w:r>
      <w:r>
        <w:rPr>
          <w:rFonts w:hint="eastAsia"/>
        </w:rPr>
        <w:t>三五年远景目标的建议》（以下简称《建议》）。其中关于生态环境保护方面的远景目标为：“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根据《建议》中的相关远景目标，十四五的生态环境规划由单一的污染源治理和污染物削减目标向更高层次的生态环境目标转变，由单一指标的达标向综合环境质量的提升转变，因此北辰区生态环境保护十四五规划编制要对标国民经济和社会发展第十四个五年规划和二</w:t>
      </w:r>
      <w:r>
        <w:rPr>
          <w:rFonts w:hint="eastAsia" w:ascii="微软雅黑" w:hAnsi="微软雅黑" w:eastAsia="微软雅黑" w:cs="微软雅黑"/>
        </w:rPr>
        <w:t>〇</w:t>
      </w:r>
      <w:r>
        <w:rPr>
          <w:rFonts w:hint="eastAsia"/>
        </w:rPr>
        <w:t>三五年远景目标的相关内容，整体提升规划的前瞻性。</w:t>
      </w:r>
    </w:p>
    <w:p w14:paraId="2110C240">
      <w:pPr>
        <w:pStyle w:val="2"/>
        <w:spacing w:before="156" w:after="156"/>
      </w:pPr>
      <w:bookmarkStart w:id="38" w:name="_Toc6014"/>
      <w:bookmarkStart w:id="39" w:name="_Toc55464492"/>
      <w:bookmarkStart w:id="40" w:name="_Toc72504255"/>
      <w:bookmarkStart w:id="41" w:name="_Toc20546"/>
      <w:bookmarkStart w:id="42" w:name="_Toc17801"/>
      <w:r>
        <w:rPr>
          <w:rFonts w:hint="eastAsia"/>
        </w:rPr>
        <w:t>第三章 规划范围、指导思想与主要目标</w:t>
      </w:r>
      <w:bookmarkEnd w:id="38"/>
      <w:bookmarkEnd w:id="39"/>
      <w:bookmarkEnd w:id="40"/>
      <w:bookmarkEnd w:id="41"/>
      <w:bookmarkEnd w:id="42"/>
    </w:p>
    <w:p w14:paraId="3EE5A8E0">
      <w:pPr>
        <w:pStyle w:val="3"/>
        <w:spacing w:before="156" w:after="156"/>
        <w:rPr>
          <w:rFonts w:eastAsia="仿宋"/>
        </w:rPr>
      </w:pPr>
      <w:bookmarkStart w:id="43" w:name="_Toc24321"/>
      <w:bookmarkStart w:id="44" w:name="_Toc72504256"/>
      <w:bookmarkStart w:id="45" w:name="_Toc27648"/>
      <w:bookmarkStart w:id="46" w:name="_Toc11008"/>
      <w:bookmarkStart w:id="47" w:name="_Toc55464493"/>
      <w:r>
        <w:rPr>
          <w:rFonts w:hint="eastAsia"/>
        </w:rPr>
        <w:t>第一节 规划范围</w:t>
      </w:r>
      <w:bookmarkEnd w:id="43"/>
      <w:bookmarkEnd w:id="44"/>
      <w:bookmarkEnd w:id="45"/>
      <w:bookmarkEnd w:id="46"/>
      <w:bookmarkEnd w:id="47"/>
    </w:p>
    <w:p w14:paraId="077D8772">
      <w:pPr>
        <w:ind w:firstLine="643"/>
        <w:rPr>
          <w:szCs w:val="32"/>
        </w:rPr>
      </w:pPr>
      <w:r>
        <w:rPr>
          <w:rFonts w:hint="eastAsia"/>
          <w:b/>
          <w:szCs w:val="32"/>
        </w:rPr>
        <w:t>规划范围</w:t>
      </w:r>
      <w:r>
        <w:rPr>
          <w:rFonts w:hint="eastAsia"/>
          <w:b/>
          <w:bCs/>
        </w:rPr>
        <w:t>：</w:t>
      </w:r>
      <w:r>
        <w:rPr>
          <w:rFonts w:hint="eastAsia"/>
        </w:rPr>
        <w:t>包括</w:t>
      </w:r>
      <w:bookmarkStart w:id="48" w:name="_Hlk60235503"/>
      <w:r>
        <w:rPr>
          <w:rFonts w:hint="eastAsia"/>
        </w:rPr>
        <w:t>北辰区478.48平方公里范围</w:t>
      </w:r>
      <w:r>
        <w:t>，全区现辖9个镇（天穆镇、北仓镇、宜兴埠镇、双口镇、双街镇、小淀镇、西堤头镇、青光镇、大张庄镇），</w:t>
      </w:r>
      <w:r>
        <w:rPr>
          <w:rFonts w:hint="eastAsia"/>
        </w:rPr>
        <w:t>7</w:t>
      </w:r>
      <w:r>
        <w:t>个街办事处（果园新村街、集贤街、普东街、瑞景街、佳荣街、青（广）源街</w:t>
      </w:r>
      <w:r>
        <w:rPr>
          <w:rFonts w:hint="eastAsia"/>
        </w:rPr>
        <w:t>、双环村街</w:t>
      </w:r>
      <w:r>
        <w:t>），1个开发区（天津北辰经济技术开发区）。</w:t>
      </w:r>
    </w:p>
    <w:bookmarkEnd w:id="48"/>
    <w:p w14:paraId="5D1E8477">
      <w:pPr>
        <w:ind w:firstLine="643"/>
        <w:rPr>
          <w:szCs w:val="32"/>
        </w:rPr>
      </w:pPr>
      <w:r>
        <w:rPr>
          <w:rFonts w:hint="eastAsia"/>
          <w:b/>
          <w:szCs w:val="32"/>
        </w:rPr>
        <w:t>规划年限：</w:t>
      </w:r>
      <w:r>
        <w:rPr>
          <w:rFonts w:hint="eastAsia"/>
        </w:rPr>
        <w:t>2021-2025年</w:t>
      </w:r>
      <w:r>
        <w:rPr>
          <w:rFonts w:cs="Times New Roman"/>
        </w:rPr>
        <w:t>。</w:t>
      </w:r>
    </w:p>
    <w:p w14:paraId="14868BC2">
      <w:pPr>
        <w:ind w:firstLine="643"/>
        <w:rPr>
          <w:szCs w:val="34"/>
        </w:rPr>
      </w:pPr>
      <w:r>
        <w:rPr>
          <w:rFonts w:hint="eastAsia"/>
          <w:b/>
        </w:rPr>
        <w:t>规划基准年为</w:t>
      </w:r>
      <w:r>
        <w:rPr>
          <w:rFonts w:hint="eastAsia"/>
        </w:rPr>
        <w:t>：</w:t>
      </w:r>
      <w:r>
        <w:rPr>
          <w:rFonts w:hint="eastAsia"/>
          <w:szCs w:val="34"/>
        </w:rPr>
        <w:t>2020年。</w:t>
      </w:r>
    </w:p>
    <w:p w14:paraId="49B0FDF0">
      <w:pPr>
        <w:pStyle w:val="3"/>
        <w:spacing w:before="156" w:after="156"/>
      </w:pPr>
      <w:bookmarkStart w:id="49" w:name="_Toc72504257"/>
      <w:bookmarkStart w:id="50" w:name="_Toc31322"/>
      <w:bookmarkStart w:id="51" w:name="_Toc55464494"/>
      <w:bookmarkStart w:id="52" w:name="_Toc8175"/>
      <w:bookmarkStart w:id="53" w:name="_Toc25394"/>
      <w:r>
        <w:rPr>
          <w:rFonts w:hint="eastAsia"/>
        </w:rPr>
        <w:t>第二节 指导思想</w:t>
      </w:r>
      <w:bookmarkEnd w:id="49"/>
      <w:bookmarkEnd w:id="50"/>
      <w:bookmarkEnd w:id="51"/>
      <w:bookmarkEnd w:id="52"/>
      <w:bookmarkEnd w:id="53"/>
    </w:p>
    <w:p w14:paraId="3F64BD13">
      <w:pPr>
        <w:rPr>
          <w:rFonts w:ascii="楷体_GB2312" w:hAnsi="楷体_GB2312" w:eastAsia="楷体_GB2312" w:cs="楷体_GB2312"/>
        </w:rPr>
      </w:pPr>
      <w:r>
        <w:t>以习近平新时代中国特色社会主义思想为指导，全面贯彻落实党的十九大和十九届二中、三中、四中</w:t>
      </w:r>
      <w:r>
        <w:rPr>
          <w:rFonts w:hint="eastAsia"/>
        </w:rPr>
        <w:t>、五中</w:t>
      </w:r>
      <w:r>
        <w:t>全会精神，全面贯彻落实党中央、国务院关于生态文明建设和生态环境保护的各项决策部署，坚持以习近平生态文明思想为指引，</w:t>
      </w:r>
      <w:r>
        <w:rPr>
          <w:rFonts w:hint="eastAsia"/>
        </w:rPr>
        <w:t>全面贯彻落实习近平总书记对天津工作“三个着力”重要要求，深入贯彻落实党中央和中共天津市委决策部署，推进“五位一体”总体布局和“四个全面”战略布局在天津扎实实施，深入新发展理念，聚焦“2035年生态环境根本好转，美丽天津建设目标基本实现”，紧扣推动高质量发展主题，全面贯彻新发展理念，坚持方向不变、力度不减，突出精准治污、科学治污、依法治污，统筹做好碳达峰、碳中和工作和深入打好污染防治攻坚战，引领推动经济社会发展全面绿色转型，着力解决突出生态环境问题，加快推进生态环境治理体系和治理能力现代化建设，增强降碳减污协同效应，持续改善生态环境质量，实现生态文明建设新进步，为生态宜居现代化建设奠定坚实基础。</w:t>
      </w:r>
    </w:p>
    <w:p w14:paraId="2B06CCBE">
      <w:pPr>
        <w:pStyle w:val="4"/>
      </w:pPr>
      <w:bookmarkStart w:id="54" w:name="_Toc5596"/>
      <w:bookmarkStart w:id="55" w:name="_Toc19156"/>
      <w:bookmarkStart w:id="56" w:name="_Toc12298"/>
      <w:bookmarkStart w:id="57" w:name="_Toc55464495"/>
      <w:r>
        <w:rPr>
          <w:rFonts w:hint="eastAsia"/>
        </w:rPr>
        <w:t>一、总体思路</w:t>
      </w:r>
      <w:bookmarkEnd w:id="54"/>
      <w:bookmarkEnd w:id="55"/>
      <w:bookmarkEnd w:id="56"/>
      <w:bookmarkEnd w:id="57"/>
    </w:p>
    <w:p w14:paraId="315AA576">
      <w:r>
        <w:rPr>
          <w:rFonts w:hint="eastAsia"/>
        </w:rPr>
        <w:t>北辰区“十四五”生态环境保护工作思路围绕“对标、巩固、调整、完善、提高”来开展：</w:t>
      </w:r>
    </w:p>
    <w:p w14:paraId="6F0DE24C">
      <w:pPr>
        <w:ind w:firstLine="643"/>
      </w:pPr>
      <w:r>
        <w:rPr>
          <w:rFonts w:hint="eastAsia"/>
          <w:b/>
          <w:bCs/>
        </w:rPr>
        <w:t>紧密对标国家和天津市十四五规划顶层设计。</w:t>
      </w:r>
      <w:r>
        <w:rPr>
          <w:rFonts w:hint="eastAsia"/>
        </w:rPr>
        <w:t>认真学习和研究《中共中央关于制定国民经济和社会发展第十四个五年规划和二</w:t>
      </w:r>
      <w:r>
        <w:rPr>
          <w:rFonts w:hint="eastAsia" w:ascii="微软雅黑" w:hAnsi="微软雅黑" w:eastAsia="微软雅黑" w:cs="微软雅黑"/>
        </w:rPr>
        <w:t>〇</w:t>
      </w:r>
      <w:r>
        <w:rPr>
          <w:rFonts w:hint="eastAsia"/>
        </w:rPr>
        <w:t>三五年远景目标的建议》以及《中共天津市委关于制定天津市国民经济和社会发展第十四个五年规划和二</w:t>
      </w:r>
      <w:r>
        <w:rPr>
          <w:rFonts w:hint="eastAsia" w:ascii="微软雅黑" w:hAnsi="微软雅黑" w:eastAsia="微软雅黑" w:cs="微软雅黑"/>
        </w:rPr>
        <w:t>〇</w:t>
      </w:r>
      <w:r>
        <w:rPr>
          <w:rFonts w:hint="eastAsia"/>
        </w:rPr>
        <w:t>三五年远景目标的建议》等文件，认真领会北辰区在天津市乃至全国新发展格局中的区域定位，尤其考虑北辰区位于京津走廊中间的地理优势和产业特色，在承接北京非首都功能疏解，推动京津冀协同发展中的功能定位，统筹推进“五位一体”总体布局，将生态环境规划融入到京津冀整体规划中统筹考虑，统筹推进产业振兴和生态振兴，将北辰区打造成京津绿色生态廊道上的明珠。</w:t>
      </w:r>
    </w:p>
    <w:p w14:paraId="424F2FCE">
      <w:pPr>
        <w:ind w:firstLine="643"/>
      </w:pPr>
      <w:r>
        <w:rPr>
          <w:rFonts w:hint="eastAsia"/>
          <w:b/>
          <w:bCs/>
        </w:rPr>
        <w:t>全面巩固污染防治攻坚战攻坚成果。</w:t>
      </w:r>
      <w:r>
        <w:rPr>
          <w:rFonts w:hint="eastAsia"/>
        </w:rPr>
        <w:t>坚持生态环境质量只能越来越好的底线不能变，爬坡过坎、遇水架桥，坚决杜绝歇一歇脚、喘一喘气的想法。已经取得的成果要坚决巩固，尚未完成的目标要加快实现，仍未开展的工作要加快落实，坚决防止生态破坏和环境污染问题“死灰复燃”，防止区域生态环境质量出现任何形式的反弹。</w:t>
      </w:r>
    </w:p>
    <w:p w14:paraId="13D38722">
      <w:pPr>
        <w:ind w:firstLine="643"/>
      </w:pPr>
      <w:r>
        <w:rPr>
          <w:rFonts w:hint="eastAsia"/>
          <w:b/>
          <w:bCs/>
        </w:rPr>
        <w:t>及时调整生态环境保护目标、方向、重点。</w:t>
      </w:r>
      <w:r>
        <w:rPr>
          <w:rFonts w:hint="eastAsia"/>
        </w:rPr>
        <w:t>经过污染防治攻坚战的大力治理，区域生态环境主要矛盾、突出问题已初步甚至基本得到解决，“十四五”期间，应及时调整转移生态环境工作方向和重点，紧盯新要求、新问题、新形势，按照依法治污、科学治污、精准治污要求，根据中央及全市统一部署，调整工作重点，在继续做好生态环境保护治理和监管的同时，深挖历史遗留问题，加快解决历史“欠账”，</w:t>
      </w:r>
      <w:r>
        <w:rPr>
          <w:rFonts w:hint="eastAsia"/>
          <w:color w:val="000000" w:themeColor="text1"/>
          <w14:textFill>
            <w14:solidFill>
              <w14:schemeClr w14:val="tx1"/>
            </w14:solidFill>
          </w14:textFill>
        </w:rPr>
        <w:t>做好碳达峰、碳中和工作，以更大力度推进应对气候变化工作，</w:t>
      </w:r>
      <w:r>
        <w:rPr>
          <w:rFonts w:hint="eastAsia"/>
        </w:rPr>
        <w:t>开展生态环境保护精准治理。</w:t>
      </w:r>
    </w:p>
    <w:p w14:paraId="27663BF0">
      <w:pPr>
        <w:ind w:firstLine="643"/>
      </w:pPr>
      <w:r>
        <w:rPr>
          <w:rFonts w:hint="eastAsia"/>
          <w:b/>
          <w:bCs/>
        </w:rPr>
        <w:t>继续完善生态环境治理体系及制度体系。</w:t>
      </w:r>
      <w:r>
        <w:rPr>
          <w:rFonts w:hint="eastAsia"/>
        </w:rPr>
        <w:t>在污染防治攻坚战已建立的区域生态环境保护治理体系和制度体系的基础上，全面落实</w:t>
      </w:r>
      <w:r>
        <w:rPr>
          <w:rFonts w:hint="eastAsia"/>
          <w:lang w:val="en-US" w:eastAsia="zh-CN"/>
        </w:rPr>
        <w:t>党的</w:t>
      </w:r>
      <w:r>
        <w:rPr>
          <w:rFonts w:hint="eastAsia"/>
        </w:rPr>
        <w:t>十九届五中全会精神，根据最新工作需要，及时进行调整，积极开展查缺补漏、夯实完善、与时俱进进行预调微调、加快推动构建党委领导、政府主导、企业主体、社会组织和公众共同参与区域现代化生态环境保护治理体系形成。</w:t>
      </w:r>
    </w:p>
    <w:p w14:paraId="5D336336">
      <w:pPr>
        <w:ind w:firstLine="643"/>
      </w:pPr>
      <w:r>
        <w:rPr>
          <w:rFonts w:hint="eastAsia"/>
          <w:b/>
          <w:bCs/>
        </w:rPr>
        <w:t>继续提高生态环境保护工作要求。</w:t>
      </w:r>
      <w:r>
        <w:rPr>
          <w:rFonts w:hint="eastAsia"/>
        </w:rPr>
        <w:t>坚持以提高生态环境质量，促进高质量发展为核心。梳理并解决大气、水、土壤、固废、执法监管、服务等各方面、各领域问题。统筹推动，协调解决，有力提升区域生态环境质量，继续以生态环境保护促进经济社会高质量发展，不断提高人民群众获得感与幸福感。</w:t>
      </w:r>
    </w:p>
    <w:p w14:paraId="572894F5">
      <w:pPr>
        <w:pStyle w:val="4"/>
      </w:pPr>
      <w:bookmarkStart w:id="58" w:name="_Toc7086"/>
      <w:bookmarkStart w:id="59" w:name="_Toc28951"/>
      <w:bookmarkStart w:id="60" w:name="_Toc8589"/>
      <w:bookmarkStart w:id="61" w:name="_Toc55464496"/>
      <w:r>
        <w:rPr>
          <w:rFonts w:hint="eastAsia"/>
        </w:rPr>
        <w:t>二、基本原则</w:t>
      </w:r>
      <w:bookmarkEnd w:id="58"/>
      <w:bookmarkEnd w:id="59"/>
      <w:bookmarkEnd w:id="60"/>
      <w:bookmarkEnd w:id="61"/>
    </w:p>
    <w:p w14:paraId="2E2F347B">
      <w:r>
        <w:rPr>
          <w:rFonts w:hint="eastAsia"/>
        </w:rPr>
        <w:t>北辰区十四五生态环境保护工作坚持以下原则：</w:t>
      </w:r>
    </w:p>
    <w:p w14:paraId="0D25AA42">
      <w:pPr>
        <w:ind w:firstLine="643"/>
      </w:pPr>
      <w:r>
        <w:rPr>
          <w:rFonts w:hint="eastAsia"/>
          <w:b/>
          <w:bCs/>
        </w:rPr>
        <w:t>紧密对标</w:t>
      </w:r>
      <w:r>
        <w:rPr>
          <w:rFonts w:hint="eastAsia"/>
        </w:rPr>
        <w:t>——按照中央和天津市十四五国民经济和社会发展等相关规划的建议以及天津市十四五生态环境规划的相关要求，制定北辰区十四五生态环境保护工作，既要符合上位规划的相关要求和内容，又要突出北辰区的特色特点。</w:t>
      </w:r>
    </w:p>
    <w:p w14:paraId="4406B68B">
      <w:pPr>
        <w:ind w:firstLine="643"/>
      </w:pPr>
      <w:r>
        <w:rPr>
          <w:rFonts w:hint="eastAsia"/>
          <w:b/>
          <w:bCs/>
        </w:rPr>
        <w:t>协调</w:t>
      </w:r>
      <w:r>
        <w:rPr>
          <w:b/>
          <w:bCs/>
        </w:rPr>
        <w:t>统筹</w:t>
      </w:r>
      <w:r>
        <w:rPr>
          <w:rFonts w:hint="eastAsia"/>
          <w:b/>
          <w:bCs/>
        </w:rPr>
        <w:t>——</w:t>
      </w:r>
      <w:r>
        <w:t>按照“五位一体”总体布局要求，</w:t>
      </w:r>
      <w:r>
        <w:rPr>
          <w:rFonts w:hint="eastAsia"/>
        </w:rPr>
        <w:t>将生态文明建设融入经济建设、政治建设、文化建设和社会建设中，既要坚决保护好生态环境，又要统筹好其它发展建设，以高质量生态文明建设为契机，</w:t>
      </w:r>
      <w:r>
        <w:t>推动</w:t>
      </w:r>
      <w:r>
        <w:rPr>
          <w:rFonts w:hint="eastAsia"/>
        </w:rPr>
        <w:t>区内经济社会</w:t>
      </w:r>
      <w:r>
        <w:t>发展</w:t>
      </w:r>
      <w:r>
        <w:rPr>
          <w:rFonts w:hint="eastAsia"/>
        </w:rPr>
        <w:t>的</w:t>
      </w:r>
      <w:r>
        <w:t>转型升级。</w:t>
      </w:r>
    </w:p>
    <w:p w14:paraId="69160B8B">
      <w:pPr>
        <w:ind w:firstLine="643"/>
      </w:pPr>
      <w:r>
        <w:rPr>
          <w:b/>
          <w:bCs/>
        </w:rPr>
        <w:t>区</w:t>
      </w:r>
      <w:r>
        <w:rPr>
          <w:rFonts w:hint="eastAsia"/>
          <w:b/>
          <w:bCs/>
        </w:rPr>
        <w:t>位意识——</w:t>
      </w:r>
      <w:r>
        <w:t>牢固树立</w:t>
      </w:r>
      <w:r>
        <w:rPr>
          <w:rFonts w:hint="eastAsia"/>
        </w:rPr>
        <w:t>“京津冀协调发展”和“</w:t>
      </w:r>
      <w:r>
        <w:t>全</w:t>
      </w:r>
      <w:r>
        <w:rPr>
          <w:rFonts w:hint="eastAsia"/>
        </w:rPr>
        <w:t>市</w:t>
      </w:r>
      <w:r>
        <w:t>一盘棋</w:t>
      </w:r>
      <w:r>
        <w:rPr>
          <w:rFonts w:hint="eastAsia"/>
        </w:rPr>
        <w:t>”的</w:t>
      </w:r>
      <w:r>
        <w:t>思想，</w:t>
      </w:r>
      <w:r>
        <w:rPr>
          <w:rFonts w:hint="eastAsia"/>
        </w:rPr>
        <w:t>深刻认识北辰区在京津冀地区和天津市的区位特征和功能特点，</w:t>
      </w:r>
      <w:r>
        <w:t>提高规划协同性，推进生态环境联建联防联治；坚持上下联动，</w:t>
      </w:r>
      <w:r>
        <w:rPr>
          <w:rFonts w:hint="eastAsia"/>
        </w:rPr>
        <w:t>扎实做好</w:t>
      </w:r>
      <w:r>
        <w:t>生态环境保护规划编制。</w:t>
      </w:r>
    </w:p>
    <w:p w14:paraId="47B1987E">
      <w:pPr>
        <w:ind w:firstLine="643"/>
      </w:pPr>
      <w:r>
        <w:rPr>
          <w:rFonts w:hint="eastAsia"/>
          <w:b/>
          <w:bCs/>
        </w:rPr>
        <w:t>科学精准——</w:t>
      </w:r>
      <w:r>
        <w:t>总结分析</w:t>
      </w:r>
      <w:r>
        <w:rPr>
          <w:rFonts w:hint="eastAsia"/>
        </w:rPr>
        <w:t>北辰区</w:t>
      </w:r>
      <w:r>
        <w:t>“十三五”规划执行情况，客观分析污染防治攻坚战进展成效，总结经验、研判问题</w:t>
      </w:r>
      <w:r>
        <w:rPr>
          <w:rFonts w:hint="eastAsia"/>
        </w:rPr>
        <w:t>，针对</w:t>
      </w:r>
      <w:r>
        <w:t>“十三五”</w:t>
      </w:r>
      <w:r>
        <w:rPr>
          <w:rFonts w:hint="eastAsia"/>
        </w:rPr>
        <w:t>期间重点的环境问题以及</w:t>
      </w:r>
      <w:r>
        <w:t>“十</w:t>
      </w:r>
      <w:r>
        <w:rPr>
          <w:rFonts w:hint="eastAsia"/>
        </w:rPr>
        <w:t>四</w:t>
      </w:r>
      <w:r>
        <w:t>五”</w:t>
      </w:r>
      <w:r>
        <w:rPr>
          <w:rFonts w:hint="eastAsia"/>
        </w:rPr>
        <w:t>的重点目标，建立重点工程和重点任务，做到科学精准的治污</w:t>
      </w:r>
      <w:r>
        <w:t>。</w:t>
      </w:r>
    </w:p>
    <w:p w14:paraId="73731F25">
      <w:pPr>
        <w:ind w:firstLine="643"/>
        <w:rPr>
          <w:rFonts w:ascii="楷体_GB2312" w:hAnsi="楷体_GB2312" w:eastAsia="楷体_GB2312" w:cs="楷体_GB2312"/>
        </w:rPr>
      </w:pPr>
      <w:r>
        <w:rPr>
          <w:b/>
          <w:bCs/>
        </w:rPr>
        <w:t>突出创新</w:t>
      </w:r>
      <w:r>
        <w:rPr>
          <w:rFonts w:hint="eastAsia"/>
          <w:b/>
          <w:bCs/>
        </w:rPr>
        <w:t>——</w:t>
      </w:r>
      <w:r>
        <w:t>围绕生态环境治理体系和治理能力现代化建设，围绕“十四五”规划目标任务落实，坚持依法治污、经济治污、科学治污，整合、集成、创新生态环境治理政策措施，丰富“政策工具箱”。</w:t>
      </w:r>
    </w:p>
    <w:p w14:paraId="3D95CB0A">
      <w:pPr>
        <w:pStyle w:val="3"/>
        <w:spacing w:before="156" w:after="156"/>
      </w:pPr>
      <w:bookmarkStart w:id="62" w:name="_Toc72504258"/>
      <w:bookmarkStart w:id="63" w:name="_Toc55464497"/>
      <w:bookmarkStart w:id="64" w:name="_Toc26091"/>
      <w:bookmarkStart w:id="65" w:name="_Toc14036"/>
      <w:bookmarkStart w:id="66" w:name="_Toc30170"/>
      <w:r>
        <w:rPr>
          <w:rFonts w:hint="eastAsia"/>
        </w:rPr>
        <w:t>第三节 目标指标</w:t>
      </w:r>
      <w:bookmarkEnd w:id="62"/>
      <w:bookmarkEnd w:id="63"/>
      <w:bookmarkEnd w:id="64"/>
      <w:bookmarkEnd w:id="65"/>
      <w:bookmarkEnd w:id="66"/>
    </w:p>
    <w:p w14:paraId="12C582C2">
      <w:r>
        <w:rPr>
          <w:rFonts w:hint="eastAsia"/>
        </w:rPr>
        <w:t>到2025年，区域生态环境质量持续改善，区域生态环境保护能力继续提升，大气环境质量、水环境质量全面完成全市目标任务，区域土壤环境安全得到严格保障，不断建立健全环境治理的领导责任体系、企业责任体系、全面行动体系、行政监管体系、市场信用体系、科学支撑体系，构建完善共同参与、导向清晰、决策科学、执行有力、激励有效、多元参与、良性互动的现代化环境治理体系。</w:t>
      </w:r>
    </w:p>
    <w:p w14:paraId="03AC8F06">
      <w:r>
        <w:rPr>
          <w:rFonts w:hint="eastAsia"/>
        </w:rPr>
        <w:t>展望2035年，绿色生产生活方式广泛形成，绿色低碳循环水平显著提升；环境空气质量根本改善；水环境质量全面提升，水生态恢复取得明显成效；土壤环境安全得到有效保障；碳排放达峰后稳中有降，适应气候变化能力显著增强；环境风险得到全面管控；山水林田湖草生态系统服务功能总体恢复；生态环境治理体系和治理能力现代化水平基本实现。</w:t>
      </w:r>
    </w:p>
    <w:p w14:paraId="4AF94004">
      <w:r>
        <w:rPr>
          <w:rFonts w:hint="eastAsia"/>
        </w:rPr>
        <w:t>具体目标指标值如下表所示。</w:t>
      </w:r>
    </w:p>
    <w:p w14:paraId="019A13B3">
      <w:pPr>
        <w:sectPr>
          <w:footerReference r:id="rId12" w:type="default"/>
          <w:pgSz w:w="11906" w:h="16838"/>
          <w:pgMar w:top="1440" w:right="1800" w:bottom="1440" w:left="1800" w:header="851" w:footer="992" w:gutter="0"/>
          <w:pgNumType w:start="1"/>
          <w:cols w:space="425" w:num="1"/>
          <w:docGrid w:type="lines" w:linePitch="312" w:charSpace="0"/>
        </w:sectPr>
      </w:pPr>
    </w:p>
    <w:p w14:paraId="5FDD6E0D">
      <w:pPr>
        <w:pStyle w:val="16"/>
      </w:pPr>
      <w:r>
        <w:rPr>
          <w:rFonts w:hint="eastAsia"/>
        </w:rPr>
        <w:t>北辰区生态环境保护十四五规划目标指标表</w:t>
      </w:r>
    </w:p>
    <w:tbl>
      <w:tblPr>
        <w:tblStyle w:val="29"/>
        <w:tblW w:w="13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4961"/>
        <w:gridCol w:w="1843"/>
        <w:gridCol w:w="1984"/>
        <w:gridCol w:w="1418"/>
        <w:gridCol w:w="1472"/>
        <w:gridCol w:w="35"/>
      </w:tblGrid>
      <w:tr w14:paraId="3CC3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 w:type="dxa"/>
          <w:trHeight w:val="597" w:hRule="atLeast"/>
        </w:trPr>
        <w:tc>
          <w:tcPr>
            <w:tcW w:w="1271" w:type="dxa"/>
            <w:shd w:val="clear" w:color="auto" w:fill="auto"/>
            <w:vAlign w:val="center"/>
          </w:tcPr>
          <w:p w14:paraId="29213BE7">
            <w:pPr>
              <w:pStyle w:val="59"/>
              <w:rPr>
                <w:rFonts w:ascii="黑体" w:hAnsi="黑体" w:eastAsia="黑体"/>
                <w:b/>
                <w:bCs/>
              </w:rPr>
            </w:pPr>
            <w:r>
              <w:rPr>
                <w:rFonts w:hint="eastAsia" w:ascii="黑体" w:hAnsi="黑体" w:eastAsia="黑体"/>
                <w:b/>
                <w:bCs/>
              </w:rPr>
              <w:t>评估指标</w:t>
            </w:r>
          </w:p>
        </w:tc>
        <w:tc>
          <w:tcPr>
            <w:tcW w:w="851" w:type="dxa"/>
            <w:shd w:val="clear" w:color="auto" w:fill="auto"/>
            <w:vAlign w:val="center"/>
          </w:tcPr>
          <w:p w14:paraId="24C4017B">
            <w:pPr>
              <w:pStyle w:val="59"/>
              <w:rPr>
                <w:rFonts w:ascii="黑体" w:hAnsi="黑体" w:eastAsia="黑体"/>
              </w:rPr>
            </w:pPr>
            <w:r>
              <w:rPr>
                <w:rFonts w:hint="eastAsia" w:ascii="黑体" w:hAnsi="黑体" w:eastAsia="黑体"/>
              </w:rPr>
              <w:t>序号</w:t>
            </w:r>
          </w:p>
        </w:tc>
        <w:tc>
          <w:tcPr>
            <w:tcW w:w="4961" w:type="dxa"/>
            <w:shd w:val="clear" w:color="auto" w:fill="auto"/>
            <w:vAlign w:val="center"/>
          </w:tcPr>
          <w:p w14:paraId="11ABFB72">
            <w:pPr>
              <w:pStyle w:val="59"/>
              <w:rPr>
                <w:rFonts w:ascii="黑体" w:hAnsi="黑体" w:eastAsia="黑体"/>
              </w:rPr>
            </w:pPr>
            <w:r>
              <w:rPr>
                <w:rFonts w:hint="eastAsia" w:ascii="黑体" w:hAnsi="黑体" w:eastAsia="黑体"/>
              </w:rPr>
              <w:t>具体指标（单位）</w:t>
            </w:r>
          </w:p>
        </w:tc>
        <w:tc>
          <w:tcPr>
            <w:tcW w:w="1843" w:type="dxa"/>
            <w:vAlign w:val="center"/>
          </w:tcPr>
          <w:p w14:paraId="2EEDEF7F">
            <w:pPr>
              <w:pStyle w:val="59"/>
              <w:rPr>
                <w:rFonts w:ascii="黑体" w:hAnsi="黑体" w:eastAsia="黑体"/>
              </w:rPr>
            </w:pPr>
            <w:r>
              <w:rPr>
                <w:rFonts w:hint="eastAsia" w:ascii="黑体" w:hAnsi="黑体" w:eastAsia="黑体"/>
              </w:rPr>
              <w:t>2020年现状</w:t>
            </w:r>
          </w:p>
        </w:tc>
        <w:tc>
          <w:tcPr>
            <w:tcW w:w="1984" w:type="dxa"/>
            <w:vAlign w:val="center"/>
          </w:tcPr>
          <w:p w14:paraId="387BF8D1">
            <w:pPr>
              <w:pStyle w:val="59"/>
              <w:rPr>
                <w:rFonts w:ascii="黑体" w:hAnsi="黑体" w:eastAsia="黑体"/>
              </w:rPr>
            </w:pPr>
            <w:r>
              <w:rPr>
                <w:rFonts w:hint="eastAsia" w:ascii="黑体" w:hAnsi="黑体" w:eastAsia="黑体"/>
              </w:rPr>
              <w:t>2025年目标</w:t>
            </w:r>
          </w:p>
        </w:tc>
        <w:tc>
          <w:tcPr>
            <w:tcW w:w="1418" w:type="dxa"/>
            <w:vAlign w:val="center"/>
          </w:tcPr>
          <w:p w14:paraId="15A4A413">
            <w:pPr>
              <w:pStyle w:val="59"/>
              <w:rPr>
                <w:rFonts w:ascii="黑体" w:hAnsi="黑体" w:eastAsia="黑体"/>
              </w:rPr>
            </w:pPr>
            <w:r>
              <w:rPr>
                <w:rFonts w:hint="eastAsia" w:ascii="黑体" w:hAnsi="黑体" w:eastAsia="黑体"/>
              </w:rPr>
              <w:t>2035年目标</w:t>
            </w:r>
          </w:p>
        </w:tc>
        <w:tc>
          <w:tcPr>
            <w:tcW w:w="1472" w:type="dxa"/>
            <w:shd w:val="clear" w:color="auto" w:fill="auto"/>
            <w:vAlign w:val="center"/>
          </w:tcPr>
          <w:p w14:paraId="548F1354">
            <w:pPr>
              <w:pStyle w:val="59"/>
              <w:rPr>
                <w:rFonts w:ascii="黑体" w:hAnsi="黑体" w:eastAsia="黑体"/>
              </w:rPr>
            </w:pPr>
            <w:r>
              <w:rPr>
                <w:rFonts w:hint="eastAsia" w:ascii="黑体" w:hAnsi="黑体" w:eastAsia="黑体"/>
              </w:rPr>
              <w:t>指标属性</w:t>
            </w:r>
          </w:p>
        </w:tc>
      </w:tr>
      <w:tr w14:paraId="54F6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shd w:val="clear" w:color="auto" w:fill="auto"/>
            <w:vAlign w:val="center"/>
          </w:tcPr>
          <w:p w14:paraId="5D046BFD">
            <w:pPr>
              <w:pStyle w:val="59"/>
              <w:rPr>
                <w:b/>
                <w:bCs/>
              </w:rPr>
            </w:pPr>
            <w:r>
              <w:rPr>
                <w:rFonts w:hint="eastAsia"/>
                <w:b/>
                <w:bCs/>
              </w:rPr>
              <w:t>空气清新</w:t>
            </w:r>
          </w:p>
        </w:tc>
        <w:tc>
          <w:tcPr>
            <w:tcW w:w="851" w:type="dxa"/>
            <w:shd w:val="clear" w:color="auto" w:fill="auto"/>
            <w:vAlign w:val="center"/>
          </w:tcPr>
          <w:p w14:paraId="06BF2D8F">
            <w:pPr>
              <w:pStyle w:val="59"/>
            </w:pPr>
            <w:r>
              <w:rPr>
                <w:rFonts w:hint="eastAsia"/>
              </w:rPr>
              <w:t>1</w:t>
            </w:r>
          </w:p>
        </w:tc>
        <w:tc>
          <w:tcPr>
            <w:tcW w:w="4961" w:type="dxa"/>
            <w:shd w:val="clear" w:color="auto" w:fill="auto"/>
            <w:vAlign w:val="center"/>
          </w:tcPr>
          <w:p w14:paraId="0EA9479C">
            <w:pPr>
              <w:pStyle w:val="59"/>
            </w:pPr>
            <w:r>
              <w:rPr>
                <w:rFonts w:hint="eastAsia"/>
              </w:rPr>
              <w:t>PM</w:t>
            </w:r>
            <w:r>
              <w:rPr>
                <w:rFonts w:hint="eastAsia"/>
                <w:vertAlign w:val="subscript"/>
              </w:rPr>
              <w:t>2.5</w:t>
            </w:r>
            <w:r>
              <w:rPr>
                <w:rFonts w:hint="eastAsia"/>
              </w:rPr>
              <w:t>浓度（</w:t>
            </w:r>
            <w:r>
              <w:rPr>
                <w:rFonts w:hint="eastAsia"/>
                <w:bCs/>
                <w:kern w:val="24"/>
              </w:rPr>
              <w:t>μg/m</w:t>
            </w:r>
            <w:r>
              <w:rPr>
                <w:rFonts w:hint="eastAsia"/>
                <w:bCs/>
                <w:kern w:val="24"/>
                <w:vertAlign w:val="superscript"/>
              </w:rPr>
              <w:t>3</w:t>
            </w:r>
            <w:r>
              <w:rPr>
                <w:rFonts w:hint="eastAsia"/>
              </w:rPr>
              <w:t>）</w:t>
            </w:r>
          </w:p>
        </w:tc>
        <w:tc>
          <w:tcPr>
            <w:tcW w:w="1843" w:type="dxa"/>
            <w:vAlign w:val="center"/>
          </w:tcPr>
          <w:p w14:paraId="7EC2791D">
            <w:pPr>
              <w:pStyle w:val="59"/>
            </w:pPr>
            <w:r>
              <w:rPr>
                <w:rFonts w:hint="eastAsia"/>
              </w:rPr>
              <w:t>-</w:t>
            </w:r>
          </w:p>
        </w:tc>
        <w:tc>
          <w:tcPr>
            <w:tcW w:w="1984" w:type="dxa"/>
            <w:vAlign w:val="center"/>
          </w:tcPr>
          <w:p w14:paraId="1770823C">
            <w:pPr>
              <w:pStyle w:val="59"/>
            </w:pPr>
            <w:r>
              <w:rPr>
                <w:rFonts w:hint="eastAsia"/>
              </w:rPr>
              <w:t>力争逐年下降</w:t>
            </w:r>
          </w:p>
          <w:p w14:paraId="45CB25D0">
            <w:pPr>
              <w:pStyle w:val="59"/>
            </w:pPr>
            <w:r>
              <w:rPr>
                <w:rFonts w:hint="eastAsia"/>
              </w:rPr>
              <w:t>（43μg/m</w:t>
            </w:r>
            <w:r>
              <w:rPr>
                <w:rFonts w:hint="eastAsia"/>
                <w:vertAlign w:val="superscript"/>
              </w:rPr>
              <w:t>3</w:t>
            </w:r>
            <w:r>
              <w:rPr>
                <w:rFonts w:hint="eastAsia"/>
              </w:rPr>
              <w:t>）</w:t>
            </w:r>
          </w:p>
        </w:tc>
        <w:tc>
          <w:tcPr>
            <w:tcW w:w="1418" w:type="dxa"/>
          </w:tcPr>
          <w:p w14:paraId="72317374">
            <w:pPr>
              <w:pStyle w:val="59"/>
            </w:pPr>
          </w:p>
        </w:tc>
        <w:tc>
          <w:tcPr>
            <w:tcW w:w="1507" w:type="dxa"/>
            <w:gridSpan w:val="2"/>
            <w:shd w:val="clear" w:color="auto" w:fill="auto"/>
            <w:vAlign w:val="center"/>
          </w:tcPr>
          <w:p w14:paraId="16F89E1D">
            <w:pPr>
              <w:pStyle w:val="59"/>
            </w:pPr>
            <w:r>
              <w:rPr>
                <w:rFonts w:hint="eastAsia"/>
              </w:rPr>
              <w:t>约束性指标</w:t>
            </w:r>
          </w:p>
        </w:tc>
      </w:tr>
      <w:tr w14:paraId="1779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28B09FAB">
            <w:pPr>
              <w:pStyle w:val="59"/>
              <w:rPr>
                <w:b/>
                <w:bCs/>
              </w:rPr>
            </w:pPr>
          </w:p>
        </w:tc>
        <w:tc>
          <w:tcPr>
            <w:tcW w:w="851" w:type="dxa"/>
            <w:shd w:val="clear" w:color="auto" w:fill="auto"/>
            <w:vAlign w:val="center"/>
          </w:tcPr>
          <w:p w14:paraId="0D4DCC8B">
            <w:pPr>
              <w:pStyle w:val="59"/>
            </w:pPr>
            <w:r>
              <w:rPr>
                <w:rFonts w:hint="eastAsia"/>
              </w:rPr>
              <w:t>2</w:t>
            </w:r>
          </w:p>
        </w:tc>
        <w:tc>
          <w:tcPr>
            <w:tcW w:w="4961" w:type="dxa"/>
            <w:shd w:val="clear" w:color="auto" w:fill="auto"/>
            <w:vAlign w:val="center"/>
          </w:tcPr>
          <w:p w14:paraId="6DD12F78">
            <w:pPr>
              <w:pStyle w:val="59"/>
            </w:pPr>
            <w:r>
              <w:rPr>
                <w:rFonts w:hint="eastAsia"/>
              </w:rPr>
              <w:t>空气质量优良天数比例（%）</w:t>
            </w:r>
          </w:p>
        </w:tc>
        <w:tc>
          <w:tcPr>
            <w:tcW w:w="1843" w:type="dxa"/>
            <w:vAlign w:val="center"/>
          </w:tcPr>
          <w:p w14:paraId="529B44F0">
            <w:pPr>
              <w:pStyle w:val="59"/>
            </w:pPr>
            <w:r>
              <w:rPr>
                <w:rFonts w:hint="eastAsia"/>
              </w:rPr>
              <w:t>66.9</w:t>
            </w:r>
          </w:p>
        </w:tc>
        <w:tc>
          <w:tcPr>
            <w:tcW w:w="1984" w:type="dxa"/>
            <w:vAlign w:val="center"/>
          </w:tcPr>
          <w:p w14:paraId="0B434DC9">
            <w:pPr>
              <w:pStyle w:val="59"/>
            </w:pPr>
            <w:r>
              <w:rPr>
                <w:rFonts w:hint="eastAsia"/>
              </w:rPr>
              <w:t>完成全市下达任务目标</w:t>
            </w:r>
          </w:p>
        </w:tc>
        <w:tc>
          <w:tcPr>
            <w:tcW w:w="1418" w:type="dxa"/>
          </w:tcPr>
          <w:p w14:paraId="006ADB4A">
            <w:pPr>
              <w:pStyle w:val="59"/>
            </w:pPr>
          </w:p>
        </w:tc>
        <w:tc>
          <w:tcPr>
            <w:tcW w:w="1507" w:type="dxa"/>
            <w:gridSpan w:val="2"/>
            <w:shd w:val="clear" w:color="auto" w:fill="auto"/>
            <w:vAlign w:val="center"/>
          </w:tcPr>
          <w:p w14:paraId="64BB966D">
            <w:pPr>
              <w:pStyle w:val="59"/>
            </w:pPr>
            <w:r>
              <w:rPr>
                <w:rFonts w:hint="eastAsia"/>
              </w:rPr>
              <w:t>约束性指标</w:t>
            </w:r>
          </w:p>
        </w:tc>
      </w:tr>
      <w:tr w14:paraId="423D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shd w:val="clear" w:color="auto" w:fill="auto"/>
            <w:vAlign w:val="center"/>
          </w:tcPr>
          <w:p w14:paraId="28F50715">
            <w:pPr>
              <w:pStyle w:val="59"/>
              <w:rPr>
                <w:b/>
                <w:bCs/>
              </w:rPr>
            </w:pPr>
            <w:r>
              <w:rPr>
                <w:rFonts w:hint="eastAsia"/>
                <w:b/>
                <w:bCs/>
              </w:rPr>
              <w:t>水体洁净</w:t>
            </w:r>
          </w:p>
        </w:tc>
        <w:tc>
          <w:tcPr>
            <w:tcW w:w="851" w:type="dxa"/>
            <w:shd w:val="clear" w:color="auto" w:fill="auto"/>
            <w:vAlign w:val="center"/>
          </w:tcPr>
          <w:p w14:paraId="15F356F8">
            <w:pPr>
              <w:pStyle w:val="59"/>
            </w:pPr>
            <w:r>
              <w:rPr>
                <w:rFonts w:hint="eastAsia"/>
              </w:rPr>
              <w:t>3</w:t>
            </w:r>
          </w:p>
        </w:tc>
        <w:tc>
          <w:tcPr>
            <w:tcW w:w="4961" w:type="dxa"/>
            <w:shd w:val="clear" w:color="auto" w:fill="auto"/>
            <w:vAlign w:val="center"/>
          </w:tcPr>
          <w:p w14:paraId="401A7211">
            <w:pPr>
              <w:pStyle w:val="59"/>
            </w:pPr>
            <w:r>
              <w:rPr>
                <w:rFonts w:hint="eastAsia"/>
              </w:rPr>
              <w:t>地表水水质优良（达到或好于III类）比例（%）</w:t>
            </w:r>
          </w:p>
        </w:tc>
        <w:tc>
          <w:tcPr>
            <w:tcW w:w="1843" w:type="dxa"/>
            <w:vAlign w:val="center"/>
          </w:tcPr>
          <w:p w14:paraId="591CDF91">
            <w:pPr>
              <w:pStyle w:val="59"/>
            </w:pPr>
            <w:r>
              <w:rPr>
                <w:rFonts w:hint="eastAsia"/>
              </w:rPr>
              <w:t>50</w:t>
            </w:r>
          </w:p>
        </w:tc>
        <w:tc>
          <w:tcPr>
            <w:tcW w:w="1984" w:type="dxa"/>
            <w:vAlign w:val="center"/>
          </w:tcPr>
          <w:p w14:paraId="39319E83">
            <w:pPr>
              <w:pStyle w:val="59"/>
            </w:pPr>
          </w:p>
        </w:tc>
        <w:tc>
          <w:tcPr>
            <w:tcW w:w="1418" w:type="dxa"/>
          </w:tcPr>
          <w:p w14:paraId="39268C6B">
            <w:pPr>
              <w:pStyle w:val="59"/>
            </w:pPr>
          </w:p>
        </w:tc>
        <w:tc>
          <w:tcPr>
            <w:tcW w:w="1507" w:type="dxa"/>
            <w:gridSpan w:val="2"/>
            <w:shd w:val="clear" w:color="auto" w:fill="auto"/>
            <w:vAlign w:val="center"/>
          </w:tcPr>
          <w:p w14:paraId="79748CD3">
            <w:pPr>
              <w:pStyle w:val="59"/>
            </w:pPr>
            <w:r>
              <w:rPr>
                <w:rFonts w:hint="eastAsia"/>
              </w:rPr>
              <w:t>约束性指标</w:t>
            </w:r>
          </w:p>
        </w:tc>
      </w:tr>
      <w:tr w14:paraId="148E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6FF6FD40">
            <w:pPr>
              <w:pStyle w:val="59"/>
              <w:rPr>
                <w:b/>
                <w:bCs/>
              </w:rPr>
            </w:pPr>
          </w:p>
        </w:tc>
        <w:tc>
          <w:tcPr>
            <w:tcW w:w="851" w:type="dxa"/>
            <w:shd w:val="clear" w:color="auto" w:fill="auto"/>
            <w:vAlign w:val="center"/>
          </w:tcPr>
          <w:p w14:paraId="03AF3EED">
            <w:pPr>
              <w:pStyle w:val="59"/>
            </w:pPr>
            <w:r>
              <w:rPr>
                <w:rFonts w:hint="eastAsia"/>
              </w:rPr>
              <w:t>4</w:t>
            </w:r>
          </w:p>
        </w:tc>
        <w:tc>
          <w:tcPr>
            <w:tcW w:w="4961" w:type="dxa"/>
            <w:shd w:val="clear" w:color="auto" w:fill="auto"/>
            <w:vAlign w:val="center"/>
          </w:tcPr>
          <w:p w14:paraId="1B7F7BD9">
            <w:pPr>
              <w:pStyle w:val="59"/>
            </w:pPr>
            <w:r>
              <w:rPr>
                <w:rFonts w:hint="eastAsia"/>
              </w:rPr>
              <w:t>地表水劣Ⅴ类水体比例（%）</w:t>
            </w:r>
          </w:p>
        </w:tc>
        <w:tc>
          <w:tcPr>
            <w:tcW w:w="1843" w:type="dxa"/>
            <w:vAlign w:val="center"/>
          </w:tcPr>
          <w:p w14:paraId="57A8447B">
            <w:pPr>
              <w:pStyle w:val="59"/>
            </w:pPr>
            <w:r>
              <w:rPr>
                <w:rFonts w:hint="eastAsia"/>
              </w:rPr>
              <w:t>0</w:t>
            </w:r>
          </w:p>
        </w:tc>
        <w:tc>
          <w:tcPr>
            <w:tcW w:w="1984" w:type="dxa"/>
            <w:vAlign w:val="center"/>
          </w:tcPr>
          <w:p w14:paraId="623BE7B0">
            <w:pPr>
              <w:pStyle w:val="59"/>
            </w:pPr>
            <w:r>
              <w:rPr>
                <w:rFonts w:hint="eastAsia"/>
              </w:rPr>
              <w:t>全面消除</w:t>
            </w:r>
          </w:p>
        </w:tc>
        <w:tc>
          <w:tcPr>
            <w:tcW w:w="1418" w:type="dxa"/>
          </w:tcPr>
          <w:p w14:paraId="746AAF14">
            <w:pPr>
              <w:pStyle w:val="59"/>
            </w:pPr>
          </w:p>
        </w:tc>
        <w:tc>
          <w:tcPr>
            <w:tcW w:w="1507" w:type="dxa"/>
            <w:gridSpan w:val="2"/>
            <w:shd w:val="clear" w:color="auto" w:fill="auto"/>
            <w:vAlign w:val="center"/>
          </w:tcPr>
          <w:p w14:paraId="511166D5">
            <w:pPr>
              <w:pStyle w:val="59"/>
            </w:pPr>
            <w:r>
              <w:rPr>
                <w:rFonts w:hint="eastAsia"/>
              </w:rPr>
              <w:t>约束性指标</w:t>
            </w:r>
          </w:p>
        </w:tc>
      </w:tr>
      <w:tr w14:paraId="73F3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76121D8F">
            <w:pPr>
              <w:pStyle w:val="59"/>
              <w:rPr>
                <w:b/>
                <w:bCs/>
              </w:rPr>
            </w:pPr>
          </w:p>
        </w:tc>
        <w:tc>
          <w:tcPr>
            <w:tcW w:w="851" w:type="dxa"/>
            <w:shd w:val="clear" w:color="auto" w:fill="auto"/>
            <w:vAlign w:val="center"/>
          </w:tcPr>
          <w:p w14:paraId="5965CD98">
            <w:pPr>
              <w:pStyle w:val="59"/>
            </w:pPr>
            <w:r>
              <w:rPr>
                <w:rFonts w:hint="eastAsia"/>
              </w:rPr>
              <w:t>5</w:t>
            </w:r>
          </w:p>
        </w:tc>
        <w:tc>
          <w:tcPr>
            <w:tcW w:w="4961" w:type="dxa"/>
            <w:shd w:val="clear" w:color="auto" w:fill="auto"/>
            <w:noWrap/>
            <w:vAlign w:val="center"/>
          </w:tcPr>
          <w:p w14:paraId="2F9F5ED3">
            <w:pPr>
              <w:pStyle w:val="59"/>
              <w:rPr>
                <w:kern w:val="0"/>
              </w:rPr>
            </w:pPr>
            <w:r>
              <w:rPr>
                <w:rFonts w:hint="eastAsia"/>
              </w:rPr>
              <w:t>黑臭水体控制比例（%）（国家：黑臭水体比例）</w:t>
            </w:r>
          </w:p>
        </w:tc>
        <w:tc>
          <w:tcPr>
            <w:tcW w:w="1843" w:type="dxa"/>
            <w:vAlign w:val="center"/>
          </w:tcPr>
          <w:p w14:paraId="5ABC6181">
            <w:pPr>
              <w:pStyle w:val="59"/>
            </w:pPr>
          </w:p>
        </w:tc>
        <w:tc>
          <w:tcPr>
            <w:tcW w:w="1984" w:type="dxa"/>
            <w:vAlign w:val="center"/>
          </w:tcPr>
          <w:p w14:paraId="01368A50">
            <w:pPr>
              <w:pStyle w:val="59"/>
            </w:pPr>
          </w:p>
        </w:tc>
        <w:tc>
          <w:tcPr>
            <w:tcW w:w="1418" w:type="dxa"/>
          </w:tcPr>
          <w:p w14:paraId="652620F5">
            <w:pPr>
              <w:pStyle w:val="59"/>
            </w:pPr>
          </w:p>
        </w:tc>
        <w:tc>
          <w:tcPr>
            <w:tcW w:w="1507" w:type="dxa"/>
            <w:gridSpan w:val="2"/>
            <w:shd w:val="clear" w:color="auto" w:fill="auto"/>
            <w:vAlign w:val="center"/>
          </w:tcPr>
          <w:p w14:paraId="3BEB81BB">
            <w:pPr>
              <w:pStyle w:val="59"/>
            </w:pPr>
            <w:r>
              <w:rPr>
                <w:rFonts w:hint="eastAsia"/>
              </w:rPr>
              <w:t>预期性指标</w:t>
            </w:r>
          </w:p>
        </w:tc>
      </w:tr>
      <w:tr w14:paraId="0A1D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556BC505">
            <w:pPr>
              <w:pStyle w:val="59"/>
              <w:rPr>
                <w:b/>
                <w:bCs/>
              </w:rPr>
            </w:pPr>
          </w:p>
        </w:tc>
        <w:tc>
          <w:tcPr>
            <w:tcW w:w="851" w:type="dxa"/>
            <w:shd w:val="clear" w:color="auto" w:fill="auto"/>
            <w:vAlign w:val="center"/>
          </w:tcPr>
          <w:p w14:paraId="4FE8C0C7">
            <w:pPr>
              <w:pStyle w:val="59"/>
            </w:pPr>
            <w:r>
              <w:rPr>
                <w:rFonts w:hint="eastAsia"/>
              </w:rPr>
              <w:t>6</w:t>
            </w:r>
          </w:p>
        </w:tc>
        <w:tc>
          <w:tcPr>
            <w:tcW w:w="4961" w:type="dxa"/>
            <w:shd w:val="clear" w:color="auto" w:fill="auto"/>
            <w:noWrap/>
            <w:vAlign w:val="center"/>
          </w:tcPr>
          <w:p w14:paraId="134781F0">
            <w:pPr>
              <w:pStyle w:val="59"/>
            </w:pPr>
            <w:r>
              <w:rPr>
                <w:rFonts w:hint="eastAsia"/>
              </w:rPr>
              <w:t>城市建成区黑臭水体控制比例（%）（国家：黑臭水体比例）</w:t>
            </w:r>
          </w:p>
        </w:tc>
        <w:tc>
          <w:tcPr>
            <w:tcW w:w="1843" w:type="dxa"/>
            <w:vAlign w:val="center"/>
          </w:tcPr>
          <w:p w14:paraId="58F4EAEE">
            <w:pPr>
              <w:pStyle w:val="59"/>
            </w:pPr>
          </w:p>
        </w:tc>
        <w:tc>
          <w:tcPr>
            <w:tcW w:w="1984" w:type="dxa"/>
            <w:vAlign w:val="center"/>
          </w:tcPr>
          <w:p w14:paraId="109564AC">
            <w:pPr>
              <w:pStyle w:val="59"/>
            </w:pPr>
          </w:p>
        </w:tc>
        <w:tc>
          <w:tcPr>
            <w:tcW w:w="1418" w:type="dxa"/>
          </w:tcPr>
          <w:p w14:paraId="1813C030">
            <w:pPr>
              <w:pStyle w:val="59"/>
            </w:pPr>
          </w:p>
        </w:tc>
        <w:tc>
          <w:tcPr>
            <w:tcW w:w="1507" w:type="dxa"/>
            <w:gridSpan w:val="2"/>
            <w:shd w:val="clear" w:color="auto" w:fill="auto"/>
            <w:vAlign w:val="center"/>
          </w:tcPr>
          <w:p w14:paraId="79D00A28">
            <w:pPr>
              <w:pStyle w:val="59"/>
            </w:pPr>
            <w:r>
              <w:rPr>
                <w:rFonts w:hint="eastAsia"/>
              </w:rPr>
              <w:t>预期性指标</w:t>
            </w:r>
          </w:p>
        </w:tc>
      </w:tr>
      <w:tr w14:paraId="1326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shd w:val="clear" w:color="auto" w:fill="auto"/>
            <w:vAlign w:val="center"/>
          </w:tcPr>
          <w:p w14:paraId="74C167D7">
            <w:pPr>
              <w:pStyle w:val="59"/>
              <w:rPr>
                <w:b/>
                <w:bCs/>
              </w:rPr>
            </w:pPr>
            <w:r>
              <w:rPr>
                <w:rFonts w:hint="eastAsia"/>
                <w:b/>
                <w:bCs/>
              </w:rPr>
              <w:t>土壤安全</w:t>
            </w:r>
          </w:p>
        </w:tc>
        <w:tc>
          <w:tcPr>
            <w:tcW w:w="851" w:type="dxa"/>
            <w:shd w:val="clear" w:color="auto" w:fill="auto"/>
            <w:vAlign w:val="center"/>
          </w:tcPr>
          <w:p w14:paraId="5D0ED807">
            <w:pPr>
              <w:pStyle w:val="59"/>
            </w:pPr>
            <w:r>
              <w:rPr>
                <w:rFonts w:hint="eastAsia"/>
              </w:rPr>
              <w:t>7</w:t>
            </w:r>
          </w:p>
        </w:tc>
        <w:tc>
          <w:tcPr>
            <w:tcW w:w="4961" w:type="dxa"/>
            <w:shd w:val="clear" w:color="auto" w:fill="auto"/>
            <w:vAlign w:val="center"/>
          </w:tcPr>
          <w:p w14:paraId="5B624108">
            <w:pPr>
              <w:pStyle w:val="59"/>
            </w:pPr>
            <w:r>
              <w:rPr>
                <w:rFonts w:hint="eastAsia"/>
              </w:rPr>
              <w:t>受污染耕地安全利用率（%）</w:t>
            </w:r>
          </w:p>
        </w:tc>
        <w:tc>
          <w:tcPr>
            <w:tcW w:w="1843" w:type="dxa"/>
            <w:vAlign w:val="center"/>
          </w:tcPr>
          <w:p w14:paraId="6CA9A8D4">
            <w:pPr>
              <w:pStyle w:val="59"/>
            </w:pPr>
            <w:r>
              <w:rPr>
                <w:rFonts w:hint="eastAsia"/>
              </w:rPr>
              <w:t>91</w:t>
            </w:r>
          </w:p>
        </w:tc>
        <w:tc>
          <w:tcPr>
            <w:tcW w:w="1984" w:type="dxa"/>
            <w:vAlign w:val="center"/>
          </w:tcPr>
          <w:p w14:paraId="66770101">
            <w:pPr>
              <w:pStyle w:val="59"/>
            </w:pPr>
            <w:r>
              <w:rPr>
                <w:rFonts w:hint="eastAsia"/>
              </w:rPr>
              <w:t>94</w:t>
            </w:r>
          </w:p>
        </w:tc>
        <w:tc>
          <w:tcPr>
            <w:tcW w:w="1418" w:type="dxa"/>
          </w:tcPr>
          <w:p w14:paraId="230CDDB9">
            <w:pPr>
              <w:pStyle w:val="59"/>
            </w:pPr>
          </w:p>
        </w:tc>
        <w:tc>
          <w:tcPr>
            <w:tcW w:w="1507" w:type="dxa"/>
            <w:gridSpan w:val="2"/>
            <w:shd w:val="clear" w:color="auto" w:fill="auto"/>
            <w:vAlign w:val="center"/>
          </w:tcPr>
          <w:p w14:paraId="03E99182">
            <w:pPr>
              <w:pStyle w:val="59"/>
            </w:pPr>
            <w:r>
              <w:rPr>
                <w:rFonts w:hint="eastAsia"/>
              </w:rPr>
              <w:t>约束性指标</w:t>
            </w:r>
          </w:p>
        </w:tc>
      </w:tr>
      <w:tr w14:paraId="589B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42AAB6C2">
            <w:pPr>
              <w:pStyle w:val="59"/>
              <w:rPr>
                <w:b/>
                <w:bCs/>
              </w:rPr>
            </w:pPr>
          </w:p>
        </w:tc>
        <w:tc>
          <w:tcPr>
            <w:tcW w:w="851" w:type="dxa"/>
            <w:shd w:val="clear" w:color="auto" w:fill="auto"/>
            <w:vAlign w:val="center"/>
          </w:tcPr>
          <w:p w14:paraId="376F32EA">
            <w:pPr>
              <w:pStyle w:val="59"/>
            </w:pPr>
            <w:r>
              <w:rPr>
                <w:rFonts w:hint="eastAsia"/>
              </w:rPr>
              <w:t>8</w:t>
            </w:r>
          </w:p>
        </w:tc>
        <w:tc>
          <w:tcPr>
            <w:tcW w:w="4961" w:type="dxa"/>
            <w:shd w:val="clear" w:color="auto" w:fill="auto"/>
            <w:vAlign w:val="center"/>
          </w:tcPr>
          <w:p w14:paraId="57FC11F8">
            <w:pPr>
              <w:pStyle w:val="59"/>
            </w:pPr>
            <w:r>
              <w:rPr>
                <w:rFonts w:hint="eastAsia"/>
              </w:rPr>
              <w:t>污染地块安全利用率（%）</w:t>
            </w:r>
          </w:p>
        </w:tc>
        <w:tc>
          <w:tcPr>
            <w:tcW w:w="1843" w:type="dxa"/>
            <w:vAlign w:val="center"/>
          </w:tcPr>
          <w:p w14:paraId="57C47B5A">
            <w:pPr>
              <w:pStyle w:val="59"/>
            </w:pPr>
            <w:r>
              <w:rPr>
                <w:rFonts w:hint="eastAsia"/>
              </w:rPr>
              <w:t>92</w:t>
            </w:r>
          </w:p>
        </w:tc>
        <w:tc>
          <w:tcPr>
            <w:tcW w:w="1984" w:type="dxa"/>
            <w:vAlign w:val="center"/>
          </w:tcPr>
          <w:p w14:paraId="4B53E149">
            <w:pPr>
              <w:pStyle w:val="59"/>
            </w:pPr>
            <w:r>
              <w:rPr>
                <w:rFonts w:hint="eastAsia"/>
              </w:rPr>
              <w:t>94</w:t>
            </w:r>
          </w:p>
        </w:tc>
        <w:tc>
          <w:tcPr>
            <w:tcW w:w="1418" w:type="dxa"/>
          </w:tcPr>
          <w:p w14:paraId="7CA6FF3C">
            <w:pPr>
              <w:pStyle w:val="59"/>
            </w:pPr>
          </w:p>
        </w:tc>
        <w:tc>
          <w:tcPr>
            <w:tcW w:w="1507" w:type="dxa"/>
            <w:gridSpan w:val="2"/>
            <w:shd w:val="clear" w:color="auto" w:fill="auto"/>
            <w:vAlign w:val="center"/>
          </w:tcPr>
          <w:p w14:paraId="4A04EB86">
            <w:pPr>
              <w:pStyle w:val="59"/>
            </w:pPr>
            <w:r>
              <w:rPr>
                <w:rFonts w:hint="eastAsia"/>
              </w:rPr>
              <w:t>约束性指标</w:t>
            </w:r>
          </w:p>
        </w:tc>
      </w:tr>
      <w:tr w14:paraId="5188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6C2D3023">
            <w:pPr>
              <w:pStyle w:val="59"/>
              <w:rPr>
                <w:b/>
                <w:bCs/>
              </w:rPr>
            </w:pPr>
          </w:p>
        </w:tc>
        <w:tc>
          <w:tcPr>
            <w:tcW w:w="851" w:type="dxa"/>
            <w:shd w:val="clear" w:color="auto" w:fill="auto"/>
            <w:vAlign w:val="center"/>
          </w:tcPr>
          <w:p w14:paraId="6D467366">
            <w:pPr>
              <w:pStyle w:val="59"/>
            </w:pPr>
            <w:r>
              <w:rPr>
                <w:rFonts w:hint="eastAsia"/>
              </w:rPr>
              <w:t>9</w:t>
            </w:r>
          </w:p>
        </w:tc>
        <w:tc>
          <w:tcPr>
            <w:tcW w:w="4961" w:type="dxa"/>
            <w:shd w:val="clear" w:color="auto" w:fill="auto"/>
            <w:vAlign w:val="center"/>
          </w:tcPr>
          <w:p w14:paraId="79C4B240">
            <w:pPr>
              <w:pStyle w:val="59"/>
              <w:rPr>
                <w:kern w:val="0"/>
              </w:rPr>
            </w:pPr>
            <w:r>
              <w:rPr>
                <w:rFonts w:hint="eastAsia"/>
              </w:rPr>
              <w:t>地下水质量V类水比例（%）</w:t>
            </w:r>
          </w:p>
        </w:tc>
        <w:tc>
          <w:tcPr>
            <w:tcW w:w="1843" w:type="dxa"/>
            <w:vAlign w:val="center"/>
          </w:tcPr>
          <w:p w14:paraId="6AFBE271">
            <w:pPr>
              <w:pStyle w:val="59"/>
              <w:rPr>
                <w:color w:val="000000"/>
                <w:kern w:val="0"/>
              </w:rPr>
            </w:pPr>
            <w:r>
              <w:rPr>
                <w:rFonts w:hint="eastAsia"/>
              </w:rPr>
              <w:t>6.25</w:t>
            </w:r>
          </w:p>
        </w:tc>
        <w:tc>
          <w:tcPr>
            <w:tcW w:w="1984" w:type="dxa"/>
            <w:vAlign w:val="center"/>
          </w:tcPr>
          <w:p w14:paraId="531E5150">
            <w:pPr>
              <w:pStyle w:val="59"/>
              <w:rPr>
                <w:color w:val="000000"/>
                <w:kern w:val="0"/>
              </w:rPr>
            </w:pPr>
            <w:r>
              <w:rPr>
                <w:rFonts w:hint="eastAsia"/>
              </w:rPr>
              <w:t>25（考核点位调整中）</w:t>
            </w:r>
          </w:p>
        </w:tc>
        <w:tc>
          <w:tcPr>
            <w:tcW w:w="1418" w:type="dxa"/>
          </w:tcPr>
          <w:p w14:paraId="113108A1">
            <w:pPr>
              <w:pStyle w:val="59"/>
            </w:pPr>
          </w:p>
        </w:tc>
        <w:tc>
          <w:tcPr>
            <w:tcW w:w="1507" w:type="dxa"/>
            <w:gridSpan w:val="2"/>
            <w:shd w:val="clear" w:color="auto" w:fill="auto"/>
            <w:vAlign w:val="center"/>
          </w:tcPr>
          <w:p w14:paraId="53B92B0D">
            <w:pPr>
              <w:pStyle w:val="59"/>
            </w:pPr>
            <w:r>
              <w:rPr>
                <w:rFonts w:hint="eastAsia"/>
              </w:rPr>
              <w:t>预期性指标</w:t>
            </w:r>
          </w:p>
        </w:tc>
      </w:tr>
      <w:tr w14:paraId="6F1D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restart"/>
            <w:vAlign w:val="center"/>
          </w:tcPr>
          <w:p w14:paraId="55D75D25">
            <w:pPr>
              <w:pStyle w:val="59"/>
              <w:rPr>
                <w:b/>
                <w:bCs/>
              </w:rPr>
            </w:pPr>
            <w:r>
              <w:rPr>
                <w:rFonts w:hint="eastAsia"/>
                <w:b/>
                <w:bCs/>
              </w:rPr>
              <w:t>污染物总量减排</w:t>
            </w:r>
          </w:p>
        </w:tc>
        <w:tc>
          <w:tcPr>
            <w:tcW w:w="851" w:type="dxa"/>
            <w:vMerge w:val="restart"/>
            <w:shd w:val="clear" w:color="auto" w:fill="auto"/>
            <w:vAlign w:val="center"/>
          </w:tcPr>
          <w:p w14:paraId="2B1240F0">
            <w:pPr>
              <w:pStyle w:val="59"/>
            </w:pPr>
            <w:r>
              <w:rPr>
                <w:rFonts w:hint="eastAsia"/>
              </w:rPr>
              <w:t>10</w:t>
            </w:r>
          </w:p>
        </w:tc>
        <w:tc>
          <w:tcPr>
            <w:tcW w:w="4961" w:type="dxa"/>
            <w:shd w:val="clear" w:color="auto" w:fill="auto"/>
            <w:vAlign w:val="center"/>
          </w:tcPr>
          <w:p w14:paraId="4547BF3B">
            <w:pPr>
              <w:pStyle w:val="59"/>
              <w:rPr>
                <w:color w:val="000000"/>
              </w:rPr>
            </w:pPr>
            <w:r>
              <w:rPr>
                <w:rFonts w:hint="eastAsia"/>
              </w:rPr>
              <w:t>VOCs排放总量减少（%）</w:t>
            </w:r>
          </w:p>
        </w:tc>
        <w:tc>
          <w:tcPr>
            <w:tcW w:w="1843" w:type="dxa"/>
            <w:vAlign w:val="center"/>
          </w:tcPr>
          <w:p w14:paraId="45F29B21">
            <w:pPr>
              <w:pStyle w:val="59"/>
            </w:pPr>
          </w:p>
        </w:tc>
        <w:tc>
          <w:tcPr>
            <w:tcW w:w="1984" w:type="dxa"/>
            <w:vAlign w:val="center"/>
          </w:tcPr>
          <w:p w14:paraId="398DB2F5">
            <w:pPr>
              <w:pStyle w:val="59"/>
            </w:pPr>
            <w:r>
              <w:rPr>
                <w:rFonts w:hint="eastAsia"/>
              </w:rPr>
              <w:t>完成天津市下达指标</w:t>
            </w:r>
          </w:p>
        </w:tc>
        <w:tc>
          <w:tcPr>
            <w:tcW w:w="1418" w:type="dxa"/>
          </w:tcPr>
          <w:p w14:paraId="7EE0405A">
            <w:pPr>
              <w:pStyle w:val="59"/>
            </w:pPr>
          </w:p>
        </w:tc>
        <w:tc>
          <w:tcPr>
            <w:tcW w:w="1507" w:type="dxa"/>
            <w:gridSpan w:val="2"/>
            <w:shd w:val="clear" w:color="auto" w:fill="auto"/>
            <w:vAlign w:val="center"/>
          </w:tcPr>
          <w:p w14:paraId="19214076">
            <w:pPr>
              <w:pStyle w:val="59"/>
            </w:pPr>
            <w:r>
              <w:rPr>
                <w:rFonts w:hint="eastAsia"/>
              </w:rPr>
              <w:t>预期性指标</w:t>
            </w:r>
          </w:p>
        </w:tc>
      </w:tr>
      <w:tr w14:paraId="4126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06A7F726">
            <w:pPr>
              <w:pStyle w:val="59"/>
              <w:rPr>
                <w:b/>
                <w:bCs/>
              </w:rPr>
            </w:pPr>
          </w:p>
        </w:tc>
        <w:tc>
          <w:tcPr>
            <w:tcW w:w="851" w:type="dxa"/>
            <w:vMerge w:val="continue"/>
            <w:shd w:val="clear" w:color="auto" w:fill="auto"/>
            <w:vAlign w:val="center"/>
          </w:tcPr>
          <w:p w14:paraId="6717A9BF">
            <w:pPr>
              <w:pStyle w:val="59"/>
            </w:pPr>
          </w:p>
        </w:tc>
        <w:tc>
          <w:tcPr>
            <w:tcW w:w="4961" w:type="dxa"/>
            <w:shd w:val="clear" w:color="auto" w:fill="auto"/>
            <w:vAlign w:val="center"/>
          </w:tcPr>
          <w:p w14:paraId="55273060">
            <w:pPr>
              <w:pStyle w:val="59"/>
              <w:rPr>
                <w:color w:val="000000"/>
              </w:rPr>
            </w:pPr>
            <w:r>
              <w:rPr>
                <w:rFonts w:hint="eastAsia"/>
              </w:rPr>
              <w:t>NOx排放总量减少（%）</w:t>
            </w:r>
          </w:p>
        </w:tc>
        <w:tc>
          <w:tcPr>
            <w:tcW w:w="1843" w:type="dxa"/>
            <w:vAlign w:val="center"/>
          </w:tcPr>
          <w:p w14:paraId="0853024B">
            <w:pPr>
              <w:pStyle w:val="59"/>
            </w:pPr>
          </w:p>
        </w:tc>
        <w:tc>
          <w:tcPr>
            <w:tcW w:w="1984" w:type="dxa"/>
            <w:vAlign w:val="center"/>
          </w:tcPr>
          <w:p w14:paraId="19C5A2C4">
            <w:pPr>
              <w:pStyle w:val="59"/>
            </w:pPr>
            <w:r>
              <w:rPr>
                <w:rFonts w:hint="eastAsia"/>
              </w:rPr>
              <w:t>完成天津市下达指标</w:t>
            </w:r>
          </w:p>
        </w:tc>
        <w:tc>
          <w:tcPr>
            <w:tcW w:w="1418" w:type="dxa"/>
          </w:tcPr>
          <w:p w14:paraId="5B1C59B0">
            <w:pPr>
              <w:pStyle w:val="59"/>
            </w:pPr>
          </w:p>
        </w:tc>
        <w:tc>
          <w:tcPr>
            <w:tcW w:w="1507" w:type="dxa"/>
            <w:gridSpan w:val="2"/>
            <w:shd w:val="clear" w:color="auto" w:fill="auto"/>
            <w:vAlign w:val="center"/>
          </w:tcPr>
          <w:p w14:paraId="67788F29">
            <w:pPr>
              <w:pStyle w:val="59"/>
            </w:pPr>
            <w:r>
              <w:rPr>
                <w:rFonts w:hint="eastAsia"/>
              </w:rPr>
              <w:t>预期性指标</w:t>
            </w:r>
          </w:p>
        </w:tc>
      </w:tr>
      <w:tr w14:paraId="4577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3B452C01">
            <w:pPr>
              <w:pStyle w:val="59"/>
              <w:rPr>
                <w:b/>
                <w:bCs/>
              </w:rPr>
            </w:pPr>
          </w:p>
        </w:tc>
        <w:tc>
          <w:tcPr>
            <w:tcW w:w="851" w:type="dxa"/>
            <w:vMerge w:val="continue"/>
            <w:shd w:val="clear" w:color="auto" w:fill="auto"/>
            <w:vAlign w:val="center"/>
          </w:tcPr>
          <w:p w14:paraId="6AD54912">
            <w:pPr>
              <w:pStyle w:val="59"/>
            </w:pPr>
          </w:p>
        </w:tc>
        <w:tc>
          <w:tcPr>
            <w:tcW w:w="4961" w:type="dxa"/>
            <w:shd w:val="clear" w:color="auto" w:fill="auto"/>
            <w:vAlign w:val="center"/>
          </w:tcPr>
          <w:p w14:paraId="752B53BE">
            <w:pPr>
              <w:pStyle w:val="59"/>
              <w:rPr>
                <w:color w:val="000000"/>
              </w:rPr>
            </w:pPr>
            <w:r>
              <w:rPr>
                <w:rFonts w:hint="eastAsia"/>
              </w:rPr>
              <w:t>COD排放总量减少（%）</w:t>
            </w:r>
          </w:p>
        </w:tc>
        <w:tc>
          <w:tcPr>
            <w:tcW w:w="1843" w:type="dxa"/>
            <w:vAlign w:val="center"/>
          </w:tcPr>
          <w:p w14:paraId="729B0C3F">
            <w:pPr>
              <w:pStyle w:val="59"/>
            </w:pPr>
          </w:p>
        </w:tc>
        <w:tc>
          <w:tcPr>
            <w:tcW w:w="1984" w:type="dxa"/>
            <w:vAlign w:val="center"/>
          </w:tcPr>
          <w:p w14:paraId="55737629">
            <w:pPr>
              <w:pStyle w:val="59"/>
            </w:pPr>
            <w:r>
              <w:rPr>
                <w:rFonts w:hint="eastAsia"/>
              </w:rPr>
              <w:t>完成天津市下达指标</w:t>
            </w:r>
          </w:p>
        </w:tc>
        <w:tc>
          <w:tcPr>
            <w:tcW w:w="1418" w:type="dxa"/>
          </w:tcPr>
          <w:p w14:paraId="0AB4797C">
            <w:pPr>
              <w:pStyle w:val="59"/>
            </w:pPr>
          </w:p>
        </w:tc>
        <w:tc>
          <w:tcPr>
            <w:tcW w:w="1507" w:type="dxa"/>
            <w:gridSpan w:val="2"/>
            <w:shd w:val="clear" w:color="auto" w:fill="auto"/>
            <w:vAlign w:val="center"/>
          </w:tcPr>
          <w:p w14:paraId="44A13778">
            <w:pPr>
              <w:pStyle w:val="59"/>
            </w:pPr>
            <w:r>
              <w:rPr>
                <w:rFonts w:hint="eastAsia"/>
              </w:rPr>
              <w:t>预期性指标</w:t>
            </w:r>
          </w:p>
        </w:tc>
      </w:tr>
      <w:tr w14:paraId="4384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71" w:type="dxa"/>
            <w:vMerge w:val="continue"/>
            <w:vAlign w:val="center"/>
          </w:tcPr>
          <w:p w14:paraId="24679DFB">
            <w:pPr>
              <w:pStyle w:val="59"/>
              <w:rPr>
                <w:b/>
                <w:bCs/>
              </w:rPr>
            </w:pPr>
          </w:p>
        </w:tc>
        <w:tc>
          <w:tcPr>
            <w:tcW w:w="851" w:type="dxa"/>
            <w:vMerge w:val="continue"/>
            <w:shd w:val="clear" w:color="auto" w:fill="auto"/>
            <w:vAlign w:val="center"/>
          </w:tcPr>
          <w:p w14:paraId="42BEBB10">
            <w:pPr>
              <w:pStyle w:val="59"/>
            </w:pPr>
          </w:p>
        </w:tc>
        <w:tc>
          <w:tcPr>
            <w:tcW w:w="4961" w:type="dxa"/>
            <w:shd w:val="clear" w:color="auto" w:fill="auto"/>
            <w:vAlign w:val="center"/>
          </w:tcPr>
          <w:p w14:paraId="1C80039D">
            <w:pPr>
              <w:pStyle w:val="59"/>
              <w:rPr>
                <w:color w:val="000000"/>
              </w:rPr>
            </w:pPr>
            <w:r>
              <w:rPr>
                <w:rFonts w:hint="eastAsia"/>
              </w:rPr>
              <w:t>NH</w:t>
            </w:r>
            <w:r>
              <w:rPr>
                <w:rFonts w:hint="eastAsia"/>
                <w:vertAlign w:val="subscript"/>
              </w:rPr>
              <w:t>3</w:t>
            </w:r>
            <w:r>
              <w:rPr>
                <w:rFonts w:hint="eastAsia"/>
              </w:rPr>
              <w:t>-N排放总量减少（%）</w:t>
            </w:r>
          </w:p>
        </w:tc>
        <w:tc>
          <w:tcPr>
            <w:tcW w:w="1843" w:type="dxa"/>
            <w:vAlign w:val="center"/>
          </w:tcPr>
          <w:p w14:paraId="736E4A9B">
            <w:pPr>
              <w:pStyle w:val="59"/>
            </w:pPr>
          </w:p>
        </w:tc>
        <w:tc>
          <w:tcPr>
            <w:tcW w:w="1984" w:type="dxa"/>
            <w:vAlign w:val="center"/>
          </w:tcPr>
          <w:p w14:paraId="6ABA9AE9">
            <w:pPr>
              <w:pStyle w:val="59"/>
            </w:pPr>
            <w:r>
              <w:rPr>
                <w:rFonts w:hint="eastAsia"/>
              </w:rPr>
              <w:t>完成天津市下达指标</w:t>
            </w:r>
          </w:p>
        </w:tc>
        <w:tc>
          <w:tcPr>
            <w:tcW w:w="1418" w:type="dxa"/>
          </w:tcPr>
          <w:p w14:paraId="2E86A329">
            <w:pPr>
              <w:pStyle w:val="59"/>
            </w:pPr>
          </w:p>
        </w:tc>
        <w:tc>
          <w:tcPr>
            <w:tcW w:w="1507" w:type="dxa"/>
            <w:gridSpan w:val="2"/>
            <w:shd w:val="clear" w:color="auto" w:fill="auto"/>
            <w:vAlign w:val="center"/>
          </w:tcPr>
          <w:p w14:paraId="36A935E0">
            <w:pPr>
              <w:pStyle w:val="59"/>
            </w:pPr>
            <w:r>
              <w:rPr>
                <w:rFonts w:hint="eastAsia"/>
              </w:rPr>
              <w:t>预期性指标</w:t>
            </w:r>
          </w:p>
        </w:tc>
      </w:tr>
      <w:tr w14:paraId="6CAC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restart"/>
            <w:shd w:val="clear" w:color="auto" w:fill="auto"/>
            <w:vAlign w:val="center"/>
          </w:tcPr>
          <w:p w14:paraId="54F103C9">
            <w:pPr>
              <w:pStyle w:val="59"/>
              <w:rPr>
                <w:b/>
                <w:bCs/>
              </w:rPr>
            </w:pPr>
            <w:r>
              <w:rPr>
                <w:rFonts w:hint="eastAsia"/>
                <w:b/>
                <w:bCs/>
              </w:rPr>
              <w:t>生态良好</w:t>
            </w:r>
          </w:p>
        </w:tc>
        <w:tc>
          <w:tcPr>
            <w:tcW w:w="851" w:type="dxa"/>
            <w:shd w:val="clear" w:color="auto" w:fill="auto"/>
            <w:vAlign w:val="center"/>
          </w:tcPr>
          <w:p w14:paraId="578D119C">
            <w:pPr>
              <w:pStyle w:val="59"/>
            </w:pPr>
            <w:r>
              <w:rPr>
                <w:rFonts w:hint="eastAsia"/>
              </w:rPr>
              <w:t>11</w:t>
            </w:r>
          </w:p>
        </w:tc>
        <w:tc>
          <w:tcPr>
            <w:tcW w:w="4961" w:type="dxa"/>
            <w:shd w:val="clear" w:color="auto" w:fill="auto"/>
            <w:vAlign w:val="center"/>
          </w:tcPr>
          <w:p w14:paraId="7326BD79">
            <w:pPr>
              <w:pStyle w:val="59"/>
            </w:pPr>
            <w:r>
              <w:rPr>
                <w:rFonts w:hint="eastAsia"/>
              </w:rPr>
              <w:t>林木覆盖率（%）</w:t>
            </w:r>
          </w:p>
        </w:tc>
        <w:tc>
          <w:tcPr>
            <w:tcW w:w="1843" w:type="dxa"/>
            <w:vAlign w:val="center"/>
          </w:tcPr>
          <w:p w14:paraId="616710BD">
            <w:pPr>
              <w:pStyle w:val="59"/>
            </w:pPr>
          </w:p>
        </w:tc>
        <w:tc>
          <w:tcPr>
            <w:tcW w:w="1984" w:type="dxa"/>
            <w:vAlign w:val="center"/>
          </w:tcPr>
          <w:p w14:paraId="2776D38C">
            <w:pPr>
              <w:pStyle w:val="59"/>
            </w:pPr>
          </w:p>
        </w:tc>
        <w:tc>
          <w:tcPr>
            <w:tcW w:w="1418" w:type="dxa"/>
          </w:tcPr>
          <w:p w14:paraId="6CF0B7A6">
            <w:pPr>
              <w:pStyle w:val="59"/>
            </w:pPr>
          </w:p>
        </w:tc>
        <w:tc>
          <w:tcPr>
            <w:tcW w:w="1507" w:type="dxa"/>
            <w:gridSpan w:val="2"/>
            <w:shd w:val="clear" w:color="auto" w:fill="auto"/>
            <w:vAlign w:val="center"/>
          </w:tcPr>
          <w:p w14:paraId="799DC8DD">
            <w:pPr>
              <w:pStyle w:val="59"/>
            </w:pPr>
            <w:r>
              <w:rPr>
                <w:rFonts w:hint="eastAsia"/>
              </w:rPr>
              <w:t>预期性指标</w:t>
            </w:r>
          </w:p>
        </w:tc>
      </w:tr>
      <w:tr w14:paraId="5734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8DD252C">
            <w:pPr>
              <w:pStyle w:val="59"/>
              <w:rPr>
                <w:b/>
                <w:bCs/>
              </w:rPr>
            </w:pPr>
          </w:p>
        </w:tc>
        <w:tc>
          <w:tcPr>
            <w:tcW w:w="851" w:type="dxa"/>
            <w:shd w:val="clear" w:color="auto" w:fill="auto"/>
            <w:vAlign w:val="center"/>
          </w:tcPr>
          <w:p w14:paraId="65C348FB">
            <w:pPr>
              <w:pStyle w:val="59"/>
            </w:pPr>
            <w:r>
              <w:rPr>
                <w:rFonts w:hint="eastAsia"/>
              </w:rPr>
              <w:t>12</w:t>
            </w:r>
          </w:p>
        </w:tc>
        <w:tc>
          <w:tcPr>
            <w:tcW w:w="4961" w:type="dxa"/>
            <w:shd w:val="clear" w:color="auto" w:fill="auto"/>
            <w:vAlign w:val="center"/>
          </w:tcPr>
          <w:p w14:paraId="1B55E1B5">
            <w:pPr>
              <w:pStyle w:val="59"/>
            </w:pPr>
            <w:r>
              <w:rPr>
                <w:rFonts w:hint="eastAsia"/>
              </w:rPr>
              <w:t>湿地保有量（万公顷）</w:t>
            </w:r>
          </w:p>
        </w:tc>
        <w:tc>
          <w:tcPr>
            <w:tcW w:w="1843" w:type="dxa"/>
            <w:vAlign w:val="center"/>
          </w:tcPr>
          <w:p w14:paraId="12263F57">
            <w:pPr>
              <w:pStyle w:val="59"/>
            </w:pPr>
          </w:p>
        </w:tc>
        <w:tc>
          <w:tcPr>
            <w:tcW w:w="1984" w:type="dxa"/>
            <w:vAlign w:val="center"/>
          </w:tcPr>
          <w:p w14:paraId="5DDBE3BC">
            <w:pPr>
              <w:pStyle w:val="59"/>
            </w:pPr>
          </w:p>
        </w:tc>
        <w:tc>
          <w:tcPr>
            <w:tcW w:w="1418" w:type="dxa"/>
          </w:tcPr>
          <w:p w14:paraId="7C6DDFD8">
            <w:pPr>
              <w:pStyle w:val="59"/>
            </w:pPr>
          </w:p>
        </w:tc>
        <w:tc>
          <w:tcPr>
            <w:tcW w:w="1507" w:type="dxa"/>
            <w:gridSpan w:val="2"/>
            <w:shd w:val="clear" w:color="auto" w:fill="auto"/>
            <w:vAlign w:val="center"/>
          </w:tcPr>
          <w:p w14:paraId="1719289A">
            <w:pPr>
              <w:pStyle w:val="59"/>
            </w:pPr>
            <w:r>
              <w:rPr>
                <w:rFonts w:hint="eastAsia"/>
              </w:rPr>
              <w:t>预期性指标</w:t>
            </w:r>
          </w:p>
        </w:tc>
      </w:tr>
      <w:tr w14:paraId="3354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9A36F3B">
            <w:pPr>
              <w:pStyle w:val="59"/>
              <w:rPr>
                <w:b/>
                <w:bCs/>
              </w:rPr>
            </w:pPr>
          </w:p>
        </w:tc>
        <w:tc>
          <w:tcPr>
            <w:tcW w:w="851" w:type="dxa"/>
            <w:shd w:val="clear" w:color="auto" w:fill="auto"/>
            <w:vAlign w:val="center"/>
          </w:tcPr>
          <w:p w14:paraId="5F881A6E">
            <w:pPr>
              <w:pStyle w:val="59"/>
            </w:pPr>
            <w:r>
              <w:rPr>
                <w:rFonts w:hint="eastAsia"/>
              </w:rPr>
              <w:t>13</w:t>
            </w:r>
          </w:p>
        </w:tc>
        <w:tc>
          <w:tcPr>
            <w:tcW w:w="4961" w:type="dxa"/>
            <w:shd w:val="clear" w:color="auto" w:fill="auto"/>
            <w:vAlign w:val="center"/>
          </w:tcPr>
          <w:p w14:paraId="69C0E8D4">
            <w:pPr>
              <w:pStyle w:val="59"/>
            </w:pPr>
            <w:r>
              <w:rPr>
                <w:rFonts w:hint="eastAsia"/>
              </w:rPr>
              <w:t>城镇生活垃圾无害化处理率（%）</w:t>
            </w:r>
          </w:p>
        </w:tc>
        <w:tc>
          <w:tcPr>
            <w:tcW w:w="1843" w:type="dxa"/>
            <w:vAlign w:val="center"/>
          </w:tcPr>
          <w:p w14:paraId="4689F845">
            <w:pPr>
              <w:pStyle w:val="59"/>
            </w:pPr>
          </w:p>
        </w:tc>
        <w:tc>
          <w:tcPr>
            <w:tcW w:w="1984" w:type="dxa"/>
            <w:vAlign w:val="center"/>
          </w:tcPr>
          <w:p w14:paraId="2521BE3F">
            <w:pPr>
              <w:pStyle w:val="59"/>
            </w:pPr>
            <w:r>
              <w:rPr>
                <w:rFonts w:hint="eastAsia"/>
              </w:rPr>
              <w:t>100</w:t>
            </w:r>
          </w:p>
        </w:tc>
        <w:tc>
          <w:tcPr>
            <w:tcW w:w="1418" w:type="dxa"/>
          </w:tcPr>
          <w:p w14:paraId="57BCE050">
            <w:pPr>
              <w:pStyle w:val="59"/>
            </w:pPr>
          </w:p>
        </w:tc>
        <w:tc>
          <w:tcPr>
            <w:tcW w:w="1507" w:type="dxa"/>
            <w:gridSpan w:val="2"/>
            <w:shd w:val="clear" w:color="auto" w:fill="auto"/>
            <w:vAlign w:val="center"/>
          </w:tcPr>
          <w:p w14:paraId="0B7F38E0">
            <w:pPr>
              <w:pStyle w:val="59"/>
            </w:pPr>
            <w:r>
              <w:rPr>
                <w:rFonts w:hint="eastAsia"/>
              </w:rPr>
              <w:t>预期性指标</w:t>
            </w:r>
          </w:p>
        </w:tc>
      </w:tr>
      <w:tr w14:paraId="30CF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347C7D1">
            <w:pPr>
              <w:pStyle w:val="59"/>
              <w:rPr>
                <w:b/>
                <w:bCs/>
              </w:rPr>
            </w:pPr>
          </w:p>
        </w:tc>
        <w:tc>
          <w:tcPr>
            <w:tcW w:w="851" w:type="dxa"/>
            <w:shd w:val="clear" w:color="auto" w:fill="auto"/>
            <w:vAlign w:val="center"/>
          </w:tcPr>
          <w:p w14:paraId="1F8B61E5">
            <w:pPr>
              <w:pStyle w:val="59"/>
            </w:pPr>
            <w:r>
              <w:rPr>
                <w:rFonts w:hint="eastAsia"/>
              </w:rPr>
              <w:t>14</w:t>
            </w:r>
          </w:p>
        </w:tc>
        <w:tc>
          <w:tcPr>
            <w:tcW w:w="4961" w:type="dxa"/>
            <w:shd w:val="clear" w:color="auto" w:fill="auto"/>
            <w:vAlign w:val="center"/>
          </w:tcPr>
          <w:p w14:paraId="75E1653A">
            <w:pPr>
              <w:pStyle w:val="59"/>
            </w:pPr>
            <w:r>
              <w:rPr>
                <w:rFonts w:hint="eastAsia"/>
              </w:rPr>
              <w:t>农村生活垃圾无害化处理率（%）</w:t>
            </w:r>
          </w:p>
        </w:tc>
        <w:tc>
          <w:tcPr>
            <w:tcW w:w="1843" w:type="dxa"/>
            <w:vAlign w:val="center"/>
          </w:tcPr>
          <w:p w14:paraId="0C5C83E9">
            <w:pPr>
              <w:pStyle w:val="59"/>
            </w:pPr>
          </w:p>
        </w:tc>
        <w:tc>
          <w:tcPr>
            <w:tcW w:w="1984" w:type="dxa"/>
            <w:vAlign w:val="center"/>
          </w:tcPr>
          <w:p w14:paraId="35B2B22F">
            <w:pPr>
              <w:pStyle w:val="59"/>
            </w:pPr>
            <w:r>
              <w:rPr>
                <w:rFonts w:hint="eastAsia"/>
              </w:rPr>
              <w:t>100</w:t>
            </w:r>
          </w:p>
        </w:tc>
        <w:tc>
          <w:tcPr>
            <w:tcW w:w="1418" w:type="dxa"/>
          </w:tcPr>
          <w:p w14:paraId="3C9DBE32">
            <w:pPr>
              <w:pStyle w:val="59"/>
            </w:pPr>
          </w:p>
        </w:tc>
        <w:tc>
          <w:tcPr>
            <w:tcW w:w="1507" w:type="dxa"/>
            <w:gridSpan w:val="2"/>
            <w:shd w:val="clear" w:color="auto" w:fill="auto"/>
            <w:vAlign w:val="center"/>
          </w:tcPr>
          <w:p w14:paraId="31524175">
            <w:pPr>
              <w:pStyle w:val="59"/>
            </w:pPr>
            <w:r>
              <w:rPr>
                <w:rFonts w:hint="eastAsia"/>
              </w:rPr>
              <w:t>预期性指标</w:t>
            </w:r>
          </w:p>
        </w:tc>
      </w:tr>
      <w:tr w14:paraId="33DE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25EB2850">
            <w:pPr>
              <w:pStyle w:val="59"/>
              <w:rPr>
                <w:b/>
                <w:bCs/>
              </w:rPr>
            </w:pPr>
          </w:p>
        </w:tc>
        <w:tc>
          <w:tcPr>
            <w:tcW w:w="851" w:type="dxa"/>
            <w:shd w:val="clear" w:color="auto" w:fill="auto"/>
            <w:vAlign w:val="center"/>
          </w:tcPr>
          <w:p w14:paraId="55A46B04">
            <w:pPr>
              <w:pStyle w:val="59"/>
            </w:pPr>
            <w:r>
              <w:rPr>
                <w:rFonts w:hint="eastAsia"/>
              </w:rPr>
              <w:t>15</w:t>
            </w:r>
          </w:p>
        </w:tc>
        <w:tc>
          <w:tcPr>
            <w:tcW w:w="4961" w:type="dxa"/>
            <w:shd w:val="clear" w:color="auto" w:fill="auto"/>
            <w:vAlign w:val="center"/>
          </w:tcPr>
          <w:p w14:paraId="5880C6C0">
            <w:pPr>
              <w:pStyle w:val="59"/>
            </w:pPr>
            <w:r>
              <w:rPr>
                <w:rFonts w:hint="eastAsia"/>
              </w:rPr>
              <w:t>农村用户卫生厕所普及率（%）</w:t>
            </w:r>
          </w:p>
        </w:tc>
        <w:tc>
          <w:tcPr>
            <w:tcW w:w="1843" w:type="dxa"/>
            <w:vAlign w:val="center"/>
          </w:tcPr>
          <w:p w14:paraId="05268B0F">
            <w:pPr>
              <w:pStyle w:val="59"/>
            </w:pPr>
          </w:p>
        </w:tc>
        <w:tc>
          <w:tcPr>
            <w:tcW w:w="1984" w:type="dxa"/>
            <w:vAlign w:val="center"/>
          </w:tcPr>
          <w:p w14:paraId="14E12262">
            <w:pPr>
              <w:pStyle w:val="59"/>
            </w:pPr>
            <w:r>
              <w:rPr>
                <w:rFonts w:hint="eastAsia"/>
              </w:rPr>
              <w:t>100</w:t>
            </w:r>
          </w:p>
        </w:tc>
        <w:tc>
          <w:tcPr>
            <w:tcW w:w="1418" w:type="dxa"/>
          </w:tcPr>
          <w:p w14:paraId="088BB270">
            <w:pPr>
              <w:pStyle w:val="59"/>
            </w:pPr>
          </w:p>
        </w:tc>
        <w:tc>
          <w:tcPr>
            <w:tcW w:w="1507" w:type="dxa"/>
            <w:gridSpan w:val="2"/>
            <w:shd w:val="clear" w:color="auto" w:fill="auto"/>
            <w:vAlign w:val="center"/>
          </w:tcPr>
          <w:p w14:paraId="6156AB44">
            <w:pPr>
              <w:pStyle w:val="59"/>
            </w:pPr>
            <w:r>
              <w:rPr>
                <w:rFonts w:hint="eastAsia"/>
              </w:rPr>
              <w:t>约束性指标</w:t>
            </w:r>
          </w:p>
        </w:tc>
      </w:tr>
      <w:tr w14:paraId="5465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restart"/>
            <w:vAlign w:val="center"/>
          </w:tcPr>
          <w:p w14:paraId="66F35633">
            <w:pPr>
              <w:pStyle w:val="59"/>
              <w:rPr>
                <w:b/>
                <w:bCs/>
              </w:rPr>
            </w:pPr>
            <w:r>
              <w:rPr>
                <w:rFonts w:hint="eastAsia"/>
                <w:b/>
                <w:bCs/>
              </w:rPr>
              <w:t>应对气候变化</w:t>
            </w:r>
          </w:p>
        </w:tc>
        <w:tc>
          <w:tcPr>
            <w:tcW w:w="851" w:type="dxa"/>
            <w:shd w:val="clear" w:color="auto" w:fill="auto"/>
            <w:vAlign w:val="center"/>
          </w:tcPr>
          <w:p w14:paraId="68E85DF1">
            <w:pPr>
              <w:pStyle w:val="59"/>
            </w:pPr>
            <w:r>
              <w:rPr>
                <w:rFonts w:hint="eastAsia"/>
              </w:rPr>
              <w:t>16</w:t>
            </w:r>
          </w:p>
        </w:tc>
        <w:tc>
          <w:tcPr>
            <w:tcW w:w="4961" w:type="dxa"/>
            <w:shd w:val="clear" w:color="auto" w:fill="auto"/>
            <w:vAlign w:val="center"/>
          </w:tcPr>
          <w:p w14:paraId="67C61BE4">
            <w:pPr>
              <w:pStyle w:val="59"/>
            </w:pPr>
            <w:r>
              <w:rPr>
                <w:rFonts w:hint="eastAsia"/>
              </w:rPr>
              <w:t>单位GDP二氧化碳排放降低（%）</w:t>
            </w:r>
          </w:p>
        </w:tc>
        <w:tc>
          <w:tcPr>
            <w:tcW w:w="1843" w:type="dxa"/>
            <w:vAlign w:val="center"/>
          </w:tcPr>
          <w:p w14:paraId="748C1280">
            <w:pPr>
              <w:pStyle w:val="59"/>
            </w:pPr>
          </w:p>
        </w:tc>
        <w:tc>
          <w:tcPr>
            <w:tcW w:w="1984" w:type="dxa"/>
            <w:vAlign w:val="center"/>
          </w:tcPr>
          <w:p w14:paraId="27E79E22">
            <w:pPr>
              <w:pStyle w:val="59"/>
            </w:pPr>
          </w:p>
        </w:tc>
        <w:tc>
          <w:tcPr>
            <w:tcW w:w="1418" w:type="dxa"/>
          </w:tcPr>
          <w:p w14:paraId="27CF76B8">
            <w:pPr>
              <w:pStyle w:val="59"/>
            </w:pPr>
          </w:p>
        </w:tc>
        <w:tc>
          <w:tcPr>
            <w:tcW w:w="1507" w:type="dxa"/>
            <w:gridSpan w:val="2"/>
            <w:shd w:val="clear" w:color="auto" w:fill="auto"/>
            <w:vAlign w:val="center"/>
          </w:tcPr>
          <w:p w14:paraId="7671E5E5">
            <w:pPr>
              <w:pStyle w:val="59"/>
            </w:pPr>
            <w:r>
              <w:rPr>
                <w:rFonts w:hint="eastAsia"/>
              </w:rPr>
              <w:t>预期性指标</w:t>
            </w:r>
          </w:p>
        </w:tc>
      </w:tr>
      <w:tr w14:paraId="7A80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D78744C">
            <w:pPr>
              <w:pStyle w:val="59"/>
              <w:rPr>
                <w:b/>
                <w:bCs/>
              </w:rPr>
            </w:pPr>
          </w:p>
        </w:tc>
        <w:tc>
          <w:tcPr>
            <w:tcW w:w="851" w:type="dxa"/>
            <w:shd w:val="clear" w:color="auto" w:fill="auto"/>
            <w:vAlign w:val="center"/>
          </w:tcPr>
          <w:p w14:paraId="03512BD2">
            <w:pPr>
              <w:pStyle w:val="59"/>
            </w:pPr>
            <w:r>
              <w:rPr>
                <w:rFonts w:hint="eastAsia"/>
              </w:rPr>
              <w:t>17</w:t>
            </w:r>
          </w:p>
        </w:tc>
        <w:tc>
          <w:tcPr>
            <w:tcW w:w="4961" w:type="dxa"/>
            <w:shd w:val="clear" w:color="auto" w:fill="auto"/>
            <w:vAlign w:val="center"/>
          </w:tcPr>
          <w:p w14:paraId="0E270FBC">
            <w:pPr>
              <w:pStyle w:val="59"/>
            </w:pPr>
            <w:r>
              <w:rPr>
                <w:rFonts w:hint="eastAsia"/>
              </w:rPr>
              <w:t>单位GDP能源消耗降低（%）</w:t>
            </w:r>
          </w:p>
        </w:tc>
        <w:tc>
          <w:tcPr>
            <w:tcW w:w="1843" w:type="dxa"/>
            <w:vAlign w:val="center"/>
          </w:tcPr>
          <w:p w14:paraId="3F01A22A">
            <w:pPr>
              <w:pStyle w:val="59"/>
            </w:pPr>
          </w:p>
        </w:tc>
        <w:tc>
          <w:tcPr>
            <w:tcW w:w="1984" w:type="dxa"/>
            <w:vAlign w:val="center"/>
          </w:tcPr>
          <w:p w14:paraId="11D778DB">
            <w:pPr>
              <w:pStyle w:val="59"/>
            </w:pPr>
          </w:p>
        </w:tc>
        <w:tc>
          <w:tcPr>
            <w:tcW w:w="1418" w:type="dxa"/>
          </w:tcPr>
          <w:p w14:paraId="4D6FC43A">
            <w:pPr>
              <w:pStyle w:val="59"/>
            </w:pPr>
          </w:p>
        </w:tc>
        <w:tc>
          <w:tcPr>
            <w:tcW w:w="1507" w:type="dxa"/>
            <w:gridSpan w:val="2"/>
            <w:shd w:val="clear" w:color="auto" w:fill="auto"/>
            <w:vAlign w:val="center"/>
          </w:tcPr>
          <w:p w14:paraId="1FFF4F71">
            <w:pPr>
              <w:pStyle w:val="59"/>
            </w:pPr>
            <w:r>
              <w:rPr>
                <w:rFonts w:hint="eastAsia"/>
              </w:rPr>
              <w:t>预期性指标</w:t>
            </w:r>
          </w:p>
        </w:tc>
      </w:tr>
      <w:tr w14:paraId="1A69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71" w:type="dxa"/>
            <w:vMerge w:val="continue"/>
            <w:vAlign w:val="center"/>
          </w:tcPr>
          <w:p w14:paraId="4E83492E">
            <w:pPr>
              <w:pStyle w:val="59"/>
              <w:rPr>
                <w:b/>
                <w:bCs/>
              </w:rPr>
            </w:pPr>
          </w:p>
        </w:tc>
        <w:tc>
          <w:tcPr>
            <w:tcW w:w="851" w:type="dxa"/>
            <w:shd w:val="clear" w:color="auto" w:fill="auto"/>
            <w:vAlign w:val="center"/>
          </w:tcPr>
          <w:p w14:paraId="143ADBDA">
            <w:pPr>
              <w:pStyle w:val="59"/>
            </w:pPr>
            <w:r>
              <w:rPr>
                <w:rFonts w:hint="eastAsia"/>
              </w:rPr>
              <w:t>18</w:t>
            </w:r>
          </w:p>
        </w:tc>
        <w:tc>
          <w:tcPr>
            <w:tcW w:w="4961" w:type="dxa"/>
            <w:shd w:val="clear" w:color="auto" w:fill="auto"/>
            <w:vAlign w:val="center"/>
          </w:tcPr>
          <w:p w14:paraId="17E81920">
            <w:pPr>
              <w:pStyle w:val="59"/>
            </w:pPr>
            <w:r>
              <w:rPr>
                <w:rFonts w:hint="eastAsia"/>
              </w:rPr>
              <w:t>非化石能源占一次能源消费比例（%）</w:t>
            </w:r>
          </w:p>
        </w:tc>
        <w:tc>
          <w:tcPr>
            <w:tcW w:w="1843" w:type="dxa"/>
            <w:vAlign w:val="center"/>
          </w:tcPr>
          <w:p w14:paraId="60B21562">
            <w:pPr>
              <w:pStyle w:val="59"/>
            </w:pPr>
          </w:p>
        </w:tc>
        <w:tc>
          <w:tcPr>
            <w:tcW w:w="1984" w:type="dxa"/>
            <w:vAlign w:val="center"/>
          </w:tcPr>
          <w:p w14:paraId="22ACF000">
            <w:pPr>
              <w:pStyle w:val="59"/>
            </w:pPr>
          </w:p>
        </w:tc>
        <w:tc>
          <w:tcPr>
            <w:tcW w:w="1418" w:type="dxa"/>
          </w:tcPr>
          <w:p w14:paraId="5CE0EC1D">
            <w:pPr>
              <w:pStyle w:val="59"/>
            </w:pPr>
          </w:p>
        </w:tc>
        <w:tc>
          <w:tcPr>
            <w:tcW w:w="1507" w:type="dxa"/>
            <w:gridSpan w:val="2"/>
            <w:shd w:val="clear" w:color="auto" w:fill="auto"/>
            <w:vAlign w:val="center"/>
          </w:tcPr>
          <w:p w14:paraId="3166C7AE">
            <w:pPr>
              <w:pStyle w:val="59"/>
            </w:pPr>
            <w:r>
              <w:rPr>
                <w:rFonts w:hint="eastAsia"/>
              </w:rPr>
              <w:t>预期性指标</w:t>
            </w:r>
          </w:p>
        </w:tc>
      </w:tr>
    </w:tbl>
    <w:p w14:paraId="106CB724">
      <w:pPr>
        <w:sectPr>
          <w:pgSz w:w="16838" w:h="11906" w:orient="landscape"/>
          <w:pgMar w:top="1800" w:right="1440" w:bottom="1800" w:left="1440" w:header="851" w:footer="992" w:gutter="0"/>
          <w:cols w:space="425" w:num="1"/>
          <w:docGrid w:type="lines" w:linePitch="312" w:charSpace="0"/>
        </w:sectPr>
      </w:pPr>
    </w:p>
    <w:p w14:paraId="18EAEE96">
      <w:pPr>
        <w:pStyle w:val="2"/>
        <w:spacing w:before="156" w:after="156"/>
      </w:pPr>
      <w:bookmarkStart w:id="67" w:name="_Toc5290"/>
      <w:bookmarkStart w:id="68" w:name="_Toc72504259"/>
      <w:bookmarkStart w:id="69" w:name="_Toc55464498"/>
      <w:bookmarkStart w:id="70" w:name="_Toc32064"/>
      <w:bookmarkStart w:id="71" w:name="_Toc4985"/>
      <w:r>
        <w:rPr>
          <w:rFonts w:hint="eastAsia"/>
        </w:rPr>
        <w:t>第四章 生态环境保护“十四五”规划重点任务</w:t>
      </w:r>
      <w:bookmarkEnd w:id="67"/>
      <w:bookmarkEnd w:id="68"/>
      <w:bookmarkEnd w:id="69"/>
      <w:bookmarkEnd w:id="70"/>
      <w:bookmarkEnd w:id="71"/>
    </w:p>
    <w:p w14:paraId="000A81BB">
      <w:bookmarkStart w:id="72" w:name="_Toc55464499"/>
      <w:bookmarkStart w:id="73" w:name="_Toc312"/>
      <w:r>
        <w:rPr>
          <w:rFonts w:hint="eastAsia"/>
        </w:rPr>
        <w:t>北辰区生态环境保护“十四五”规划，按照新发展理念，建设“美丽中国”，坚持绿色发展，健全现代治理体系，设计未来</w:t>
      </w:r>
      <w:r>
        <w:t>5年</w:t>
      </w:r>
      <w:r>
        <w:rPr>
          <w:rFonts w:hint="eastAsia"/>
        </w:rPr>
        <w:t>“</w:t>
      </w:r>
      <w:r>
        <w:t>5+1+1”战略任务</w:t>
      </w:r>
      <w:r>
        <w:rPr>
          <w:rFonts w:hint="eastAsia"/>
        </w:rPr>
        <w:t>，即大气、水、土壤、生态、人居环境、绿色发展和现代治理体系总计</w:t>
      </w:r>
      <w:r>
        <w:t>7</w:t>
      </w:r>
      <w:r>
        <w:rPr>
          <w:rFonts w:hint="eastAsia"/>
        </w:rPr>
        <w:t>大类</w:t>
      </w:r>
      <w:r>
        <w:t>35</w:t>
      </w:r>
      <w:r>
        <w:rPr>
          <w:rFonts w:hint="eastAsia"/>
        </w:rPr>
        <w:t>小项重点任务。</w:t>
      </w:r>
    </w:p>
    <w:p w14:paraId="263023D4">
      <w:pPr>
        <w:pStyle w:val="3"/>
        <w:spacing w:before="156" w:after="156"/>
      </w:pPr>
      <w:bookmarkStart w:id="74" w:name="_Toc16183"/>
      <w:bookmarkStart w:id="75" w:name="_Toc18752"/>
      <w:bookmarkStart w:id="76" w:name="_Toc72504260"/>
      <w:r>
        <w:rPr>
          <w:rFonts w:hint="eastAsia"/>
        </w:rPr>
        <w:t>第一节 减污降碳，整体提升区域绿色发展水平</w:t>
      </w:r>
      <w:bookmarkEnd w:id="72"/>
      <w:bookmarkEnd w:id="73"/>
      <w:bookmarkEnd w:id="74"/>
      <w:bookmarkEnd w:id="75"/>
      <w:bookmarkEnd w:id="76"/>
    </w:p>
    <w:p w14:paraId="0FEEA94F">
      <w:pPr>
        <w:pStyle w:val="4"/>
      </w:pPr>
      <w:bookmarkStart w:id="77" w:name="_Toc55464500"/>
      <w:bookmarkStart w:id="78" w:name="_Toc5348"/>
      <w:bookmarkStart w:id="79" w:name="_Toc29087"/>
      <w:bookmarkStart w:id="80" w:name="_Toc11675"/>
      <w:r>
        <w:rPr>
          <w:rFonts w:hint="eastAsia"/>
        </w:rPr>
        <w:t>一、优化结构布局，加快推动碳达峰行动</w:t>
      </w:r>
    </w:p>
    <w:p w14:paraId="6BC8E209">
      <w:pPr>
        <w:pStyle w:val="5"/>
        <w:ind w:firstLine="640"/>
      </w:pPr>
      <w:r>
        <w:rPr>
          <w:rFonts w:hint="eastAsia"/>
        </w:rPr>
        <w:t>1、优化产业结构布局</w:t>
      </w:r>
      <w:bookmarkEnd w:id="77"/>
      <w:bookmarkEnd w:id="78"/>
      <w:bookmarkEnd w:id="79"/>
      <w:bookmarkEnd w:id="80"/>
      <w:r>
        <w:rPr>
          <w:rFonts w:hint="eastAsia"/>
        </w:rPr>
        <w:t>，深化产业调整升级</w:t>
      </w:r>
    </w:p>
    <w:p w14:paraId="0B8E4E82">
      <w:r>
        <w:rPr>
          <w:rFonts w:hint="eastAsia"/>
        </w:rPr>
        <w:t>严格环境准入。继续严格落实“三线一单”相关要求，严守生态保护红线和环境准入负面清单。严格项目准入管理，采用刚性门槛与定向供给相结合的评估体系，从产业契合度、环境友好度、创新浓度、经济密度等多方面明确项目准入条件。根据生态环境部及市生态环境局相关工作要求，严格审核入园企业，把关强化源头防治污染，优化原料投入，淘汰落后生产工艺技术，严把技术水平关、资源消耗关、环境保护关，严禁新增炼钢炼铁、水泥等产能。突出壮大绿色产业规模，大力发展节能环保产业、清洁生产产业、清洁能源产业等。</w:t>
      </w:r>
    </w:p>
    <w:p w14:paraId="5215DAD2">
      <w:r>
        <w:rPr>
          <w:rFonts w:hint="eastAsia"/>
        </w:rPr>
        <w:t>大力实施产业结构转型升级。推动实施重污染企业搬迁工程，持续推进重污染产业向环境容量大的地区转移。深入实施新动能引育行动计划，振兴实体经济，优化第一产业，壮大第三产业，统筹推进产业结构迈向中高端。优化北辰装备制造业，进一步壮大清洁高效发电设备、超特高压输变电设备、智能配电设备等产业集群。支持中船重工等龙头企业引领行业实现主力装备结构升级，提升设计能力和配套系统水平。巩固发展新材料新能源产业，推动建成奥普提莫斯新能源汽车碳纤维应用、普天单向器和长荣新型智能印刷包装材料等项目，实施前沿新材料培育工程。积极落实《天津市关于加快推进智能科技产业发展的若干政策》和“天津八条”、“北辰十条”、“民营十九条”等相关帮扶措施，引导企业实施科技创新、技术改造、两化融合，全力助推产业结构向高质、绿色、循环方向发展。鼓励和大力引进高新技术企业及绿色环保企业，并通过调整改造、优化升级传统产业，发展附加值高、市场前景好的下游产业链，发展高端装备制造、生物医药、新能源新材料、新一代信息技术为四大主导产业，持续壮大爱旭科技、雅迪电动车、弗兰德传动等优质企业。大力推动科技成果转化，充分利用高等院校、科研院所智力资源，建设“北辰区科技成果超市”，与天津市技术转移平台实现互联互通，形成涵盖京津冀、浙江、武汉、上海等地的资源网络。全力淘汰低效企业和落后产能，通过一增一减，北辰区产业结构明显优化、发展质量明显提升。</w:t>
      </w:r>
    </w:p>
    <w:p w14:paraId="3B2800E9">
      <w:r>
        <w:rPr>
          <w:rFonts w:hint="eastAsia"/>
        </w:rPr>
        <w:t>继续加大过剩产能压减和落后产能淘汰力度。严格落实炼钢炼铁、水泥等行业产能置换实施办法，坚持推动产能置换。新、改、扩建涉及大宗物料运输的建设项目，原则上不得采用公路运输。坚持落实国家《关于利用综合标准依法依规推动落后产能退出的指导意见》要求，严格落实质量、环保、能耗、安全、技术等法律法规和标准，加强对退出实施阶段的监管。不断加大区域巡查检查执法力度，开展专项执法检查和排查治理各类安全隐患，为域内经济健康发展、良性发展、稳定发展提供坚强保障。</w:t>
      </w:r>
    </w:p>
    <w:p w14:paraId="46A731C2">
      <w:pPr>
        <w:rPr>
          <w:b/>
          <w:bCs/>
        </w:rPr>
      </w:pPr>
      <w:r>
        <w:rPr>
          <w:rFonts w:hint="eastAsia"/>
        </w:rPr>
        <w:t>深化违法违规企业长效监管机制。依据《北辰区散乱污企业监督管理整治长效工作方案》，不断加大企业长效监管工作力度，坚持市、区、乡镇（街道）、村（社区）四级联动监管机制，紧盯重点区域、重点行业、重点设备，充分发挥各级网格员作用，加强企业环境监管和巡查检查。按照“重拳出击、疏堵结合、分类指导、标本兼治”的原则，加大违法违规企业治理，推进“一企一策”，改造、搬迁与关停并举，同时不断推进工业园区治理改造。</w:t>
      </w:r>
    </w:p>
    <w:p w14:paraId="48747C2C">
      <w:r>
        <w:rPr>
          <w:rFonts w:hint="eastAsia"/>
        </w:rPr>
        <w:t>强化污染物排放管控，持续削减污染物排放量。深化工业污染源排放许可管理，积极落实国家要求完善排污许可证制度，坚持做到持证排污、按证排污。未依法取得排污许可证、未按排污许可要求排放污染物、未达标排放的，依法依规从严处罚。完善污水污泥处理设施，建设北部新区污水处理厂，加强城镇污水收集处理能力，实现生活污水全收集、全处理。建立农业投入品电子追溯监管体系，减少农业面源污染物的排放以及加强农药、抗生素等污染物的监控，实现化肥农药用量零增长。</w:t>
      </w:r>
    </w:p>
    <w:p w14:paraId="25B1E700">
      <w:pPr>
        <w:pStyle w:val="5"/>
        <w:ind w:firstLine="640"/>
      </w:pPr>
      <w:bookmarkStart w:id="81" w:name="_Toc32001"/>
      <w:bookmarkStart w:id="82" w:name="_Toc12081"/>
      <w:bookmarkStart w:id="83" w:name="_Toc15041"/>
      <w:bookmarkStart w:id="84" w:name="_Toc55464501"/>
      <w:r>
        <w:rPr>
          <w:rFonts w:hint="eastAsia"/>
        </w:rPr>
        <w:t>2、优化能源结构布局，提高能源利用效率</w:t>
      </w:r>
    </w:p>
    <w:p w14:paraId="269ED416">
      <w:r>
        <w:rPr>
          <w:rFonts w:hint="eastAsia"/>
        </w:rPr>
        <w:t>巩固居民冬季清洁取暖成果。贯彻落实国家和市委市政府关于加快推进冬季清洁取暖、绿色取暖的决策部署，按照“宜电则电、宜气则气、宜煤则煤、宜热则热”的原则，利用电力、燃气等多种方式，巩固城乡居民清洁取暖成果，加大巡查监督管理力度。</w:t>
      </w:r>
    </w:p>
    <w:p w14:paraId="2C2502D6">
      <w:r>
        <w:rPr>
          <w:rFonts w:hint="eastAsia"/>
        </w:rPr>
        <w:t>深化燃煤设施治理和污染物排放。持续开展供热、农业、工业和商业燃煤锅炉治理，巩固燃煤锅炉改燃关停整治成果。确保全区每小时35蒸吨以下燃煤锅炉清零成果，65蒸吨及以上燃煤锅炉全部实现超低排放或达到大气污染物特别排放限值。全面取缔燃煤热风炉，基本淘汰热电联产供热管网覆盖范围内的燃煤加热、烘干炉（窑）。加大煤气发生炉淘汰力度，按照“主体移位、切断连接、清除燃料、永不复用”的标准，持续做好煤气发生炉淘汰监管工作。依托燃煤设施在线监测全覆盖，强化动态监管，确保全区燃煤锅炉全部达到超低排放标准或特别排放限值。完成天津银辰热力有限责任公司、天津万源供热有限公司和天津淀发供热中心供热半径15公里燃煤锅炉改燃气工程。</w:t>
      </w:r>
    </w:p>
    <w:p w14:paraId="5E3266C0">
      <w:r>
        <w:rPr>
          <w:rFonts w:hint="eastAsia"/>
        </w:rPr>
        <w:t>加强多能源利用能力，保障加强天然气供应保障能力。坚持分布式和集中式能源利用并重，大力推进电气化，拓展天然气利用，按照全市统一规划，拓展天然气利用，配合市级部门按照全市统一规划加快天然气输送管道建设，合理引进天然气资源。因地制宜扩大新能源利用。统筹规划、有序开发地热资源。依据全市要求推动工作开展，力争完成全市规定非化石类能源利用目标任务。</w:t>
      </w:r>
    </w:p>
    <w:p w14:paraId="25552D0A">
      <w:r>
        <w:rPr>
          <w:rFonts w:hint="eastAsia"/>
        </w:rPr>
        <w:t>提高能源利用效率。进一步健全节能标准和能源计量体系，大力开发、推广节能高效技术和产品，实现重点用能行业、设备节能标准全覆盖。新建高耗能项目单位产品（产值）能耗须达到国际先进水平。持续推进供热计量改革，加快全区既有居住建筑供热计量改造。加大力度推进“互联网+智慧能源”实施步伐。以“互联网+智慧能源”建设为指导思想，综合利用太阳能、风能、地源热和污水制冷等分布式清洁能源，构建以“网、数、服务、消纳”为架构的城市能源互联网，使该区域电网具备安全可靠、服务优质、经济高效、绿色低碳、友好互动五大特征。逐步向区内欧盟产业园、栖凤小镇智慧小区等企业推广。还将开展园区公务、公交车辆全电驱动计划，推动以电代煤，推广地源热泵、电采暖等技术。</w:t>
      </w:r>
    </w:p>
    <w:p w14:paraId="791F80C6">
      <w:r>
        <w:rPr>
          <w:rFonts w:hint="eastAsia"/>
        </w:rPr>
        <w:t>配合市有关部门提高外受电能力。加强区域电网互联互通，充分发挥已建输电通道作用，进一步加快重点输电通道建设。在完成污染防治攻坚战三年作战计划要求外受电比重规划目标的基础上，进一步配合增强天津电网接纳外来电能力，落实国家要求，按照京津唐电网统一电力电量平衡原则，配合做好京津唐地区接受外输电工作。</w:t>
      </w:r>
    </w:p>
    <w:p w14:paraId="037439FD">
      <w:pPr>
        <w:pStyle w:val="5"/>
        <w:ind w:firstLine="640"/>
      </w:pPr>
      <w:r>
        <w:rPr>
          <w:rFonts w:hint="eastAsia"/>
        </w:rPr>
        <w:t>3、优化空间结构布局，推动区域协调发展</w:t>
      </w:r>
      <w:bookmarkEnd w:id="81"/>
      <w:bookmarkEnd w:id="82"/>
      <w:bookmarkEnd w:id="83"/>
      <w:bookmarkEnd w:id="84"/>
    </w:p>
    <w:p w14:paraId="2E0BEBAD">
      <w:r>
        <w:rPr>
          <w:rFonts w:hint="eastAsia"/>
        </w:rPr>
        <w:t>统筹城乡发展，建设生态宜居之区。坚持区域发展与环境容量相适应的原则，优化城乡发展布局，坚持生态优先，对将要达到城市区域发展环境容量的建设布局进行结构调整，因地制宜综合统筹城乡发展水平，推动区域整体协调发展。</w:t>
      </w:r>
    </w:p>
    <w:p w14:paraId="2BD9C23D">
      <w:r>
        <w:rPr>
          <w:rFonts w:hint="eastAsia"/>
        </w:rPr>
        <w:t>实现示范镇建设和城中村阶段性闭合，加快还迁房建设、还迁和土地出让进度，形成以城区辐射农村的空间结构布局，彻底改变城乡结合部面貌建设新农村。统筹乡村振兴战略实施及深入打好污染防治攻坚战，明确各村总体发展规划、空间发展规划、土地利用规划、产业发展规划等具体要求，不断提升示范镇建设及乡村生态环境水平。</w:t>
      </w:r>
    </w:p>
    <w:p w14:paraId="08BCB913">
      <w:r>
        <w:rPr>
          <w:rFonts w:hint="eastAsia" w:hAnsi="仿宋_GB2312" w:cs="仿宋_GB2312"/>
        </w:rPr>
        <w:t>打造特色小镇和特色乡村，</w:t>
      </w:r>
      <w:r>
        <w:rPr>
          <w:rFonts w:hint="eastAsia"/>
        </w:rPr>
        <w:t>鼓励规划保留村根据不同资源禀赋、不同人文特色、不同优势潜力，打造庞嘴村、平安庄、东赵庄等一批环境优美、产业兴旺、效益可观、群众富裕的典型村庄，形成北辰现代城镇与美丽乡村一体发展、互融互促的城乡格局。</w:t>
      </w:r>
    </w:p>
    <w:p w14:paraId="3889734A">
      <w:r>
        <w:rPr>
          <w:rFonts w:hint="eastAsia"/>
        </w:rPr>
        <w:t>严格落实好《天津市工业园区（集聚区）围城问题治理工作实施方案》。加大园区取缔工作推动力度，取缔铁锅店、胡园、飞龙等6个工业园区，完成屈店、温东等6个整合类园区规划设计。为取缔园区内拟清退企业提供出路，举办园区转型升级企业转移对接会，邀请取缔园区企业和周边园区载体进行现场推介、对接，做到疏堵结合、综合施策。以北辰经济技术开发区和北辰科技园区等国家级和市级工业园区为主体，输出品牌、管理和服务，通过委托代管、合作共建、“一区多园”等模式，对符合城市总体规划、土地利用总体规划、工业布局规划的工业园区（集聚区）进行空间整合和体制融合。实施差别化发展政策，推动全区产业向重点园区集聚，加快形成一批优势产业园区。加强新能源园区建设，推动建设“产城融合示范区绿色能源智慧园区”，推进产业园区循环化改造、企业循环式生产、产业循环型组合，减少单位产出物质消耗、废物排放，提高能源资源综合利用效率。</w:t>
      </w:r>
    </w:p>
    <w:p w14:paraId="36AD4325">
      <w:r>
        <w:rPr>
          <w:rFonts w:hint="eastAsia"/>
        </w:rPr>
        <w:t>推动绿色农业发展，打造特色产业布局。深入落实国家农业可持续发展示范区建设要求及天津市关于推进现代都市型农业绿色发展的实施意见，深入挖掘和开发北辰区现有农业特色，推广双街都市绿谷田园综合体种植模式，形成一批高质量发展的设施农业，推动形成下游绿色农产品产业链，加速培育新型经营主体，实施特色品牌提升工程，培育金亚麻鸡蛋、奶油草莓、妙众堂黑豆茸等新品牌。。按照“特色式定位、园区式经营、集约式发展”的要求，把农业产业园区建设作为农业高质量发展的“先手棋”，以红光农场片区为主体，联合小五堡、奶牛小镇、曙光水镇等农业特色片区，共同创建国家级现代农业示范园。加快推进双街现代农业产业园、益多利来高端渔业产业园等特色产业集群发展，打造产业先进、效益优良的现代农业产业体系。依托中东欧特色小镇等载体，积极发展农产品冷链物流、农产品跨境电商、农产品加工贸易、农业设备贸易等产业，努力打造服务天津、辐射京津冀的农产品贸易平台。</w:t>
      </w:r>
    </w:p>
    <w:p w14:paraId="0831A4A0">
      <w:pPr>
        <w:pStyle w:val="5"/>
        <w:ind w:firstLine="640"/>
      </w:pPr>
      <w:r>
        <w:rPr>
          <w:rFonts w:hint="eastAsia"/>
        </w:rPr>
        <w:t>4、减污降碳协同治理，加快推动碳达峰行动</w:t>
      </w:r>
    </w:p>
    <w:p w14:paraId="1E81F8E2">
      <w:r>
        <w:rPr>
          <w:rFonts w:hint="eastAsia"/>
        </w:rPr>
        <w:t>制定实施碳达峰行动方案。实施以二氧化碳排放强度控制为主、二氧化碳排放总量控制为辅的制度，制定实施力争碳排放提前达峰行动方案，明确重点行业的达峰目标、路线图、重点任务和配套措施。鼓励能源、工业、交通和建筑等领域制定达峰专项行动方案。开展重点行业碳达峰行动，强化电力、建材等行业减污降碳协同治理，推动电力行业在“十四五”前期率先达峰，化工、石化、建材等行业碳排放总量得到有效控制。</w:t>
      </w:r>
    </w:p>
    <w:p w14:paraId="6912115B">
      <w:r>
        <w:rPr>
          <w:rFonts w:hint="eastAsia"/>
        </w:rPr>
        <w:t>加快调整优化产业结构、能源结构，推动煤炭消费尽早达峰，大力发展新能源，完善能源消费双控制度。持续深入打好污染防治攻坚战，实现减污降碳协同效应。要开展大规模绿化行动，提升生态系统碳汇能力。</w:t>
      </w:r>
    </w:p>
    <w:p w14:paraId="692E6911">
      <w:r>
        <w:rPr>
          <w:rFonts w:hint="eastAsia"/>
        </w:rPr>
        <w:t>探索创新建设低碳示范试点。打造低碳城市升级版。鼓励低碳发展基础较好、资源禀赋较优越的区域，在产业、能源、交通、建筑、消费、生态等领域，开展近零碳排放示范工程建设。探索开展面向碳中和的零碳或碳中和技术产品研发、综合示范、应用推广等相关试点工作。碳达峰碳中和实现绿色发展。广泛形成绿色生产生活方式，加快推进绿色发展，按照天津市的统一要求，实现碳达峰的目标。</w:t>
      </w:r>
    </w:p>
    <w:p w14:paraId="4DA4FE26">
      <w:pPr>
        <w:pStyle w:val="4"/>
      </w:pPr>
      <w:bookmarkStart w:id="85" w:name="_Toc55464502"/>
      <w:bookmarkStart w:id="86" w:name="_Toc22282"/>
      <w:bookmarkStart w:id="87" w:name="_Toc20753"/>
      <w:bookmarkStart w:id="88" w:name="_Toc10174"/>
      <w:r>
        <w:rPr>
          <w:rFonts w:hint="eastAsia"/>
        </w:rPr>
        <w:t>二、推动绿色发展</w:t>
      </w:r>
      <w:bookmarkEnd w:id="85"/>
      <w:bookmarkEnd w:id="86"/>
      <w:bookmarkEnd w:id="87"/>
      <w:bookmarkEnd w:id="88"/>
      <w:r>
        <w:rPr>
          <w:rFonts w:hint="eastAsia"/>
        </w:rPr>
        <w:t>，促进区域发展绿色转型</w:t>
      </w:r>
    </w:p>
    <w:p w14:paraId="7B46AA39">
      <w:pPr>
        <w:pStyle w:val="5"/>
        <w:ind w:firstLine="640"/>
      </w:pPr>
      <w:r>
        <w:rPr>
          <w:rFonts w:hint="eastAsia"/>
        </w:rPr>
        <w:t>1、深入推进绿色创建</w:t>
      </w:r>
    </w:p>
    <w:p w14:paraId="152F99AC">
      <w:pPr>
        <w:rPr>
          <w:rFonts w:eastAsiaTheme="minorEastAsia"/>
          <w:sz w:val="21"/>
        </w:rPr>
      </w:pPr>
      <w:r>
        <w:rPr>
          <w:rFonts w:hint="eastAsia"/>
        </w:rPr>
        <w:t>深入推进绿色创建，形成绿色发展理念。全面贯彻实施《绿色生活创建行动总体方案》</w:t>
      </w:r>
      <w:r>
        <w:t>(发改环资〔2019〕1696号)，开展</w:t>
      </w:r>
      <w:r>
        <w:rPr>
          <w:rFonts w:hint="eastAsia"/>
        </w:rPr>
        <w:t>多种形式的绿色发展理念宣传工作，率先在机关、学校、社区、商城和餐馆等地开展绿色创建行动，利用微信平台、微博账号等新兴媒体，发送绿色发展宣传内容信息。通过“云端”绿色宣传，持续推进生态文明建设，帮助广大群众普及绿色生活知识，建立完善绿色生活的相关政策和管理制度，逐步形成绿色发展理念。</w:t>
      </w:r>
    </w:p>
    <w:p w14:paraId="1D9FD3E5">
      <w:pPr>
        <w:pStyle w:val="5"/>
        <w:ind w:firstLine="640"/>
      </w:pPr>
      <w:r>
        <w:rPr>
          <w:rFonts w:hint="eastAsia"/>
        </w:rPr>
        <w:t>2、倡导企业低碳生产</w:t>
      </w:r>
    </w:p>
    <w:p w14:paraId="70A4D797">
      <w:pPr>
        <w:rPr>
          <w:rFonts w:eastAsiaTheme="minorEastAsia"/>
          <w:sz w:val="21"/>
        </w:rPr>
      </w:pPr>
      <w:r>
        <w:rPr>
          <w:rFonts w:hint="eastAsia"/>
        </w:rPr>
        <w:t>开展碳排放调查，积极响应碳排放达峰行动。全面开展和梳理北辰区工业企业碳排放情况，核算北辰区碳排放量和潜在的削减量，为积极响应国家和天津市即将部署的碳排放达峰行动做好前期准备。配合天津市制定碳排放达峰行动方案，结合地方发展特点，统筹推动产业结构、能源结构、交通结构等调整，促进低碳生产、低碳建筑、低碳生活，打造零碳排放示范工程，开展碳达峰和空气质量达标协同管理，以低碳环保引领推动高质量发展。</w:t>
      </w:r>
    </w:p>
    <w:p w14:paraId="164C10E6">
      <w:pPr>
        <w:rPr>
          <w:rFonts w:eastAsiaTheme="minorEastAsia"/>
          <w:sz w:val="21"/>
        </w:rPr>
      </w:pPr>
      <w:r>
        <w:rPr>
          <w:rFonts w:hint="eastAsia"/>
        </w:rPr>
        <w:t>倡导企业低碳生产，节约能源和循环利用资源。积极引导企业通过改进生产技术、提供生产效率等方式降低企业单位能耗和资源消耗，严格控制用水用电等能源消耗。引导企业根据上下游产业链关系，综合考虑产品设计、采购、生产、包装、物流、销售、服务、回收和再利用等多个环节的节能环保因素，与上下游企业共同践行环境保护、节能减排等社会责任。</w:t>
      </w:r>
    </w:p>
    <w:p w14:paraId="50085553">
      <w:pPr>
        <w:pStyle w:val="5"/>
        <w:ind w:firstLine="640"/>
      </w:pPr>
      <w:r>
        <w:rPr>
          <w:rFonts w:hint="eastAsia"/>
        </w:rPr>
        <w:t>3、鼓励民众低碳出行</w:t>
      </w:r>
    </w:p>
    <w:p w14:paraId="3F7618A1">
      <w:pPr>
        <w:rPr>
          <w:rFonts w:eastAsiaTheme="minorEastAsia"/>
          <w:sz w:val="21"/>
        </w:rPr>
      </w:pPr>
      <w:r>
        <w:rPr>
          <w:rFonts w:hint="eastAsia"/>
        </w:rPr>
        <w:t>优化和提升公共交通能力，鼓励民众低碳出行。持续改善现有北辰区公共交通状况，增加北辰区通往市区以及城区和乡村的公共交通运输能力。持续推进绿色交通体系建设。引导促进定制公交、分时租赁、合乘车等新型绿色共享交通模式规范发展，加快充电桩等新能源汽车配套基础设施建设，实现建成区公交车全部更换为新能源汽车，铁路货场等新增或更换作业车辆主要使用新能源或清洁能源汽车。推进景区低碳发展，倡导低碳排放的旅游方式。</w:t>
      </w:r>
    </w:p>
    <w:p w14:paraId="2E6776E5">
      <w:pPr>
        <w:pStyle w:val="5"/>
        <w:ind w:firstLine="640"/>
      </w:pPr>
      <w:r>
        <w:rPr>
          <w:rFonts w:hint="eastAsia"/>
        </w:rPr>
        <w:t>4、强化二氧化碳减排</w:t>
      </w:r>
    </w:p>
    <w:p w14:paraId="036BE936">
      <w:r>
        <w:rPr>
          <w:rFonts w:hint="eastAsia"/>
        </w:rPr>
        <w:t>推动消费转型，构建节约清洁消费体系，深化</w:t>
      </w:r>
      <w:r>
        <w:t>2020</w:t>
      </w:r>
      <w:r>
        <w:rPr>
          <w:rFonts w:hint="eastAsia"/>
        </w:rPr>
        <w:t>年全区煤炭消费总量和煤炭占一次能源比重达到相关指标要求落实成果，强化煤炭消费控制，严控增量、优化存量，除等容量替代纳入国家建设规划的煤电项目外，不再审批（核准）新建燃煤发电项目，统筹燃煤指标配置，向集中高效利用、达标排放的领域倾斜。严格控制新建燃煤项目，实行耗煤项目减量替代，禁止配套建设自备燃煤电站。</w:t>
      </w:r>
    </w:p>
    <w:p w14:paraId="14279CBD">
      <w:r>
        <w:rPr>
          <w:rFonts w:hint="eastAsia"/>
        </w:rPr>
        <w:t>利用碳市场有效促进电力企业降低碳排放。推动电代煤，新增电力需加强清洁能源发电。根据《温室气体自愿减排交易管理暂行办法》（发改气候〔2012]1668号）和《天津市碳排放权交易管理暂行办法》（津政办规〔2020]11号）的相关要求，加大碳交易市场监管。应用国家信息中心的可计算一般均衡模型（CGE）的定量分析用电企业的碳排放量，不断完善煤电联动机制。</w:t>
      </w:r>
    </w:p>
    <w:p w14:paraId="636B41A3">
      <w:pPr>
        <w:pStyle w:val="3"/>
        <w:spacing w:before="156" w:after="156"/>
      </w:pPr>
      <w:bookmarkStart w:id="89" w:name="_Toc24833"/>
      <w:bookmarkStart w:id="90" w:name="_Toc3659"/>
      <w:bookmarkStart w:id="91" w:name="_Toc55464503"/>
      <w:bookmarkStart w:id="92" w:name="_Toc6714"/>
      <w:bookmarkStart w:id="93" w:name="_Toc72504261"/>
      <w:r>
        <w:rPr>
          <w:rFonts w:hint="eastAsia"/>
        </w:rPr>
        <w:t>第二节 精准施策，持续改善区域大气环境质量</w:t>
      </w:r>
      <w:bookmarkEnd w:id="89"/>
      <w:bookmarkEnd w:id="90"/>
      <w:bookmarkEnd w:id="91"/>
      <w:bookmarkEnd w:id="92"/>
      <w:bookmarkEnd w:id="93"/>
    </w:p>
    <w:p w14:paraId="32F7C5EB">
      <w:pPr>
        <w:pStyle w:val="4"/>
      </w:pPr>
      <w:bookmarkStart w:id="94" w:name="_Toc25475"/>
      <w:bookmarkStart w:id="95" w:name="_Toc8016"/>
      <w:bookmarkStart w:id="96" w:name="_Toc16371"/>
      <w:bookmarkStart w:id="97" w:name="_Toc55464505"/>
      <w:r>
        <w:rPr>
          <w:rFonts w:hint="eastAsia"/>
        </w:rPr>
        <w:t>一、严格管控工业企业污染</w:t>
      </w:r>
      <w:bookmarkEnd w:id="94"/>
      <w:bookmarkEnd w:id="95"/>
      <w:bookmarkEnd w:id="96"/>
      <w:bookmarkEnd w:id="97"/>
    </w:p>
    <w:p w14:paraId="4CE1110C">
      <w:pPr>
        <w:pStyle w:val="5"/>
        <w:ind w:firstLine="640"/>
      </w:pPr>
      <w:r>
        <w:rPr>
          <w:rFonts w:hint="eastAsia"/>
        </w:rPr>
        <w:t>1、重点行业深度治理</w:t>
      </w:r>
    </w:p>
    <w:p w14:paraId="751D0AFA">
      <w:r>
        <w:rPr>
          <w:rFonts w:hint="eastAsia"/>
        </w:rPr>
        <w:t>实施重点行业深度治理全覆盖。按照国家要求，对25个重点行业全面执行大气污染物特别排放限值，强化治污减排；新建项目严格执行大气污染物特别排放限值；铸造行业，进一步提升铸造工艺及装备水平，采用更高效的污染治理技术，实施更为严格的污染排放限值，</w:t>
      </w:r>
      <w:r>
        <w:rPr>
          <w:rFonts w:hint="eastAsia" w:hAnsi="仿宋_GB2312" w:cs="仿宋_GB2312"/>
          <w:szCs w:val="34"/>
        </w:rPr>
        <w:t>进一步加强高丘六和（天津）等无组织管控</w:t>
      </w:r>
      <w:r>
        <w:rPr>
          <w:rFonts w:hint="eastAsia"/>
        </w:rPr>
        <w:t xml:space="preserve">；建材行业，强化原料、产品等烟粉尘管控，提高大宗商品铁路运输货运量，金隅振兴2条水泥熟料生产线超低排放改造，NOx排放浓度不超过100毫克/立方米；工业涂装和包装印刷行业，按照《工业企业VOCs排放标准》（天津 </w:t>
      </w:r>
      <w:r>
        <w:t>DB12/524-2020</w:t>
      </w:r>
      <w:r>
        <w:rPr>
          <w:rFonts w:hint="eastAsia"/>
        </w:rPr>
        <w:t>）严格执行控制V</w:t>
      </w:r>
      <w:r>
        <w:t>OC</w:t>
      </w:r>
      <w:r>
        <w:rPr>
          <w:rFonts w:hint="eastAsia"/>
        </w:rPr>
        <w:t>s排放限值，鼓励RTO、RCO治理工艺和低挥发性溶剂替代项目。持续巩固全区燃气锅炉低氮改造成果。指导涉及战略新兴产业等纳入重污染天气的重点行业企业按照《重污染天气应急减排措施实施制定技术指南（2020年修订版）》B级企业标准，制定改造方案，完成提升改造。对工业园区、集聚区等进行集中整治，确保稳定达标改造，减少工业集聚区污染。水泥行业，鼓励利用工业固体废弃物、转炉渣等非碳酸盐原料生产水泥。</w:t>
      </w:r>
    </w:p>
    <w:p w14:paraId="7CEEFD44">
      <w:pPr>
        <w:pStyle w:val="5"/>
        <w:ind w:firstLine="640"/>
      </w:pPr>
      <w:r>
        <w:t>2、</w:t>
      </w:r>
      <w:r>
        <w:rPr>
          <w:rFonts w:hint="eastAsia"/>
        </w:rPr>
        <w:t>工业炉窑专项治理</w:t>
      </w:r>
    </w:p>
    <w:p w14:paraId="49CA53F6">
      <w:r>
        <w:rPr>
          <w:rFonts w:hint="eastAsia"/>
        </w:rPr>
        <w:t>继续开展工业炉窑专项治理。开展拉网式排查，建立各类工业炉窑管理清单。制定行业规范，修订完善环保、能耗等标准，提高排放标准要求。建立全口径炉窑清单并动态更新。推进涉工业炉窑行业实施“一厂一策”精细化管控，持续推进燃气锅炉进行低氮改造工程，NO</w:t>
      </w:r>
      <w:r>
        <w:rPr>
          <w:rFonts w:hint="eastAsia"/>
          <w:vertAlign w:val="subscript"/>
        </w:rPr>
        <w:t>X</w:t>
      </w:r>
      <w:r>
        <w:rPr>
          <w:rFonts w:hint="eastAsia"/>
        </w:rPr>
        <w:t>浓度达到50微克/立方米。在天津市《工业炉窑大气污染物排放标准》（DB12/ 556-2015）基础上，严格落实砖瓦、水泥、炭素、有色再生等主要行业工业炉窑排放限值，细化各行业要求，更好地指导重点行业炉窑污染治理，确保炉窑稳定达标排放，鼓励工业炉窑使用电、天然气等清洁能源。凡未列入清单的工业炉窑纳入秋冬季及初春错峰生产方案。开展生物质锅炉燃料品质及排放管控，禁止使用列支燃料或掺烧垃圾、工业固废，对污染物排放不符合要求的生物质锅炉进行整改或淘汰。</w:t>
      </w:r>
    </w:p>
    <w:p w14:paraId="3B0B5D60">
      <w:pPr>
        <w:pStyle w:val="5"/>
        <w:ind w:firstLine="640"/>
      </w:pPr>
      <w:r>
        <w:t>3、VOCs全过程综合整治</w:t>
      </w:r>
    </w:p>
    <w:p w14:paraId="2D2D3036">
      <w:r>
        <w:rPr>
          <w:rFonts w:hint="eastAsia"/>
        </w:rPr>
        <w:t>全面防控VOCs污染。完成全区VOCs一般排放企业治理或关停，坚持做好全区涉VOCs排放工业企业配套环保设施运行监管工作，稳定达到相关排放标准，加强相关企业无组织排放管控。持续推进餐饮油烟深度治理，确保油烟净化设施与排风机同步运行、定期清洗。科学安排建成区建筑墙体涂刷装饰、道路设施喷涂、市政道路划线、交通标线施划等使用有机溶剂的作业时间。涉及民生工程等重大项目，确须在此期间作业的，经区政府同意后方可施工，严格确保使用低VOCs涂料，同时配套使用污染防控设施。禁止建设生产和使用高VOCs含量的溶剂型涂料、油墨、胶粘剂等项目，对使用涂料、油墨、光油和胶粘剂的工业涂装、包装印刷等企业开展低VOCs原辅料替代；严格按照《建筑类涂料与胶粘剂挥发性有机化合物含量限值标准》要求，组织对本区生产和销售的建筑类涂料和胶粘剂产品进行质量监督性抽查，对抽查结果公开通报，对不合格产品依法处理。对全区VOCs治理设施进行排查，对41家VOCs抵消治理设施进行提升改造。严格落实《天津市机动车维修行业涂漆作业综合治理实施方案》。大力推广环保涂料，在全区一类机动车维修企业改用水性环保型涂料的基础上，坚持做好监管工作，确保全区所有涉及涂漆作业的机动车维修企业全部改用水性环保型涂料。服装干洗经营单位全面推广使用配备溶剂回收制冷系统、不直接外排废气的全封闭式干洗机，定期进行干洗机及干洗机输送管道、阀门检查，防止干洗剂泄漏。到2025年，VOCs排放总量较2020年下降比例达到市下达指标要求。</w:t>
      </w:r>
    </w:p>
    <w:p w14:paraId="1DCA5884">
      <w:pPr>
        <w:pStyle w:val="5"/>
        <w:ind w:firstLine="640"/>
      </w:pPr>
      <w:r>
        <w:rPr>
          <w:rFonts w:hint="eastAsia"/>
        </w:rPr>
        <w:t>4、PM</w:t>
      </w:r>
      <w:r>
        <w:rPr>
          <w:rFonts w:hint="eastAsia"/>
          <w:vertAlign w:val="subscript"/>
        </w:rPr>
        <w:t>2.5</w:t>
      </w:r>
      <w:r>
        <w:rPr>
          <w:rFonts w:hint="eastAsia"/>
        </w:rPr>
        <w:t>和</w:t>
      </w:r>
      <w:r>
        <w:t>O</w:t>
      </w:r>
      <w:r>
        <w:rPr>
          <w:rFonts w:hint="eastAsia"/>
          <w:vertAlign w:val="subscript"/>
        </w:rPr>
        <w:t>3</w:t>
      </w:r>
      <w:r>
        <w:rPr>
          <w:rFonts w:hint="eastAsia"/>
        </w:rPr>
        <w:t>协同控制</w:t>
      </w:r>
    </w:p>
    <w:p w14:paraId="11A841D6">
      <w:r>
        <w:rPr>
          <w:rFonts w:hint="eastAsia"/>
        </w:rPr>
        <w:t>加强VOCs和NOx协同治理。制定和出台加强</w:t>
      </w:r>
      <w:r>
        <w:t>PM</w:t>
      </w:r>
      <w:r>
        <w:rPr>
          <w:vertAlign w:val="subscript"/>
        </w:rPr>
        <w:t>2.5</w:t>
      </w:r>
      <w:r>
        <w:rPr>
          <w:rFonts w:hint="eastAsia"/>
        </w:rPr>
        <w:t>和</w:t>
      </w:r>
      <w:r>
        <w:t>O</w:t>
      </w:r>
      <w:r>
        <w:rPr>
          <w:vertAlign w:val="subscript"/>
        </w:rPr>
        <w:t>3</w:t>
      </w:r>
      <w:r>
        <w:rPr>
          <w:rFonts w:hint="eastAsia"/>
        </w:rPr>
        <w:t>协同控制持续改善空气质量行动计划，明确路线图和时间表，进行整体部署。完善环境保护、节能减排约束性指标管理，将</w:t>
      </w:r>
      <w:r>
        <w:t>PM</w:t>
      </w:r>
      <w:r>
        <w:rPr>
          <w:vertAlign w:val="subscript"/>
        </w:rPr>
        <w:t>2.5</w:t>
      </w:r>
      <w:r>
        <w:rPr>
          <w:rFonts w:hint="eastAsia"/>
        </w:rPr>
        <w:t>浓度下降和优良天数比例提高作为约束性指标，将</w:t>
      </w:r>
      <w:r>
        <w:t>PM</w:t>
      </w:r>
      <w:r>
        <w:rPr>
          <w:vertAlign w:val="subscript"/>
        </w:rPr>
        <w:t>2.5</w:t>
      </w:r>
      <w:r>
        <w:rPr>
          <w:rFonts w:hint="eastAsia"/>
        </w:rPr>
        <w:t>和</w:t>
      </w:r>
      <w:r>
        <w:t>O</w:t>
      </w:r>
      <w:r>
        <w:rPr>
          <w:vertAlign w:val="subscript"/>
        </w:rPr>
        <w:t>3</w:t>
      </w:r>
      <w:r>
        <w:rPr>
          <w:rFonts w:hint="eastAsia"/>
        </w:rPr>
        <w:t>的主要前体物NOx、VOCs作为总量减排约束性指标，科学确定</w:t>
      </w:r>
      <w:r>
        <w:t>PM</w:t>
      </w:r>
      <w:r>
        <w:rPr>
          <w:vertAlign w:val="subscript"/>
        </w:rPr>
        <w:t>2.5</w:t>
      </w:r>
      <w:r>
        <w:rPr>
          <w:rFonts w:hint="eastAsia"/>
        </w:rPr>
        <w:t>和</w:t>
      </w:r>
      <w:r>
        <w:t>O</w:t>
      </w:r>
      <w:r>
        <w:rPr>
          <w:vertAlign w:val="subscript"/>
        </w:rPr>
        <w:t>3</w:t>
      </w:r>
      <w:r>
        <w:rPr>
          <w:rFonts w:hint="eastAsia"/>
        </w:rPr>
        <w:t>减排目标和比例，探索实施重大减排工程，大力削减NOx、VOCs排放量，努力实现协同效应。加强重点区域、重点时段、重点领域、重点行业治理，强化区域联防联控联治，夏季重点治理</w:t>
      </w:r>
      <w:r>
        <w:t>O</w:t>
      </w:r>
      <w:r>
        <w:rPr>
          <w:vertAlign w:val="subscript"/>
        </w:rPr>
        <w:t>3</w:t>
      </w:r>
      <w:r>
        <w:rPr>
          <w:rFonts w:hint="eastAsia"/>
        </w:rPr>
        <w:t>，秋冬季重点治理</w:t>
      </w:r>
      <w:r>
        <w:t>PM</w:t>
      </w:r>
      <w:r>
        <w:rPr>
          <w:vertAlign w:val="subscript"/>
        </w:rPr>
        <w:t>2.5</w:t>
      </w:r>
      <w:r>
        <w:rPr>
          <w:rFonts w:hint="eastAsia"/>
        </w:rPr>
        <w:t>。坚持把结构调整优化放到突出位置，加强源头控制。</w:t>
      </w:r>
    </w:p>
    <w:p w14:paraId="010F0770">
      <w:r>
        <w:rPr>
          <w:rFonts w:hint="eastAsia"/>
        </w:rPr>
        <w:t>优化产业结构，大力推进重点区域产业布局调整和结构优化，深化涉VOCs园区和产业集群升级改造，提升产业集中度。优化能源结构，继续实施重点区域煤炭消费总量控制，降低煤炭消费比重，提升能源清洁化水平。优化运输结构构建“车—油—路”一体的绿色交通体系，有效降低公路货运比例。优化农业投人结构，提高农业</w:t>
      </w:r>
      <w:r>
        <w:rPr>
          <w:rFonts w:hint="eastAsia" w:hAnsi="微软雅黑" w:cs="微软雅黑"/>
        </w:rPr>
        <w:t>绿色</w:t>
      </w:r>
      <w:r>
        <w:rPr>
          <w:rFonts w:hint="eastAsia"/>
        </w:rPr>
        <w:t>发展水平减少大气中氨的排放。推进石化、化工、医药、工业涂装等重点行业VOCs治理，推进电力、钢铁、水泥、平板玻璃等重点行业NOx治理，实施源头、过程、末端全流程、全链条、全环节管控。</w:t>
      </w:r>
    </w:p>
    <w:p w14:paraId="4690D888">
      <w:r>
        <w:rPr>
          <w:rFonts w:hint="eastAsia"/>
        </w:rPr>
        <w:t>严格按照涉VOCs的行业和产品标准，加强监测和执法能力建设。探索开展</w:t>
      </w:r>
      <w:r>
        <w:t>O</w:t>
      </w:r>
      <w:r>
        <w:rPr>
          <w:vertAlign w:val="subscript"/>
        </w:rPr>
        <w:t>3</w:t>
      </w:r>
      <w:r>
        <w:rPr>
          <w:rFonts w:hint="eastAsia"/>
        </w:rPr>
        <w:t>形成机理研究与来源解析，持续做好</w:t>
      </w:r>
      <w:r>
        <w:t>PM</w:t>
      </w:r>
      <w:r>
        <w:rPr>
          <w:vertAlign w:val="subscript"/>
        </w:rPr>
        <w:t>2.5</w:t>
      </w:r>
      <w:r>
        <w:rPr>
          <w:rFonts w:hint="eastAsia"/>
        </w:rPr>
        <w:t>和</w:t>
      </w:r>
      <w:r>
        <w:t>O</w:t>
      </w:r>
      <w:r>
        <w:rPr>
          <w:vertAlign w:val="subscript"/>
        </w:rPr>
        <w:t>3</w:t>
      </w:r>
      <w:r>
        <w:rPr>
          <w:rFonts w:hint="eastAsia"/>
        </w:rPr>
        <w:t>的协同治理，加强协同治理关键技术攻关，提升科技支撑和精细治理水平。</w:t>
      </w:r>
    </w:p>
    <w:p w14:paraId="367A1735">
      <w:pPr>
        <w:pStyle w:val="5"/>
        <w:ind w:firstLine="640"/>
      </w:pPr>
      <w:r>
        <w:rPr>
          <w:rFonts w:hint="eastAsia"/>
        </w:rPr>
        <w:t>5、强化企业治污监管</w:t>
      </w:r>
    </w:p>
    <w:p w14:paraId="1E84A77C">
      <w:r>
        <w:rPr>
          <w:rFonts w:hint="eastAsia"/>
        </w:rPr>
        <w:t>深化工业企业无组织排放管理。开展建材、有色等重点行业新一轮无组织排放排查工作，建立“一户一档”、加强监管，确定无组织排放改造清单，着重推进中荣科技、维之蓝、雅迪电动车等大型涉及V</w:t>
      </w:r>
      <w:r>
        <w:t>OC</w:t>
      </w:r>
      <w:r>
        <w:rPr>
          <w:rFonts w:hint="eastAsia"/>
        </w:rPr>
        <w:t>s企业的无组织排放改造，实施物料（含废渣）运输、装卸、储存、转移与输送以及生产工艺过程等无组织排放深度治理，确保严格管控。</w:t>
      </w:r>
    </w:p>
    <w:p w14:paraId="6CB86A37">
      <w:r>
        <w:rPr>
          <w:rFonts w:hint="eastAsia"/>
        </w:rPr>
        <w:t>坚持工业企业错峰生产和运输。加大秋冬季工业企业生产调控力度，对建材、铸造、有色、化工等重点行业实行差别化错峰生产。对未按期完成治理改造任务的企业，一并纳入错峰生产方案，实施停产。属于《产业结构调整指导目录》限制类企业，提高错峰限产比例或实施停产。对钢铁、水泥等涉及大宗原材料及产品运输的重点用车企业实施秋冬季错峰运输，大幅减少污染物排放。</w:t>
      </w:r>
    </w:p>
    <w:p w14:paraId="33269BC3">
      <w:r>
        <w:rPr>
          <w:rFonts w:hint="eastAsia"/>
        </w:rPr>
        <w:t>严格新建项目环保准入标准。新建项目严格落实国家大气污染物特别排放限值要求，对新、改、扩建项目所需的SO</w:t>
      </w:r>
      <w:r>
        <w:rPr>
          <w:rFonts w:hint="eastAsia"/>
          <w:vertAlign w:val="subscript"/>
        </w:rPr>
        <w:t>2</w:t>
      </w:r>
      <w:r>
        <w:rPr>
          <w:rFonts w:hint="eastAsia"/>
        </w:rPr>
        <w:t>、NOx和VOCs等污染物排放总量实行倍量替代。</w:t>
      </w:r>
    </w:p>
    <w:p w14:paraId="79F85ED5">
      <w:r>
        <w:rPr>
          <w:rFonts w:hint="eastAsia"/>
        </w:rPr>
        <w:t>强化工业企业污染物治理设施及监管。加强企业大气污染物排放治理设施提效升级，对全区涉</w:t>
      </w:r>
      <w:r>
        <w:t>VOCs治理企业，对企业治理设施进行逐一排查，对采用低温等离子、光催化、光氧化等低效治理设施的，指导企业按照国家及我市相关技术指南进行提标改造。</w:t>
      </w:r>
      <w:r>
        <w:rPr>
          <w:rFonts w:hint="eastAsia"/>
        </w:rPr>
        <w:t>严查企业末端治理设施运行情况，加强对废气治理设施运行的抽查和监管力度。加大涉及V</w:t>
      </w:r>
      <w:r>
        <w:t>OC</w:t>
      </w:r>
      <w:r>
        <w:rPr>
          <w:rFonts w:hint="eastAsia"/>
        </w:rPr>
        <w:t>s企业在线监测系统安装力度，对现有大气污染多维度综合分析平台、雷达扫描系统、工况用电监测系统、气象监控平台、街镇开发区空气站80个微站等自动监测系统进行整合，探索全工业园区统一实施、统一治理、统一监测的一体化服务模式，增强环保监管能力，全面提升园区大气环境质量。</w:t>
      </w:r>
    </w:p>
    <w:p w14:paraId="6E0931FC">
      <w:pPr>
        <w:pStyle w:val="4"/>
      </w:pPr>
      <w:r>
        <w:rPr>
          <w:rFonts w:hint="eastAsia"/>
        </w:rPr>
        <w:t>二、深化移动源污染治理</w:t>
      </w:r>
    </w:p>
    <w:p w14:paraId="7F905964">
      <w:pPr>
        <w:pStyle w:val="5"/>
        <w:ind w:firstLine="640"/>
      </w:pPr>
      <w:r>
        <w:rPr>
          <w:rFonts w:hint="eastAsia"/>
        </w:rPr>
        <w:t>1、持续优化运输方式</w:t>
      </w:r>
    </w:p>
    <w:p w14:paraId="427B6B79">
      <w:r>
        <w:rPr>
          <w:rFonts w:hint="eastAsia"/>
        </w:rPr>
        <w:t>巩固深化打好柴油货车污染治理攻坚战三年作战计划工作成果。优化调整货运方式，落实国家及市有关要求，坚决调整不合理的运输结构，实现资源优化配置，推进各种运输方式协调发展。持续推进道路运输工具更新淘汰和运输组织方式转变，研究甩挂运输、无车承运、城市物流绿色配送等领域示范创建措施，有效促进道路货物运输行业节能减排，提高运输效率。优化外地柴油车过境北辰区的运输道路与时间，采取更强的措施加强过境柴油车辆上路运输时间和活动区域，严查过区车辆超标排放问题。</w:t>
      </w:r>
    </w:p>
    <w:p w14:paraId="569B4F3D">
      <w:pPr>
        <w:pStyle w:val="5"/>
        <w:ind w:firstLine="640"/>
      </w:pPr>
      <w:r>
        <w:t>2、</w:t>
      </w:r>
      <w:r>
        <w:rPr>
          <w:rFonts w:hint="eastAsia"/>
        </w:rPr>
        <w:t>持续优化运输结构</w:t>
      </w:r>
    </w:p>
    <w:p w14:paraId="3331FD0E">
      <w:r>
        <w:rPr>
          <w:rFonts w:hint="eastAsia"/>
        </w:rPr>
        <w:t>加强重点路段和区域移动源管控。建立健全大气污染物遥感监测网络，加强对京津快速、京津高速出入口等重点区域的污染物监测，试点开展限速、限流、错峰上路等措施，防止污染物超标。严查污染物超标排放车辆上路，尤其是夜间违法上路行为，提供更大的奖励机制鼓励民众举报冒黑烟等车辆违法事件。对物流园、工业园、货物集散地、公交场站等重点场所，以及物流货运、工矿企业、长途客运、环卫、邮政、旅游、维修等重点单位开展入户监督抽测、在线监测系统等，严查尾气排放不达标等行为。继续落实“环保取证、公安处罚”工作机制。</w:t>
      </w:r>
    </w:p>
    <w:p w14:paraId="39EBC786">
      <w:r>
        <w:rPr>
          <w:rFonts w:hint="eastAsia"/>
        </w:rPr>
        <w:t>加快推进新旧车辆淘汰更新。加强新车管理，所有生产、进口、销售和登记注册的重型车辆自</w:t>
      </w:r>
      <w:r>
        <w:t>2021年7月1日起实施国六a排放标准，其中重型燃气车辆实施国六b标准；自2023年7月1日起全部实施国六b标准。继续淘汰老旧车。实施国三营运柴油车淘汰工作。扩大国三柴油货车限行范围，通过限行使用措施倒逼淘汰更新。推动淘汰采用稀薄燃烧技术的燃气车辆。推广应用新能源汽车。逐步提高新能源汽车新增比例。</w:t>
      </w:r>
      <w:r>
        <w:rPr>
          <w:rFonts w:hint="eastAsia"/>
        </w:rPr>
        <w:t>以公交车、物流车、出租车（网约车）、公务用车和租赁用车为重点领域，持续加大新能源汽车推广力度。十四五规划期间，全区每年新增新能源汽车辆数和占全区汽车保有量比例达到市下达指标要求；加快推进建成区新增和更新的公交、环卫、邮政、出租、通勤、轻型物流配送车辆使用新能源或清洁能源汽车，推动使用比例达到100%；巩固建成区公交车全部更换为新能源汽车成果，推动建成区以外公交车全部更换为新能源汽车。大力推进充电基础设施建设，在物流园、产业园、工业园、大型商业购物中心、农贸批发市场等物流集散地建设集中式充电桩和快速充电桩，为承担物流配送的新能源车辆在城市通行提供便利，“十四五”期间，新增公共充电桩数和全区公共充电桩保有量达到市下达指标要求。</w:t>
      </w:r>
    </w:p>
    <w:p w14:paraId="49494E68">
      <w:pPr>
        <w:pStyle w:val="5"/>
        <w:ind w:firstLine="640"/>
      </w:pPr>
      <w:r>
        <w:rPr>
          <w:rFonts w:hint="eastAsia"/>
        </w:rPr>
        <w:t>3、严格管控机动车污染</w:t>
      </w:r>
    </w:p>
    <w:p w14:paraId="5797F23F">
      <w:r>
        <w:rPr>
          <w:rFonts w:hint="eastAsia"/>
        </w:rPr>
        <w:t>严格管控、严厉查处超标排放行为。持续推进老旧车淘汰，完成全区老旧车淘汰工作任务。制定营运柴油货车和燃气车辆提前淘汰更新目标及实施计划，采取经济补偿、限制使用、严格超标排放监管等方式，大力推进国家第三阶段排放标准营运柴油货车提前淘汰更新，加快淘汰采用稀薄燃烧技术和“油改气”的老旧燃气车辆。组织实施机动车大户制管理，制定机动车大户制管理工作方案，强化日常监管。持续开展机动车超标排放执法监管。加强机动车排放检验机构监管，完善监管平台，在增加机动车检控站固定式遥测门站的基础上，开展移动遥测执法。运用非接触式路检执法，分时段在淮河道辅道、京津公路小街段等点位和北辰界京津快速路、京津二线、滨保高速入京方向等路段进行机动车排气遥感监测。创新监管方法，严厉打击未按规范进行排放检测和弄虚作假等违法行为。以国省公路跨省交界处为重点区域，强化环保、公安、交通运输联合执法。继续实行“环保取证、公安处罚”机制，严查机动车环境违法行为。</w:t>
      </w:r>
    </w:p>
    <w:p w14:paraId="1E3817DB">
      <w:r>
        <w:rPr>
          <w:rFonts w:hint="eastAsia"/>
        </w:rPr>
        <w:t>优化中重型货车绕城行驶。配合实施中心城区中重型货车限行措施，通过优化行驶道路、分时规划路线等方式，降低外环线和九园线运输压力，完善中心城区环路通行条件。外环线和九园线安装黑烟抓拍设备，建立机动车排气污染监控平台。开展重型柴油车“大户制”管理。2021年起，重点用车单位及示范工业园区内企业停止使用国三及以下重型柴油车开展运输工作；外环线以内建筑工地、大型商场超市（建筑面积5万平方米以上）停止使用国三及以下重型柴油车开展运输工作。2021年外环线以内停止使用国三及以下清扫车、洒水车、垃圾运输车和邮政车，2022年全面停止使用。严格落实高速公路差异化收费优惠政策，通过经济手段引导中重型货车优先使用高速公路行驶。严格落实高污染排放车辆限行要求。</w:t>
      </w:r>
    </w:p>
    <w:p w14:paraId="07E7D6A0">
      <w:r>
        <w:rPr>
          <w:rFonts w:hint="eastAsia"/>
        </w:rPr>
        <w:t>减少机动车怠速尾气排放。持续完善优化交通疏导方案，加强现场疏导，优化交通组织，完善交通安全设施和交通管理科技设施，提高道路通行效率，减少机动车尾气排放污染。外环线和九园线安装黑烟抓拍设备，探索建立机动车排气污染监控平台。</w:t>
      </w:r>
    </w:p>
    <w:p w14:paraId="75A32E77">
      <w:r>
        <w:rPr>
          <w:rFonts w:hint="eastAsia"/>
        </w:rPr>
        <w:t>强化新车源头管控。全区范围内禁止制造、进口、销售和注册登记国家第五阶段标准（不含）以下的轻型柴油车；海关检验检疫部门要加强进口环节管控，不允许国家第五阶段标准（不含）以下的轻型柴油车入境。推广使用达到国家第六阶段排放标准的燃气车辆。</w:t>
      </w:r>
    </w:p>
    <w:p w14:paraId="7C05C372">
      <w:r>
        <w:rPr>
          <w:rFonts w:hint="eastAsia"/>
        </w:rPr>
        <w:t>强化工程机械污染防治。生态环境局牵头，建设、交管、运管、规资、市容、水务、农业、土整等部门分行业建立非道路移动机械使用监管机制，实施长效监管，禁止不达标的工程机械入场作业。按照国家要求对国二及以下非道路移动机械进行淘汰或治理。各镇街、工业区内的施工工地入场非道路移动机械安装在线监控，建立远程监控平台。不断更新、划定并公布禁止使用高排放非道路移动机械的区域，严格组织落实，对违法行为依法严处；以各类施工工地、整理地块等为重点，推进柴油施工机械和作业机械清洁化。重污染天气预警期间，除涉及安全生产及应急抢险任务外，停止使用非道路移动机械。</w:t>
      </w:r>
    </w:p>
    <w:p w14:paraId="3529161D">
      <w:r>
        <w:rPr>
          <w:rFonts w:hint="eastAsia"/>
        </w:rPr>
        <w:t>加强车用油品供应管理。抽查销售的车用汽柴油，对不合格产品依法进行后处理，对抽查结果进行通报。严厉打击黑加油站点，依法重点查处流动加油车售油违法违规行为。对非法加油活动管控不严的镇街、开发区及村居等属地负责人进行问责。</w:t>
      </w:r>
    </w:p>
    <w:p w14:paraId="43EF80D5">
      <w:r>
        <w:rPr>
          <w:rFonts w:hint="eastAsia"/>
        </w:rPr>
        <w:t>全面推广车用尿素。持续全面销售符合产品质量要求的车用尿素，保证柴油车辆尾气处理系统的尿素需求。抽查销售的车用尿素产品，对不合格产品依法进行后处理，对抽查结果进行通报。对柴油货车尿素使用情况进行例行抽检，对未添加尿素的货运车辆，依法处罚并全部劝返。</w:t>
      </w:r>
    </w:p>
    <w:p w14:paraId="5C1B5C64">
      <w:pPr>
        <w:pStyle w:val="4"/>
      </w:pPr>
      <w:bookmarkStart w:id="98" w:name="_Toc23215"/>
      <w:bookmarkStart w:id="99" w:name="_Toc468"/>
      <w:bookmarkStart w:id="100" w:name="_Toc13716"/>
      <w:bookmarkStart w:id="101" w:name="_Toc55464507"/>
      <w:r>
        <w:rPr>
          <w:rFonts w:hint="eastAsia"/>
        </w:rPr>
        <w:t>三、严格管控扬尘面源污染</w:t>
      </w:r>
      <w:bookmarkEnd w:id="98"/>
      <w:bookmarkEnd w:id="99"/>
      <w:bookmarkEnd w:id="100"/>
      <w:bookmarkEnd w:id="101"/>
    </w:p>
    <w:p w14:paraId="7C93F51D">
      <w:pPr>
        <w:pStyle w:val="5"/>
        <w:ind w:firstLine="640"/>
      </w:pPr>
      <w:r>
        <w:rPr>
          <w:rFonts w:hint="eastAsia"/>
        </w:rPr>
        <w:t>1、强化施工扬尘管控</w:t>
      </w:r>
    </w:p>
    <w:p w14:paraId="739BD94F">
      <w:r>
        <w:rPr>
          <w:rFonts w:hint="eastAsia"/>
        </w:rPr>
        <w:t>各类施工工地加强</w:t>
      </w:r>
      <w:r>
        <w:rPr>
          <w:rFonts w:hint="eastAsia" w:hAnsi="仿宋_GB2312" w:cs="仿宋_GB2312"/>
          <w:szCs w:val="34"/>
        </w:rPr>
        <w:t>污染防控措施，</w:t>
      </w:r>
      <w:r>
        <w:rPr>
          <w:rFonts w:hint="eastAsia"/>
        </w:rPr>
        <w:t>安装在线监测和视频监控设备，并与主管部门联网；建成区施工工地实现智能渣土车辆运输全覆盖。对各类长距离施工的市政、公路、水利等线性工程，全面实行分段施工，并同步落实好扬尘防控措施。各行业主管部门按照职责分工对各类施工项目持续加大监管力度，对出现违规排污的企业，依法暂停投标资格、从重处罚，并按规定向社会公开。建立各类施工工地扬尘管理清单动态更新机制，每季度更新。将施工工地扬尘污染防治纳入文明施工管理范畴，建立扬尘控制责任制度，扬尘治理费用列入工程造价。将扬尘管理工作不到位的不良信息纳入建筑市场信用管理体系，情节严重的，列入建筑市场主体“黑名单”。因地制宜稳步发展装配式建筑。</w:t>
      </w:r>
    </w:p>
    <w:p w14:paraId="3271992A">
      <w:pPr>
        <w:rPr>
          <w:rFonts w:eastAsiaTheme="minorEastAsia"/>
          <w:sz w:val="21"/>
        </w:rPr>
      </w:pPr>
      <w:r>
        <w:rPr>
          <w:rFonts w:hint="eastAsia"/>
        </w:rPr>
        <w:t>统筹开展全区渣土运输专项整治行动。对渣土堆积、车轮带泥、工地出入口未洒水、渣土运输车辆车身不洁、车牌照遮盖、打灰扬尘等问题，要求施工方立即整改，将问题逐一挂账销号，及时跟踪复查。区处置场建成达标后投入运行，实现渣土运输企业和车辆的规范化管理。城管委渣土办负责对各镇街、工业区内的渣土运输车安装卫星定位系统，并建立监控平台。</w:t>
      </w:r>
    </w:p>
    <w:p w14:paraId="5927FC70">
      <w:pPr>
        <w:rPr>
          <w:rFonts w:eastAsiaTheme="minorEastAsia"/>
          <w:sz w:val="21"/>
        </w:rPr>
      </w:pPr>
      <w:r>
        <w:rPr>
          <w:rFonts w:hint="eastAsia"/>
        </w:rPr>
        <w:t>强化裸地治理。对新排查发现的裸地因地制宜全面治理，严格落实硬化、绿化、蓄水、苫盖等治理措施。完善动态更新机制，持续排查扬尘隐患并对治理措施进行增补，防止污染反弹。</w:t>
      </w:r>
    </w:p>
    <w:p w14:paraId="1810FDB8">
      <w:pPr>
        <w:pStyle w:val="5"/>
        <w:ind w:firstLine="640"/>
      </w:pPr>
      <w:r>
        <w:t>2、加大城市清洁力度</w:t>
      </w:r>
    </w:p>
    <w:p w14:paraId="3C331578">
      <w:pPr>
        <w:rPr>
          <w:rFonts w:eastAsiaTheme="minorEastAsia"/>
          <w:sz w:val="21"/>
        </w:rPr>
      </w:pPr>
      <w:r>
        <w:rPr>
          <w:rFonts w:hint="eastAsia"/>
        </w:rPr>
        <w:t>持续加大城市清扫保洁力度。持续实施道路扫保“以克论净”和区域降尘量考核；全面清洗公共设施、绿化隔离带等部位的积尘浮尘，定期对城乡结合部、背街里巷等区域进行重点清扫。利用水车配合机扫车对城区道路进行全面洗扫，保障道路干净整洁。加强国省公路机扫保洁。加强与外环线相连的重点区域周边主要国省公路、穿城镇公路及建城区的环线公路和通往旅游景区公路的机械洗扫。如遇重污染天气二级及以上应急响应，每天湿扫路面1次以上。</w:t>
      </w:r>
    </w:p>
    <w:p w14:paraId="1FAEC17C">
      <w:pPr>
        <w:rPr>
          <w:rFonts w:eastAsiaTheme="minorEastAsia"/>
          <w:sz w:val="21"/>
        </w:rPr>
      </w:pPr>
      <w:r>
        <w:rPr>
          <w:rFonts w:hint="eastAsia"/>
        </w:rPr>
        <w:t>严格落实烟花爆竹禁放规定。严格落实《天津市人民代表大会常务委员会关于禁止燃放烟花爆竹的决定》，落实禁止销售、燃放烟花爆竹要求。按照全市统一部署，研究提出本区全域禁止燃放烟花爆竹要求。</w:t>
      </w:r>
    </w:p>
    <w:p w14:paraId="3BD3907C">
      <w:pPr>
        <w:pStyle w:val="5"/>
        <w:ind w:firstLine="640"/>
      </w:pPr>
      <w:r>
        <w:t>3、</w:t>
      </w:r>
      <w:r>
        <w:rPr>
          <w:rFonts w:hint="eastAsia"/>
        </w:rPr>
        <w:t>管控农村扬尘污染</w:t>
      </w:r>
    </w:p>
    <w:p w14:paraId="0F273A24">
      <w:pPr>
        <w:rPr>
          <w:rFonts w:eastAsiaTheme="minorEastAsia"/>
          <w:sz w:val="21"/>
        </w:rPr>
      </w:pPr>
      <w:r>
        <w:rPr>
          <w:rFonts w:hint="eastAsia"/>
        </w:rPr>
        <w:t>持续做好秸秆综合利用和禁烧工作。进一步推进秸秆肥料化、饲料化、燃料化、基料化和原料化利用，加快推进秸秆综合利用产业化。持续加大禁止露天焚烧秸秆力度，在重点时段开展秸秆禁烧专项巡查；对在重污染预警期间出现秸秆露天焚烧，被国家及市级通报的，一律严肃问责。全面落实禁止焚烧垃圾、落叶、枯草要求；严禁在道路及社区非指定区域内焚烧花圈、纸钱及其他丧葬用品；环内地区及其他重点地区坚决禁止露天烧烤食品。用好用足高架视频等技术手段，实现科技化监管全覆盖。</w:t>
      </w:r>
    </w:p>
    <w:p w14:paraId="221EFD31">
      <w:pPr>
        <w:pStyle w:val="4"/>
      </w:pPr>
      <w:bookmarkStart w:id="102" w:name="_Toc55464509"/>
      <w:bookmarkStart w:id="103" w:name="_Toc26018"/>
      <w:bookmarkStart w:id="104" w:name="_Toc12099"/>
      <w:bookmarkStart w:id="105" w:name="_Toc30994"/>
      <w:r>
        <w:rPr>
          <w:rFonts w:hint="eastAsia"/>
        </w:rPr>
        <w:t>四、妥善应对重污染天气</w:t>
      </w:r>
      <w:bookmarkEnd w:id="102"/>
      <w:bookmarkEnd w:id="103"/>
      <w:bookmarkEnd w:id="104"/>
      <w:bookmarkEnd w:id="105"/>
    </w:p>
    <w:p w14:paraId="31E79F02">
      <w:pPr>
        <w:rPr>
          <w:rFonts w:eastAsiaTheme="minorEastAsia"/>
          <w:sz w:val="21"/>
        </w:rPr>
      </w:pPr>
      <w:r>
        <w:rPr>
          <w:rFonts w:hint="eastAsia"/>
        </w:rPr>
        <w:t>配合完善应急响应机制。落实国家要求，定期修订完善重污染天气应急预案，建立重污染应急管控清单动态更新机制，持续细化“一厂一策”，保障应急减排措施可操作、可核查。确保启动速度、响应及时，将不利气象条件影响降至最低。</w:t>
      </w:r>
    </w:p>
    <w:p w14:paraId="744BCFE3">
      <w:pPr>
        <w:rPr>
          <w:rFonts w:eastAsiaTheme="minorEastAsia"/>
          <w:sz w:val="21"/>
        </w:rPr>
      </w:pPr>
      <w:r>
        <w:rPr>
          <w:rFonts w:hint="eastAsia"/>
        </w:rPr>
        <w:t>强化预警应对能力。推进空气质量预测预报能力建设，提升重污染应对技术支撑能力，充分利用大数据分析、信息化手段，提高管理效率和工作成效。</w:t>
      </w:r>
    </w:p>
    <w:p w14:paraId="4C358C4E">
      <w:pPr>
        <w:rPr>
          <w:rFonts w:eastAsiaTheme="minorEastAsia"/>
          <w:sz w:val="21"/>
        </w:rPr>
      </w:pPr>
      <w:r>
        <w:rPr>
          <w:rFonts w:hint="eastAsia"/>
        </w:rPr>
        <w:t>配合市有关部门开展应急成效后评估工作。在典型污染过程结束后，配合开展污染天气应急成效后评估工作，对预警发布情况、预案措施落实情况以及响应措施的针对性和可操作性、环境效益等进行总结评估，总结经验、分析问题、查找不足，形成典型案例，制定改进措施。</w:t>
      </w:r>
    </w:p>
    <w:p w14:paraId="3F602EC1">
      <w:pPr>
        <w:pStyle w:val="3"/>
        <w:spacing w:before="156" w:after="156"/>
      </w:pPr>
      <w:bookmarkStart w:id="106" w:name="_Toc29606"/>
      <w:bookmarkStart w:id="107" w:name="_Toc24003"/>
      <w:bookmarkStart w:id="108" w:name="_Toc72504262"/>
      <w:bookmarkStart w:id="109" w:name="_Toc55464510"/>
      <w:bookmarkStart w:id="110" w:name="_Toc30882"/>
      <w:r>
        <w:rPr>
          <w:rFonts w:hint="eastAsia"/>
        </w:rPr>
        <w:t>第三节 查测溯治，持续改善区域水生态环境质量</w:t>
      </w:r>
      <w:bookmarkEnd w:id="106"/>
      <w:bookmarkEnd w:id="107"/>
      <w:bookmarkEnd w:id="108"/>
      <w:bookmarkEnd w:id="109"/>
      <w:bookmarkEnd w:id="110"/>
    </w:p>
    <w:p w14:paraId="70AAB3FE">
      <w:r>
        <w:rPr>
          <w:rFonts w:hint="eastAsia"/>
        </w:rPr>
        <w:t>严格落实国家和天津市下达的水污染防治目标要求，坚持依法治污、科学治污、系统治污、合力治污，以深入打好污染防治攻坚战及碧水保卫战为主线，采取综合措施解决水环境问题，保障区域水安全，确保北辰区各类水体环境质量持续改善，全面推进北辰区水污染防治工作的深化、拓展和提升。</w:t>
      </w:r>
    </w:p>
    <w:p w14:paraId="1DB66398">
      <w:pPr>
        <w:pStyle w:val="4"/>
      </w:pPr>
      <w:bookmarkStart w:id="111" w:name="_Toc55464511"/>
      <w:bookmarkStart w:id="112" w:name="_Toc5"/>
      <w:bookmarkStart w:id="113" w:name="_Toc20176"/>
      <w:bookmarkStart w:id="114" w:name="_Toc3553"/>
      <w:r>
        <w:rPr>
          <w:rFonts w:hint="eastAsia"/>
        </w:rPr>
        <w:t>一、切实强化饮用水源保护</w:t>
      </w:r>
      <w:bookmarkEnd w:id="111"/>
      <w:bookmarkEnd w:id="112"/>
      <w:bookmarkEnd w:id="113"/>
      <w:bookmarkEnd w:id="114"/>
    </w:p>
    <w:p w14:paraId="208F6106">
      <w:r>
        <w:rPr>
          <w:rFonts w:hint="eastAsia"/>
        </w:rPr>
        <w:t>加大南水北调、引滦明渠等水源管线沿线的保护以及万人千吨重点水源地的水环境风险防控力度，定期对饮用水水源保护区及周边饮水安全状况进行监测，为保证供水安全创造条件。对青光村、刘安庄村2个万人千吨的农村集中式饮用水源地水质进行加密监测，重点监管。</w:t>
      </w:r>
    </w:p>
    <w:p w14:paraId="51777BF5">
      <w:r>
        <w:rPr>
          <w:rFonts w:hint="eastAsia"/>
        </w:rPr>
        <w:t>加强引滦明渠、南水北调饮用水源保护区的巡查巡护，发现问题及时整改。针对有可能对供水安全产生影响的新建、扩建、改建项目和设施严格审批制度，强化水源保护区周边及沿线排污单位的监管，严格确保各项水污染物稳定达标排放，加强长效监管机制，防止水源保护区内违法行为反弹。贯彻落实全国集中式饮用水水源地环境保护专项行动方案和碧水保卫战任务要求，不断加大北辰区水源保护区污染问题排查整治力度，并定期开展巡查巡护，确保整治见实效、不反复，坚决打赢水源地保护攻坚战，全力保障北辰区饮用水环境安全。</w:t>
      </w:r>
    </w:p>
    <w:p w14:paraId="2958785D">
      <w:pPr>
        <w:pStyle w:val="4"/>
      </w:pPr>
      <w:bookmarkStart w:id="115" w:name="_Toc55464512"/>
      <w:bookmarkStart w:id="116" w:name="_Toc11222"/>
      <w:bookmarkStart w:id="117" w:name="_Toc16071"/>
      <w:bookmarkStart w:id="118" w:name="_Toc32171"/>
      <w:r>
        <w:rPr>
          <w:rFonts w:hint="eastAsia"/>
        </w:rPr>
        <w:t>二、全面加强涉水</w:t>
      </w:r>
      <w:bookmarkEnd w:id="115"/>
      <w:bookmarkEnd w:id="116"/>
      <w:bookmarkEnd w:id="117"/>
      <w:bookmarkEnd w:id="118"/>
      <w:r>
        <w:rPr>
          <w:rFonts w:hint="eastAsia"/>
        </w:rPr>
        <w:t>污染减排</w:t>
      </w:r>
    </w:p>
    <w:p w14:paraId="1DFDC707">
      <w:pPr>
        <w:pStyle w:val="5"/>
        <w:ind w:firstLine="640"/>
      </w:pPr>
      <w:r>
        <w:rPr>
          <w:rFonts w:hint="eastAsia"/>
        </w:rPr>
        <w:t>1、狠抓工业点源污染防治</w:t>
      </w:r>
    </w:p>
    <w:p w14:paraId="0A80FD38">
      <w:r>
        <w:rPr>
          <w:rFonts w:hint="eastAsia"/>
        </w:rPr>
        <w:t>对耗水量大的排污企业实施清洁生产审核和清洁化改造工作，按照水污染防治法律法规和文件要求，全面排查装备水平低、环保设施差的小型工业企业，要求企业提升和改造设备治理效率和水平，严格达标排放；全面取缔区域范围内严重污染水环境的生产项目。</w:t>
      </w:r>
    </w:p>
    <w:p w14:paraId="12C82866">
      <w:r>
        <w:rPr>
          <w:rFonts w:hint="eastAsia"/>
        </w:rPr>
        <w:t>加快推进全区工业集聚区整合和撤销取缔，开展整合后的工业集聚区环境基础设施大排查，按照国家要求进行规范化整治，完善污水集中处理设施并安装在线监控装置。强化市级及以上工业集聚区水污染治理监管，确保污水集中处理设施达标排放，集聚区内工业废水达到预处理要求。对重点排水单位进行在线监测系统安装和升级，提高对重点排水单位的污染物排放监测能力。逐步对主要入河排水口水质水量安装监控体系。</w:t>
      </w:r>
    </w:p>
    <w:p w14:paraId="6764B9BF">
      <w:r>
        <w:rPr>
          <w:rFonts w:hint="eastAsia"/>
        </w:rPr>
        <w:t>实行纳入排污许可的重点行业企业全口径管理，实现排污许可证“核发一个行业、清理一个行业、达标一个行业、规范一个行业”。</w:t>
      </w:r>
    </w:p>
    <w:p w14:paraId="0534E8AC">
      <w:pPr>
        <w:pStyle w:val="5"/>
        <w:ind w:firstLine="640"/>
      </w:pPr>
      <w:r>
        <w:t>2</w:t>
      </w:r>
      <w:r>
        <w:rPr>
          <w:rFonts w:hint="eastAsia"/>
        </w:rPr>
        <w:t>、加强城镇污水处理能力</w:t>
      </w:r>
    </w:p>
    <w:p w14:paraId="50E13AD8">
      <w:r>
        <w:rPr>
          <w:rFonts w:hint="eastAsia"/>
        </w:rPr>
        <w:t>在“十四五”期间内，为适应北部新区城市化快速发展的要求，全面提升城乡水环境。在污水厂网提升改造的基础上，建设北部新区污水处理厂，扩大全区污水处理厂收水范围。规划北部新区污水处理厂位于机场大道与津宁高速东北角，规模为12万吨/日，收水范围为西至京津塘高速公路，南至新开河，北至永定新河，东至北辰区界。出水要求达到天津市《城镇污水处理厂污染物排放标准》（DB12/599-2015）的A标准。</w:t>
      </w:r>
    </w:p>
    <w:p w14:paraId="62A8FC82">
      <w:r>
        <w:rPr>
          <w:rFonts w:hint="eastAsia"/>
        </w:rPr>
        <w:t>强化工业园区废水治理。继续开展工业园区废水处理规范化建设，推进园区污水集中处理设施建设和污水管网排查整治，实现园区污水集中收集、集中处理。加强工业企业、工业园区废水排放监管，涉水重点排污单位安装自动在线监控装置，推动工业废水达标排放。</w:t>
      </w:r>
    </w:p>
    <w:p w14:paraId="6ED547E5">
      <w:pPr>
        <w:rPr>
          <w:rFonts w:eastAsiaTheme="minorEastAsia"/>
          <w:sz w:val="21"/>
        </w:rPr>
      </w:pPr>
      <w:r>
        <w:rPr>
          <w:rFonts w:hint="eastAsia"/>
        </w:rPr>
        <w:t>实施雨污合流片区改造，加强雨污水管网维修养护。对尚未实现雨污分流的区域，制定雨污分流改造计划，加快实施雨污分流改造，实现基本消除城市建成区和城乡结合部污水管网空白区，新建城市区域全部实现雨污分流，推进海绵城市建设。</w:t>
      </w:r>
    </w:p>
    <w:p w14:paraId="7C28520A">
      <w:pPr>
        <w:pStyle w:val="5"/>
        <w:ind w:firstLine="640"/>
      </w:pPr>
      <w:r>
        <w:t>3、提升农村污水处理能力</w:t>
      </w:r>
    </w:p>
    <w:p w14:paraId="4C885255">
      <w:r>
        <w:rPr>
          <w:rFonts w:hint="eastAsia"/>
        </w:rPr>
        <w:t>加强农村污水处理站运营监管力度，保障农村污水处理设施稳定运行。</w:t>
      </w:r>
    </w:p>
    <w:p w14:paraId="16A44F91">
      <w:r>
        <w:rPr>
          <w:rFonts w:hint="eastAsia"/>
        </w:rPr>
        <w:t>加强对农村畜禽养殖污粪水的处理能力，推进以田定养，加强对水产养殖过程中的换水、清坑等排水的管理。实行散养密集区畜禽粪污水分户收集、集中处理。优化水产养殖空间布局，根据北辰区养殖水域滩涂规划，明确限养区和禁养区。</w:t>
      </w:r>
    </w:p>
    <w:p w14:paraId="227AB986">
      <w:r>
        <w:rPr>
          <w:rFonts w:hint="eastAsia"/>
        </w:rPr>
        <w:t>开展农田退水治理，建设生态沟渠、植物隔离条带、净化塘等设施减缓农田氮磷流失。</w:t>
      </w:r>
    </w:p>
    <w:p w14:paraId="3FDD9C28">
      <w:pPr>
        <w:pStyle w:val="5"/>
        <w:ind w:firstLine="640"/>
      </w:pPr>
      <w:r>
        <w:t>4、</w:t>
      </w:r>
      <w:r>
        <w:rPr>
          <w:rFonts w:hint="eastAsia"/>
        </w:rPr>
        <w:t>提高区域综合处理能力</w:t>
      </w:r>
    </w:p>
    <w:p w14:paraId="2ECC3A0A">
      <w:r>
        <w:rPr>
          <w:rFonts w:hint="eastAsia"/>
        </w:rPr>
        <w:t>在综合治理水污染的基础上，强化区域协作，实施生态补水工程，力争河道水质得到显著改善。加强污水处理设施建设和管理，城镇污水处理率达到97%，污水处理厂污泥无害化处置率达到97%。</w:t>
      </w:r>
    </w:p>
    <w:p w14:paraId="062DBED4">
      <w:pPr>
        <w:pStyle w:val="4"/>
      </w:pPr>
      <w:bookmarkStart w:id="119" w:name="_Toc2050"/>
      <w:bookmarkStart w:id="120" w:name="_Toc21190"/>
      <w:bookmarkStart w:id="121" w:name="_Toc5924"/>
      <w:bookmarkStart w:id="122" w:name="_Toc55464513"/>
      <w:r>
        <w:rPr>
          <w:rFonts w:hint="eastAsia"/>
        </w:rPr>
        <w:t>三、大力开展地表水环境治理</w:t>
      </w:r>
      <w:bookmarkEnd w:id="119"/>
      <w:bookmarkEnd w:id="120"/>
      <w:bookmarkEnd w:id="121"/>
      <w:bookmarkEnd w:id="122"/>
    </w:p>
    <w:p w14:paraId="2316F577">
      <w:pPr>
        <w:pStyle w:val="5"/>
        <w:ind w:firstLine="640"/>
      </w:pPr>
      <w:r>
        <w:t>1</w:t>
      </w:r>
      <w:r>
        <w:rPr>
          <w:rFonts w:hint="eastAsia"/>
        </w:rPr>
        <w:t>、开展河道水质提升工程</w:t>
      </w:r>
    </w:p>
    <w:p w14:paraId="2CEC7F48">
      <w:r>
        <w:rPr>
          <w:rFonts w:hint="eastAsia"/>
        </w:rPr>
        <w:t>全面落实河（湖）长制工作，推动各级河（湖）长履职尽责能力，推动河（湖）长有效巡河，为解决河湖突出问题打下坚实基础。</w:t>
      </w:r>
    </w:p>
    <w:p w14:paraId="57431B09">
      <w:pPr>
        <w:rPr>
          <w:rFonts w:eastAsiaTheme="minorEastAsia"/>
          <w:sz w:val="21"/>
        </w:rPr>
      </w:pPr>
      <w:r>
        <w:rPr>
          <w:rFonts w:hint="eastAsia"/>
        </w:rPr>
        <w:t>多渠道保障生态环境用水。以北运河、永定河、永定新河等一二级重点河道为生态廊道，加大流域生态补水力度。重点针对本区干涸的、具有重要生态景观能力的河道进行再生水的补给，加快实施全区水系连通规划，形成以一、二级河道为主的水系连通网络。</w:t>
      </w:r>
    </w:p>
    <w:p w14:paraId="00EE72C1">
      <w:pPr>
        <w:pStyle w:val="5"/>
        <w:ind w:firstLine="640"/>
      </w:pPr>
      <w:r>
        <w:t>2</w:t>
      </w:r>
      <w:r>
        <w:rPr>
          <w:rFonts w:hint="eastAsia"/>
        </w:rPr>
        <w:t>、推动海绵城市建设工程</w:t>
      </w:r>
    </w:p>
    <w:p w14:paraId="3F916228">
      <w:r>
        <w:rPr>
          <w:rFonts w:hint="eastAsia"/>
        </w:rPr>
        <w:t>选用渗、蓄、滞、净、用、排各类设施组合，因地制宜开展建设，减少城市地表径流，提高雨水蓄滞能力，通过修建雨水泵站和处理设施，强化初期雨水收集和处理能力，提升生态用水质量。</w:t>
      </w:r>
    </w:p>
    <w:p w14:paraId="0393A0FF">
      <w:r>
        <w:rPr>
          <w:rFonts w:hint="eastAsia"/>
        </w:rPr>
        <w:t>贯彻新型城镇化和水安全战略有关要求，有序推进海绵城市建设试点。推广海绵型建筑与小区，因地制宜采取屋顶绿化、雨水调蓄与收集利用、微地形等措施，提高建筑与小区的雨水积存和蓄滞能力。推进海绵型道路与广场建设，改变雨水快排、直排的传统做法，增强道路绿化带对雨水的消纳功能，在非机动车道、人行道、停车场、广场等扩大使用透水铺装，推行道路与广场雨水的收集、净化和利用，减轻对市政排水系统的压力。大力推进北辰排水防涝设施的达标建设，加快改造和消除城市易涝点；实施雨污分流，控制初期雨水污染，排入自然水体的雨水须经过岸线净化；加快建设和改造沿岸截流干管，控制渗漏和合流制污水溢流污染。结合雨水利用、排水防涝等要求，科学布局建设雨水调蓄设施。</w:t>
      </w:r>
    </w:p>
    <w:p w14:paraId="3638D210">
      <w:r>
        <w:rPr>
          <w:rFonts w:hint="eastAsia"/>
        </w:rPr>
        <w:t>推广海绵型公园和绿地，通过建设雨水花园、下凹式绿地、人工湿地等措施，增强公园和绿地系统的城市海绵体功能，消纳自身雨水，并为蓄滞周边区域雨水提供空间。加强对城市坑塘、河流、湿地等水体自然形态的保护和恢复，禁止填湖造地、截弯取直、河道硬化等破坏水生态环境的建设行为。恢复和保持河湖水系的自然连通，构建城市良性水循环系统，逐步改善水环境质量。加强河道系统整治，因势利导改造渠化河道，重塑健康自然的弯曲河岸线，恢复自然深潭浅滩和泛洪漫滩，实施生态修复，营造多样性生物生存环境。</w:t>
      </w:r>
    </w:p>
    <w:p w14:paraId="5F26608A">
      <w:pPr>
        <w:pStyle w:val="5"/>
        <w:ind w:firstLine="640"/>
      </w:pPr>
      <w:r>
        <w:t>3</w:t>
      </w:r>
      <w:r>
        <w:rPr>
          <w:rFonts w:hint="eastAsia"/>
        </w:rPr>
        <w:t>、保护生态红线</w:t>
      </w:r>
    </w:p>
    <w:p w14:paraId="72387E2E">
      <w:r>
        <w:rPr>
          <w:rFonts w:hint="eastAsia"/>
        </w:rPr>
        <w:t>切实保护好北辰区178.41km</w:t>
      </w:r>
      <w:r>
        <w:rPr>
          <w:vertAlign w:val="superscript"/>
        </w:rPr>
        <w:t>2</w:t>
      </w:r>
      <w:r>
        <w:rPr>
          <w:rFonts w:hint="eastAsia"/>
        </w:rPr>
        <w:t>各类永久性保护生态区域。全区河道永久性保护生态区域总面积5837.8 hm</w:t>
      </w:r>
      <w:r>
        <w:rPr>
          <w:vertAlign w:val="superscript"/>
        </w:rPr>
        <w:t>2</w:t>
      </w:r>
      <w:r>
        <w:rPr>
          <w:rFonts w:hint="eastAsia"/>
        </w:rPr>
        <w:t>，其中红线区域面积3282.8 hm</w:t>
      </w:r>
      <w:r>
        <w:rPr>
          <w:vertAlign w:val="superscript"/>
        </w:rPr>
        <w:t>2</w:t>
      </w:r>
      <w:r>
        <w:rPr>
          <w:rFonts w:hint="eastAsia"/>
        </w:rPr>
        <w:t>。园类型永久性生态保护区域为永定新河郊野公园、北运河郊野公园、子牙河郊野公园、东丽郊野公园（主体位于东丽区，北辰境内仅占5%）4个郊野公园及北辰公园、刘园公园、北仓公园、银河公园4个城市公园，保护区域面积10403 hm</w:t>
      </w:r>
      <w:r>
        <w:rPr>
          <w:vertAlign w:val="superscript"/>
        </w:rPr>
        <w:t>2</w:t>
      </w:r>
      <w:r>
        <w:rPr>
          <w:rFonts w:hint="eastAsia"/>
        </w:rPr>
        <w:t>。</w:t>
      </w:r>
    </w:p>
    <w:p w14:paraId="74DAEBEC">
      <w:r>
        <w:rPr>
          <w:rFonts w:hint="eastAsia"/>
        </w:rPr>
        <w:t>加大植树造林力度，到2025年，森林覆盖率达到13.6%，森林碳汇能力显著增强。加强山林保护和造林绿化，重建山体自然生态，提升生态涵养功能。</w:t>
      </w:r>
    </w:p>
    <w:p w14:paraId="7A3B2AB2">
      <w:pPr>
        <w:pStyle w:val="4"/>
      </w:pPr>
      <w:bookmarkStart w:id="123" w:name="_Toc55464514"/>
      <w:bookmarkStart w:id="124" w:name="_Toc19935"/>
      <w:bookmarkStart w:id="125" w:name="_Toc18557"/>
      <w:bookmarkStart w:id="126" w:name="_Toc5224"/>
      <w:r>
        <w:rPr>
          <w:rFonts w:hint="eastAsia"/>
        </w:rPr>
        <w:t>四、完善地表水治理监测体系建设</w:t>
      </w:r>
      <w:bookmarkEnd w:id="123"/>
      <w:bookmarkEnd w:id="124"/>
      <w:bookmarkEnd w:id="125"/>
      <w:bookmarkEnd w:id="126"/>
    </w:p>
    <w:p w14:paraId="63B0C507">
      <w:r>
        <w:rPr>
          <w:rFonts w:hint="eastAsia"/>
        </w:rPr>
        <w:t>继续开展市区两级地表水水质自动监测站建设工作。对已建成的9座市级地表水水质自动监测站，14座区级地表水水质自动监测站加强维护管理，确保稳定运行。新建13座区级地表水水质自动监测站，最终达到区级41个考核断面水质自动监测全覆盖，逐渐实现断面监测工作人工+自动监测的模式，从而做到监测频率更高，反应速度更快。</w:t>
      </w:r>
    </w:p>
    <w:p w14:paraId="568DB6F2">
      <w:pPr>
        <w:rPr>
          <w:rFonts w:eastAsiaTheme="minorEastAsia"/>
          <w:sz w:val="21"/>
        </w:rPr>
      </w:pPr>
      <w:r>
        <w:rPr>
          <w:rFonts w:hint="eastAsia"/>
        </w:rPr>
        <w:t>开展利于污染精准溯源工作，通过流域污染源解析，科学分析溯源，进一步提高预警反应速度，精准把控水质变化，综合施策解决问题。强化风险预警，充分利用走航船等实时监测技术手段，及时综合把握河道水质，做到及时响应，及时解决。</w:t>
      </w:r>
    </w:p>
    <w:p w14:paraId="0EA94F0F">
      <w:pPr>
        <w:pStyle w:val="4"/>
      </w:pPr>
      <w:bookmarkStart w:id="127" w:name="_Toc25265"/>
      <w:bookmarkStart w:id="128" w:name="_Toc55464515"/>
      <w:bookmarkStart w:id="129" w:name="_Toc20227"/>
      <w:bookmarkStart w:id="130" w:name="_Toc31940"/>
      <w:r>
        <w:rPr>
          <w:rFonts w:hint="eastAsia"/>
        </w:rPr>
        <w:t>五、提升水环境精细化管理能力</w:t>
      </w:r>
      <w:bookmarkEnd w:id="127"/>
      <w:bookmarkEnd w:id="128"/>
      <w:bookmarkEnd w:id="129"/>
      <w:bookmarkEnd w:id="130"/>
    </w:p>
    <w:p w14:paraId="6F8AAC47">
      <w:pPr>
        <w:rPr>
          <w:rFonts w:eastAsiaTheme="minorEastAsia"/>
          <w:sz w:val="21"/>
        </w:rPr>
      </w:pPr>
      <w:r>
        <w:rPr>
          <w:rFonts w:hint="eastAsia"/>
        </w:rPr>
        <w:t>明确各类水体水质保护目标。将治污任务逐一落实到汇水范围内的排污单位，明确防治措施及目标时限。建立镇级地表水考核排名制度，对水质不达标的乡镇实施管控，加强监管，借助资金奖惩制度和相关部门绩效考核制度依托，落实属地责任。</w:t>
      </w:r>
    </w:p>
    <w:p w14:paraId="6FC2C401">
      <w:pPr>
        <w:rPr>
          <w:rFonts w:eastAsiaTheme="minorEastAsia"/>
          <w:sz w:val="21"/>
        </w:rPr>
      </w:pPr>
      <w:r>
        <w:rPr>
          <w:rFonts w:hint="eastAsia"/>
        </w:rPr>
        <w:t>严格建设项目准入条件。根据水质目标和水功能区规划要求，明确区域环境准入条件，细化功能分区，实施差别化环境准入政策，严格控制涉及重金属等环境敏感项目的准入。建立水资源、水环境承载能力监测评价体系，实行承载能力监测预警，已超过承载能力的地区要实施水污染物削减方案，加快调整发展规划和产业结构。</w:t>
      </w:r>
    </w:p>
    <w:p w14:paraId="4789C9F8">
      <w:pPr>
        <w:rPr>
          <w:rFonts w:eastAsiaTheme="minorEastAsia"/>
          <w:sz w:val="21"/>
        </w:rPr>
      </w:pPr>
      <w:r>
        <w:rPr>
          <w:rFonts w:hint="eastAsia"/>
        </w:rPr>
        <w:t>强化执法监督。各相关职能部门依法开展涉水企业专项执法检查，加大执法检查力度。对入河口、企业、农户进行巡查监督，发现问题及时处理，同时要加强对重点行业企业、工业集聚区污水处理厂、城镇污水处理厂、废水直排企业、涉水排污单位自动监控设施的排查力度，落实企业稳定达标排放主体责任，严厉打击超标排放、不正常使用污染防治设施、无证排污等违法行为，保障水生态环境安全。</w:t>
      </w:r>
    </w:p>
    <w:p w14:paraId="3A9303D4">
      <w:pPr>
        <w:rPr>
          <w:rFonts w:eastAsiaTheme="minorEastAsia"/>
          <w:sz w:val="21"/>
        </w:rPr>
      </w:pPr>
      <w:r>
        <w:rPr>
          <w:rFonts w:hint="eastAsia"/>
        </w:rPr>
        <w:t>稳妥处置突发水环境污染事件。对全区范围内沿河工业企业与工业集聚区的环境和健康风险进行定期评估，严格落实环境风险防控措施。根据国家优先控制化学品名录，对高风险化学品生产、使用进行严格限制，并逐步淘汰替代。完善突发环境事件应急机制。制定完善水污染事故处置应急预案，落实责任主体，明确预警预报与响应程序、应急处置及保障措施等内容，依法及时公布预警信息。</w:t>
      </w:r>
    </w:p>
    <w:p w14:paraId="51727D33">
      <w:pPr>
        <w:rPr>
          <w:rFonts w:eastAsiaTheme="minorEastAsia"/>
          <w:b/>
          <w:bCs/>
          <w:sz w:val="21"/>
        </w:rPr>
      </w:pPr>
      <w:r>
        <w:rPr>
          <w:rFonts w:hint="eastAsia"/>
        </w:rPr>
        <w:t>积极推进流域协同管理及生态补偿机制。加强对跨区过境河流的监管能力，积极协调推进建立流域协同管理机制，以流域为单位统一标准、环境准入条件等，形成定期会晤机制，实现流域内信息共享，共商共建共管。发展和完善跨区过境河流的生态补偿机制，针对永定新河上游来水，利用流域精准溯源技术，明确完善补偿机制，综合运用行政和市场手段，调整流域内生态环境保护和建设相关各方之间利益关系。</w:t>
      </w:r>
    </w:p>
    <w:p w14:paraId="70ACF192">
      <w:pPr>
        <w:pStyle w:val="3"/>
        <w:spacing w:before="156" w:after="156"/>
      </w:pPr>
      <w:bookmarkStart w:id="131" w:name="_Toc55464516"/>
      <w:bookmarkStart w:id="132" w:name="_Toc12438"/>
      <w:bookmarkStart w:id="133" w:name="_Toc11178"/>
      <w:bookmarkStart w:id="134" w:name="_Toc72504263"/>
      <w:bookmarkStart w:id="135" w:name="_Toc28089"/>
      <w:r>
        <w:rPr>
          <w:rFonts w:hint="eastAsia"/>
        </w:rPr>
        <w:t>第四节 分类管控，保护区域土壤环境质量安全</w:t>
      </w:r>
      <w:bookmarkEnd w:id="131"/>
      <w:bookmarkEnd w:id="132"/>
      <w:bookmarkEnd w:id="133"/>
      <w:bookmarkEnd w:id="134"/>
      <w:bookmarkEnd w:id="135"/>
    </w:p>
    <w:p w14:paraId="70797887">
      <w:r>
        <w:rPr>
          <w:rFonts w:hint="eastAsia"/>
        </w:rPr>
        <w:t>继续全面实施土壤污染防治行动计划，严格建设用地、农用地“两个管控”。在摸清土壤污染状况的基础上，实施分级分类管控。以产出食用农产品的农用地和进行开发利用的建设用地为重点，关注影响人体健康的重点污染物，通过源头预防、安全利用、治理修复等综合措施，协同防治土壤地下水污染，确保实现安全利用。到2025年，全区土壤环境质量总体保持稳定。</w:t>
      </w:r>
    </w:p>
    <w:p w14:paraId="5D09AD96">
      <w:pPr>
        <w:pStyle w:val="4"/>
      </w:pPr>
      <w:bookmarkStart w:id="136" w:name="_Toc55464517"/>
      <w:bookmarkStart w:id="137" w:name="_Toc3514"/>
      <w:bookmarkStart w:id="138" w:name="_Toc32485"/>
      <w:bookmarkStart w:id="139" w:name="_Toc8982"/>
      <w:r>
        <w:rPr>
          <w:rFonts w:hint="eastAsia"/>
        </w:rPr>
        <w:t>一、全面摸清土壤环境状况</w:t>
      </w:r>
      <w:bookmarkEnd w:id="136"/>
      <w:bookmarkEnd w:id="137"/>
      <w:bookmarkEnd w:id="138"/>
      <w:bookmarkEnd w:id="139"/>
    </w:p>
    <w:p w14:paraId="483F1292">
      <w:pPr>
        <w:pStyle w:val="5"/>
        <w:ind w:firstLine="640"/>
      </w:pPr>
      <w:r>
        <w:t>1、</w:t>
      </w:r>
      <w:r>
        <w:rPr>
          <w:rFonts w:hint="eastAsia"/>
        </w:rPr>
        <w:t>开展全区土壤污染分类管理</w:t>
      </w:r>
    </w:p>
    <w:p w14:paraId="47A24644">
      <w:r>
        <w:rPr>
          <w:rFonts w:hint="eastAsia"/>
        </w:rPr>
        <w:t>落实对耕地实施分类管理的要求，扎实推进耕地土壤污染防治工作。2022年底前，在重点行业企业用地基础信息采集工作的基础上，对存在土壤污染风险较大的高风险地块，建立土壤质量风险管理台账，分类管理，及时进行修复治理工作，暂不开发利用地块加强风险管控，如有机一厂地块、同生化工厂地块、海豚橡胶新光道地块等。及时更新重点行业企业用地调查名单，加强重点行业企业监管力度。</w:t>
      </w:r>
    </w:p>
    <w:p w14:paraId="119150A6">
      <w:pPr>
        <w:pStyle w:val="5"/>
        <w:ind w:firstLine="640"/>
      </w:pPr>
      <w:r>
        <w:rPr>
          <w:rFonts w:hint="eastAsia"/>
        </w:rPr>
        <w:t>2、保护土壤环境保护优先区</w:t>
      </w:r>
    </w:p>
    <w:p w14:paraId="5EE2C266">
      <w:pPr>
        <w:rPr>
          <w:rFonts w:eastAsiaTheme="minorEastAsia"/>
          <w:sz w:val="21"/>
        </w:rPr>
      </w:pPr>
      <w:r>
        <w:rPr>
          <w:rFonts w:hint="eastAsia"/>
        </w:rPr>
        <w:t>规范划定土壤优先区。依据北辰区土壤环境状况、土地利用现状及土壤保护重点，严格落实天津市土壤环境保护优先区相关政策要求。以全区主要耕地、集中式饮用水水源地以及全区生态红线区域为重点，划定土壤环境保护的优先区域，确定优先区域的范围和面积。</w:t>
      </w:r>
    </w:p>
    <w:p w14:paraId="5A7439FE">
      <w:pPr>
        <w:rPr>
          <w:rFonts w:eastAsiaTheme="minorEastAsia"/>
          <w:sz w:val="21"/>
        </w:rPr>
      </w:pPr>
      <w:r>
        <w:rPr>
          <w:rFonts w:hint="eastAsia"/>
        </w:rPr>
        <w:t>严格保护土壤优先区。建立保护档案，对土壤环境保护优先区开展污染源排查，建立优先区土壤环境管理数据库。开展集中式饮用水水源地土壤环境状况调查，摸清集中式饮用水水源地土壤环境现状，建立集中式饮用水水源地土壤环境状况数据库。</w:t>
      </w:r>
    </w:p>
    <w:p w14:paraId="0FCB49D9">
      <w:pPr>
        <w:rPr>
          <w:rFonts w:eastAsiaTheme="minorEastAsia"/>
          <w:sz w:val="21"/>
        </w:rPr>
      </w:pPr>
      <w:r>
        <w:rPr>
          <w:rFonts w:hint="eastAsia"/>
        </w:rPr>
        <w:t>建立土壤环境“红线”管控制度。辖区各级政府是土壤环境保护的责任主体，严格落实用途管制、开发方式限制等管控制度，确保土壤环境质量等级不下降。逐步建立严格的土壤“红线”环境保护制度、考核办法和奖惩机制。</w:t>
      </w:r>
    </w:p>
    <w:p w14:paraId="6F5176AA">
      <w:pPr>
        <w:pStyle w:val="4"/>
      </w:pPr>
      <w:bookmarkStart w:id="140" w:name="_Toc26418"/>
      <w:bookmarkStart w:id="141" w:name="_Toc55464518"/>
      <w:bookmarkStart w:id="142" w:name="_Toc25085"/>
      <w:bookmarkStart w:id="143" w:name="_Toc18540"/>
      <w:r>
        <w:rPr>
          <w:rFonts w:hint="eastAsia"/>
        </w:rPr>
        <w:t>二、加强土壤污染来源监控</w:t>
      </w:r>
      <w:bookmarkEnd w:id="140"/>
      <w:bookmarkEnd w:id="141"/>
      <w:bookmarkEnd w:id="142"/>
      <w:bookmarkEnd w:id="143"/>
    </w:p>
    <w:p w14:paraId="60D57989">
      <w:pPr>
        <w:pStyle w:val="5"/>
        <w:ind w:firstLine="640"/>
      </w:pPr>
      <w:r>
        <w:rPr>
          <w:rFonts w:hint="eastAsia"/>
        </w:rPr>
        <w:t>1、推进土壤污染调查评估</w:t>
      </w:r>
    </w:p>
    <w:p w14:paraId="52403358">
      <w:pPr>
        <w:rPr>
          <w:rFonts w:eastAsiaTheme="minorEastAsia"/>
          <w:sz w:val="21"/>
        </w:rPr>
      </w:pPr>
      <w:r>
        <w:rPr>
          <w:rFonts w:hint="eastAsia"/>
        </w:rPr>
        <w:t>收储出让地块需开展场地环境调查。对于区级收储拟出让地块，收储中心统筹安排，高效推进地块的土壤污染状况调查，特别是用途变更为住宅用地的地块，在变更前严格按照规定对其进行土壤污染状况调查，确保用地土壤质量符合要求。</w:t>
      </w:r>
    </w:p>
    <w:p w14:paraId="1BA44CF5">
      <w:pPr>
        <w:rPr>
          <w:rFonts w:eastAsiaTheme="minorEastAsia"/>
          <w:sz w:val="21"/>
        </w:rPr>
      </w:pPr>
      <w:r>
        <w:rPr>
          <w:rFonts w:hint="eastAsia"/>
        </w:rPr>
        <w:t>实施建设用地调查评估制度。全面落实《中华人民共和国土壤污染防治法》、《污染地块土壤环境管理办法》，对拟收回土地使用权的重点行业企业用地和从事过危险废物贮存、利用、处置活动的用地，以及用途拟变更为居住和商业、学校、医疗、养老机构等公共设施的上述企业用地，由土地使用权人负责开展土壤环境状况调查评估。按照《关于做好北辰区建设用地土壤污染调查报告评审有关工作的通知》要求，做好北辰区建设用地土壤污染调查报告评审工作。</w:t>
      </w:r>
    </w:p>
    <w:p w14:paraId="6ED7969F">
      <w:pPr>
        <w:pStyle w:val="5"/>
        <w:ind w:firstLine="640"/>
      </w:pPr>
      <w:r>
        <w:t>2、</w:t>
      </w:r>
      <w:r>
        <w:rPr>
          <w:rFonts w:hint="eastAsia"/>
        </w:rPr>
        <w:t>加强重点工业来源控制</w:t>
      </w:r>
    </w:p>
    <w:p w14:paraId="52AF0992">
      <w:pPr>
        <w:rPr>
          <w:rFonts w:eastAsiaTheme="minorEastAsia"/>
          <w:sz w:val="21"/>
        </w:rPr>
      </w:pPr>
      <w:r>
        <w:rPr>
          <w:rFonts w:hint="eastAsia"/>
        </w:rPr>
        <w:t>严格控制新增土壤污染。严格环境准入，在土地规划和土地利用过程中进行土壤环境影响评价，防止新建项目以及产业布局和布局调整过程中造成新的土壤污染。以新增工业用地为重点，建立土壤环境强制调查评估与备案制度。</w:t>
      </w:r>
    </w:p>
    <w:p w14:paraId="770B0862">
      <w:r>
        <w:rPr>
          <w:rFonts w:hint="eastAsia"/>
          <w:bCs/>
        </w:rPr>
        <w:t>加强工业危险废弃物的监管。对</w:t>
      </w:r>
      <w:r>
        <w:rPr>
          <w:rFonts w:hint="eastAsia"/>
        </w:rPr>
        <w:t>可疑产危废企业进行严格排查，加强科室与科室、局与镇联合执法检查力度。鼓励危险废物产生量较大的重点企业自行建设废物处理处置设施，自建危险废物利用处置设施的企业必须符合国家相关标准。针对企业生产规模、产量，根据危废协议核查危废转运清单，严查企业危废转移单的量是否与企业生产规模相匹配。优化危废转运路线，加强风险防范。鼓励企业优化工艺，提升产生，较少危险废物的产生量。</w:t>
      </w:r>
    </w:p>
    <w:p w14:paraId="1F9E4EDA">
      <w:pPr>
        <w:rPr>
          <w:b/>
          <w:bCs/>
        </w:rPr>
      </w:pPr>
      <w:r>
        <w:rPr>
          <w:rFonts w:hint="eastAsia"/>
        </w:rPr>
        <w:t>加强土壤污染重点行业企业来源控制。</w:t>
      </w:r>
      <w:r>
        <w:rPr>
          <w:rFonts w:hint="eastAsia"/>
          <w:bCs/>
          <w:color w:val="000000" w:themeColor="text1"/>
          <w14:textFill>
            <w14:solidFill>
              <w14:schemeClr w14:val="tx1"/>
            </w14:solidFill>
          </w14:textFill>
        </w:rPr>
        <w:t>严格管控工业污染，实施土壤污染重点监管单位名录制度，进一步压实在产企业土壤污染防治责任落实。到</w:t>
      </w:r>
      <w:r>
        <w:rPr>
          <w:bCs/>
          <w:color w:val="000000" w:themeColor="text1"/>
          <w14:textFill>
            <w14:solidFill>
              <w14:schemeClr w14:val="tx1"/>
            </w14:solidFill>
          </w14:textFill>
        </w:rPr>
        <w:t>2025年，北辰区土壤污染重点监管单位排污许可证全部载明土壤污染防治义务，并实现土壤和地下水污染隐患排查全覆盖。</w:t>
      </w:r>
      <w:r>
        <w:rPr>
          <w:rFonts w:hint="eastAsia"/>
        </w:rPr>
        <w:t>强化现有排放重金属、持久性有机污染物的工业企业土壤环境监管，并推动提高行业清洁生产水平及企业污染治理力度。规范转产、搬迁、关闭企业生产设施设备的拆除活动，防止有毒有害物质泄漏、遗撒和扬散污染环境。明确全区对土壤环境质量影响较大的行业清单以及涉及重金属、有机污染物排放的企业清单，定期对重点工业企业以及污水、垃圾、危险废物等处理设施周边土壤进行监测，建立重点行业及重点企业监控制度。严格工业固体废弃物贮存场所及危废堆存场所、污水处理厂等集中治污设施及周边土壤环境监管。</w:t>
      </w:r>
      <w:r>
        <w:rPr>
          <w:rFonts w:hint="eastAsia"/>
          <w:bCs/>
          <w:color w:val="000000" w:themeColor="text1"/>
          <w14:textFill>
            <w14:solidFill>
              <w14:schemeClr w14:val="tx1"/>
            </w14:solidFill>
          </w14:textFill>
        </w:rPr>
        <w:t>防范集中式污染治理设施土壤污染，加强工业固体废物堆存场所管理，加强重金属污染防治，落实重点行业企业拆除活动土壤污染防治。加强不同环境要素之间，尤其是固体废物、农药化肥、废物填埋设施管理对土壤环境的影响，从源头上防控好污染。</w:t>
      </w:r>
    </w:p>
    <w:p w14:paraId="10D373AD">
      <w:pPr>
        <w:pStyle w:val="5"/>
        <w:ind w:firstLine="640"/>
      </w:pPr>
      <w:r>
        <w:rPr>
          <w:rFonts w:hint="eastAsia"/>
        </w:rPr>
        <w:t>3、完善土地规划编制与调整</w:t>
      </w:r>
    </w:p>
    <w:p w14:paraId="6D79CB13">
      <w:pPr>
        <w:rPr>
          <w:rFonts w:eastAsiaTheme="minorEastAsia"/>
          <w:sz w:val="21"/>
        </w:rPr>
      </w:pPr>
      <w:r>
        <w:rPr>
          <w:rFonts w:hint="eastAsia"/>
        </w:rPr>
        <w:t>严格用地准入。土地开发利用必须符合土壤环境质量要求。建立污染地块的多部门联动防控管理制度建设，确保地块完成修复后再进行开发利用，反之不予办理供地手续。对列入污染地块名录的土地进行治理修复，合格后方可申报用地，反之不予办理供地手续。对在土地整理阶段做过场地调查但不符合出让标准地块重新评估，必要时进行二次调查。符合用地土壤环境质量要求的地块，可进入用地程序。</w:t>
      </w:r>
    </w:p>
    <w:p w14:paraId="68F392AA">
      <w:pPr>
        <w:rPr>
          <w:rFonts w:eastAsiaTheme="minorEastAsia"/>
          <w:sz w:val="21"/>
        </w:rPr>
      </w:pPr>
      <w:r>
        <w:rPr>
          <w:rFonts w:hint="eastAsia"/>
        </w:rPr>
        <w:t>完善规划编制和调整。在全区土地利用总体规划编制和调整工作中，要求编制单位必须在调整过程中完成相关环境评价篇章，对所需编制或调整地块的污染情况等进行明确梳理。在编制控制性详细规划时，需对相应单元中现状情况进行分析，如果涉及原工矿企业及污染物品仓储运输企业等项目，需在核发相应手续阶段，完成地块场地调查，确定地块不再存在污染等情况后，才能进行下一步手续的办理工作。同时，如项目周边存在危险品企业、危险品仓储企业等时，在办理规划条件、选址意见书前，需完成项目周围危险品企业影响评估报告并由项目单位上报相关管理部门审查确定无影响后再行办理相关手续。</w:t>
      </w:r>
    </w:p>
    <w:p w14:paraId="4B176464">
      <w:pPr>
        <w:pStyle w:val="4"/>
      </w:pPr>
      <w:r>
        <w:rPr>
          <w:rFonts w:hint="eastAsia"/>
        </w:rPr>
        <w:t>三、强化土壤环境保护与管控</w:t>
      </w:r>
    </w:p>
    <w:p w14:paraId="43E7ADCD">
      <w:pPr>
        <w:pStyle w:val="5"/>
        <w:ind w:firstLine="640"/>
      </w:pPr>
      <w:bookmarkStart w:id="144" w:name="_Toc26087"/>
      <w:bookmarkStart w:id="145" w:name="_Toc8516"/>
      <w:bookmarkStart w:id="146" w:name="_Toc55464519"/>
      <w:bookmarkStart w:id="147" w:name="_Toc14334"/>
      <w:r>
        <w:rPr>
          <w:rFonts w:hint="eastAsia"/>
        </w:rPr>
        <w:t>1、做好农用地土壤环境保护</w:t>
      </w:r>
    </w:p>
    <w:p w14:paraId="07052FE2">
      <w:r>
        <w:rPr>
          <w:rFonts w:hint="eastAsia"/>
        </w:rPr>
        <w:t>划定农用地土壤环境质量等级。开展农用地土壤环境质量评估，掌握土壤污染程度和范围，开展土壤污染风险评估。2022年底前，依据评估结果，开展农用地土壤环境质量评估和等级划分，建立农用地土壤环境质量档案。通过资源整合，建立土壤环境和农产品质量综合数据库。</w:t>
      </w:r>
    </w:p>
    <w:p w14:paraId="7F8A1535">
      <w:r>
        <w:rPr>
          <w:rFonts w:hint="eastAsia"/>
        </w:rPr>
        <w:t>实施农用地分级管控。对未受污染农用地实行优先保护，严格保护未受污染农用地。合理利用受污染农用地，对中轻度污染农用地，采取严格环境准入、阻断土壤污染来源等措施，并开展土壤环境质量监测和农产品质量检测。促进受污染农用地等级中轻度转为清洁。对重度污染农用地，严格用途管制，禁止种植食用农产品和饲草。按照“土尽其用”的原则，有序开展种植结构调整或退耕还林（草）。</w:t>
      </w:r>
    </w:p>
    <w:p w14:paraId="6F78A376">
      <w:r>
        <w:rPr>
          <w:rFonts w:hint="eastAsia"/>
        </w:rPr>
        <w:t>科学和绿色利用农用地。针对不同村镇特色农业发展，开展测土配方施肥、有机肥还田等，以配方肥为依托，推广小麦玉米配方肥种肥同播技术，减少肥料的挥发、流失和固定，达到减少化肥使用量对土壤环境的影响。大力推广使用绿色肥料，较少农药、化肥等使用量，通过增施适量的有机肥替代部分化肥。提高耕地土壤有机质、增加蓄水保肥能力、改善作物品质，达到改善农业生产环境的目的。鼓励开展农业合作社和规模化种植，推广建立设施农业等高效低耗的现代化农业。</w:t>
      </w:r>
    </w:p>
    <w:p w14:paraId="1C5F8B0B">
      <w:r>
        <w:rPr>
          <w:rFonts w:hint="eastAsia"/>
        </w:rPr>
        <w:t>改变病虫害防治方式。结合北辰实际生产情况，积极推广农作物病虫害专业化统防统治和绿色防控技术，推广高效低毒低残留环境友好型农药和生物农药，加强病虫害预测预报；推广绿色防控技术，如诱虫板、防虫网、性诱剂等。</w:t>
      </w:r>
    </w:p>
    <w:p w14:paraId="04314FAA">
      <w:pPr>
        <w:pStyle w:val="5"/>
        <w:ind w:firstLine="640"/>
      </w:pPr>
      <w:r>
        <w:rPr>
          <w:rFonts w:hint="eastAsia"/>
        </w:rPr>
        <w:t>2、强化建设用地土壤环境管控</w:t>
      </w:r>
    </w:p>
    <w:p w14:paraId="2508737F">
      <w:r>
        <w:rPr>
          <w:rFonts w:hint="eastAsia"/>
        </w:rPr>
        <w:t>开展建设用地风险管控制度建立。针对建设用地现状采用不同的策略，建立建设用地新建、开发运行、流转、关闭等全过程的风险管控制度，即：建立新增建设用地土壤环境质量强制调查制度；建设用地土壤环境质量顶级监测与评估制度；建设用地开发与流转过程土壤环境监管制度建设。</w:t>
      </w:r>
    </w:p>
    <w:p w14:paraId="62B64CE0">
      <w:r>
        <w:rPr>
          <w:rFonts w:hint="eastAsia"/>
        </w:rPr>
        <w:t>强化工业污染场地调查与风险评估。依据“十四五”期间北辰区工业布局的进一步调整，逐步开展污染场地的调查工作，逐步建立场地污染调查档案和信息管理系统。实时更新土壤污染地块和疑似污染地块清单。对涉及关停搬迁企业场地的土地流转和开发利用，由责任主体开展场地环境风险评估，存在土壤环境风险的场地要开展修复治理，修复治理完成前禁止新项目建设。</w:t>
      </w:r>
    </w:p>
    <w:p w14:paraId="26294DB5">
      <w:r>
        <w:rPr>
          <w:rFonts w:hint="eastAsia"/>
        </w:rPr>
        <w:t>严格落实暂不开发利用污染地块风险管控工作。根据《天津市暂不开发利用污染地块风险管控工作方案》和《天津市暂不开发利用污染地块风险管控技术指南》的相关要求，及时更新北辰区建设用地土壤污染风险管控和修复名录，切实加强暂不开发利用污染地块的管理，严控潜在环境风险。增加未开发利用地块风险管控率指标考核。</w:t>
      </w:r>
    </w:p>
    <w:p w14:paraId="65A00CC9">
      <w:pPr>
        <w:pStyle w:val="4"/>
      </w:pPr>
      <w:r>
        <w:rPr>
          <w:rFonts w:hint="eastAsia"/>
        </w:rPr>
        <w:t>四、推进土壤污染治理与修复</w:t>
      </w:r>
    </w:p>
    <w:p w14:paraId="7967626D">
      <w:pPr>
        <w:rPr>
          <w:rFonts w:eastAsiaTheme="minorEastAsia"/>
          <w:sz w:val="21"/>
        </w:rPr>
      </w:pPr>
      <w:r>
        <w:rPr>
          <w:rFonts w:hint="eastAsia"/>
        </w:rPr>
        <w:t>开展受污染农田土壤治理与修复。制定农田土壤保护和修复工作计划，以污染农田土壤、蔬菜基地、设施农业等为重点，确定农田土壤污染治理与修复示范重点区域，实施农田土壤污染综合治理与修复面积达到规定要求。</w:t>
      </w:r>
    </w:p>
    <w:p w14:paraId="31BF55A6">
      <w:pPr>
        <w:rPr>
          <w:rFonts w:eastAsiaTheme="minorEastAsia"/>
          <w:sz w:val="21"/>
        </w:rPr>
      </w:pPr>
      <w:r>
        <w:rPr>
          <w:rFonts w:hint="eastAsia"/>
        </w:rPr>
        <w:t>开展重点区域土壤综合治理与修复示范。根据天津市土壤污染详查结果，以城市周边、重污染工矿企业、集中污染治理设施周边、重污染行业聚集地、集中式饮用水水源地周边、废弃物堆存场地、重点污灌区等区域为重点，确定全区受污染土壤重点治理区，根据天津市的要求，以农药、化工、钢铁、石油等行业污染区域为重点，开展土壤污染综合治理与修复试点示范。多渠道争取中央补助、基金、政策贷款和社会资本等，全力推进污染地块修复。积极推动土壤修复</w:t>
      </w:r>
      <w:r>
        <w:t>EOD模式，鼓励引导社会资本参与地块修复、开发和建设。</w:t>
      </w:r>
    </w:p>
    <w:p w14:paraId="09345EE5">
      <w:pPr>
        <w:rPr>
          <w:rFonts w:eastAsiaTheme="minorEastAsia"/>
          <w:sz w:val="21"/>
        </w:rPr>
      </w:pPr>
      <w:r>
        <w:rPr>
          <w:rFonts w:hint="eastAsia"/>
        </w:rPr>
        <w:t>强化现有高风险土壤动态管理与修复工作。针对现存高风险土壤开展专项调查，明确高风险土壤历史成因和修复责任人，分类分步骤制定高风险土壤修复方案。对实施土壤污染修复活动时，加强修复期的监管，防止土壤污染治理修复过程中产生的废水、废气和固体废物对周边环境造成二次污染，减少群众举报次数，尤其是高度重视天农修复项目农药异味问题。</w:t>
      </w:r>
    </w:p>
    <w:p w14:paraId="48F5990A">
      <w:pPr>
        <w:pStyle w:val="4"/>
      </w:pPr>
      <w:r>
        <w:rPr>
          <w:rFonts w:hint="eastAsia"/>
        </w:rPr>
        <w:t>五、巩固黑臭水体治理成效</w:t>
      </w:r>
    </w:p>
    <w:p w14:paraId="78A7D5E7">
      <w:r>
        <w:rPr>
          <w:rFonts w:hint="eastAsia" w:hAnsi="仿宋_GB2312" w:cs="仿宋_GB2312"/>
          <w:szCs w:val="32"/>
        </w:rPr>
        <w:t>继续深化黑臭水体治理工作。在2020年已完成黑臭水体治理的基础上，督促镇村进一步完善并执行长效养管机制，杜绝黑臭水体出现反弹；2021年6月底前，完成已完成治理水体的后评估工作；持续做好黑臭水体监测工作，将黑臭水体治理工作列为河（湖）长制日常考核内容，加强暗查暗访力度，不断巩固黑臭水体治理工作成效。</w:t>
      </w:r>
    </w:p>
    <w:bookmarkEnd w:id="144"/>
    <w:bookmarkEnd w:id="145"/>
    <w:bookmarkEnd w:id="146"/>
    <w:bookmarkEnd w:id="147"/>
    <w:p w14:paraId="1DE59340">
      <w:pPr>
        <w:pStyle w:val="4"/>
      </w:pPr>
      <w:bookmarkStart w:id="148" w:name="_Toc2462"/>
      <w:bookmarkStart w:id="149" w:name="_Toc55464523"/>
      <w:bookmarkStart w:id="150" w:name="_Toc12587"/>
      <w:bookmarkStart w:id="151" w:name="_Toc21566"/>
      <w:r>
        <w:rPr>
          <w:rFonts w:hint="eastAsia"/>
        </w:rPr>
        <w:t>六、加强</w:t>
      </w:r>
      <w:bookmarkEnd w:id="148"/>
      <w:bookmarkEnd w:id="149"/>
      <w:bookmarkEnd w:id="150"/>
      <w:bookmarkEnd w:id="151"/>
      <w:r>
        <w:rPr>
          <w:rFonts w:hint="eastAsia"/>
        </w:rPr>
        <w:t>地下水防治</w:t>
      </w:r>
    </w:p>
    <w:p w14:paraId="6A857F3D">
      <w:r>
        <w:rPr>
          <w:rFonts w:hint="eastAsia"/>
        </w:rPr>
        <w:t>强化地下水污染防治。以“双源”为地下水污染防治重点，建立清单，严控地下水污染源。开展地下水重点污染源环境状况调查评估，解析典型地下水污染物来源。按照国家要求，到2023年，完成以化工产业为主导的典型工业集聚区和危险废物处置场地下水环境状况调查评估；到2025年，完成其他典型污染源地下水环境状况调查评估。强化重点行业地下水源头预防，严格相关项目环评审批，对高风险的化学品生产企业及工业集聚区、危险废物处置场、垃圾填埋场等区域要采取措施加强防渗处理。科学划定地下水污染防治重点区。强化地下水污染源及周边风险管控。</w:t>
      </w:r>
    </w:p>
    <w:p w14:paraId="401A00C1">
      <w:pPr>
        <w:rPr>
          <w:rFonts w:eastAsiaTheme="minorEastAsia"/>
          <w:sz w:val="21"/>
        </w:rPr>
      </w:pPr>
      <w:r>
        <w:rPr>
          <w:rFonts w:hint="eastAsia"/>
        </w:rPr>
        <w:t>水土联动，协同防治。综合分析北辰水文地质条件和土壤、地下水污染特征，优化整合土壤、地下水环境监测网络，推进土壤、地下水环境协同防治和监管。</w:t>
      </w:r>
    </w:p>
    <w:p w14:paraId="70F3D923">
      <w:pPr>
        <w:pStyle w:val="4"/>
      </w:pPr>
      <w:r>
        <w:rPr>
          <w:rFonts w:hint="eastAsia"/>
        </w:rPr>
        <w:t>七、</w:t>
      </w:r>
      <w:r>
        <w:t>强化固废危废安全处置</w:t>
      </w:r>
    </w:p>
    <w:p w14:paraId="416FE824">
      <w:r>
        <w:rPr>
          <w:rFonts w:hint="eastAsia"/>
        </w:rPr>
        <w:t>强化危险废物安全处置。建立危险废物管理台账，推动落实《中华人民共和国固体废物污染环境防治法》（2020年修订），推进危险废物利用处置能力结构优化。实现日常处置需要，同时保障该区域的应急处置。开展京津冀地区危废集中处置区域合作，协同规划、共享危险废物集中处置能力；重点开展典型高温工业炉窑协同处置城市固体废物，规范和深化水泥窑协同处置危险废物项目，以金隅振兴环保水泥窑协同处置为试点，拓宽特殊种类危险废物的处置途径；通过建立多种方式并举的综合处置体系，着力解决危险废物填埋终端缺口问题。依托矿物油生产企业开展废矿物油收集网络建设试点。鼓励工业园区配套建设危险废物集中贮存、预处理和处置设施，不断健全和规范收运体系，逐步实现危险废物应收尽收。危险废物应当按照国家有关规定和环境保护标准要求贮存、利用、处置危险废物，不得擅自倾倒、堆放。</w:t>
      </w:r>
    </w:p>
    <w:p w14:paraId="7CEE8F05">
      <w:pPr>
        <w:rPr>
          <w:rFonts w:eastAsiaTheme="minorEastAsia"/>
          <w:sz w:val="21"/>
        </w:rPr>
      </w:pPr>
      <w:r>
        <w:rPr>
          <w:rFonts w:hint="eastAsia"/>
        </w:rPr>
        <w:t>建立工业固体废物管理台账。推动落实《中华人民共和国固体废物污染环境防治法》（2020年修订），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3A57C404">
      <w:r>
        <w:rPr>
          <w:rFonts w:hint="eastAsia"/>
        </w:rPr>
        <w:t>强化危险废物全过程环境监管。完善危险废物监管源清单，依法将固体废物纳入排污许可证管理。充分利用“互联网+监管”系统，加强事中事后环境监管。建设北辰区废酸视频监控网络，探索危险废物经营单位视频监控等技术手段，实现危险废物产生、贮存、处理处置全过程监管。全面开展危险废物排查，以废酸、废铅蓄电池、废矿物油等危险废物为重点，持续开展打击固体废物环境违法犯罪活动。</w:t>
      </w:r>
    </w:p>
    <w:p w14:paraId="3E64DF9E">
      <w:r>
        <w:rPr>
          <w:rFonts w:hint="eastAsia"/>
        </w:rPr>
        <w:t>强化危险废物环境风险防范能力。鼓励科研院所、规范化检测机构开展危险废物鉴别。深入排查化工园区环境风险隐患，督促落实化工园区环境保护主体责任和“一园一策”危险废物利用处置要求。鼓励有条件的化工园区建立危险废物智能化可追溯管控平台。</w:t>
      </w:r>
    </w:p>
    <w:p w14:paraId="7EB1FA86">
      <w:r>
        <w:rPr>
          <w:rFonts w:hint="eastAsia"/>
        </w:rPr>
        <w:t>加强固体废物污染防治。借鉴中新生态城“无废城市”建设经验，加快推进北辰区生活垃圾源头减量和垃圾分类。推动大宗工业固体废物综合利用，支持资源综合利用重大示范工程建设。加强塑料污染治理，按照国家要求减少一次性塑料制品生产和消费量，推动快递、外卖行业包装“减塑”。持续加大执法力度，禁止洋垃圾入境。</w:t>
      </w:r>
    </w:p>
    <w:p w14:paraId="6CE65A4B">
      <w:pPr>
        <w:pStyle w:val="4"/>
      </w:pPr>
      <w:r>
        <w:rPr>
          <w:rFonts w:hint="eastAsia"/>
        </w:rPr>
        <w:t>八、强化核与辐射安全</w:t>
      </w:r>
    </w:p>
    <w:p w14:paraId="7453FEB9">
      <w:r>
        <w:rPr>
          <w:rFonts w:hint="eastAsia"/>
        </w:rPr>
        <w:t>建立核与辐射安全协调机制。加强区内核与辐射安全监管能力建设，生态环境部门有满足日常辐射管理和监督检查工作需要的人员。完善核与辐射安全管理体系，加强事中事后监管。积极配合天津市实施核技术利用单位安全隐患排查三年行动，开展风险指引型安全监督检查，结合工作任务开展放射源安全专项检查行动，强化辖区内测井放射源运输与使用、辐照、外地来津探伤作业等高风险活动辐射安全监督检查，排查安全隐患，查处违法违规行为。</w:t>
      </w:r>
    </w:p>
    <w:p w14:paraId="563EB0B3">
      <w:r>
        <w:rPr>
          <w:rFonts w:hint="eastAsia"/>
        </w:rPr>
        <w:t>开展《通信基站环境保护工作备忘录》执行情况核查，开展核技术利用领域自然灾害综合风险普查工作，开展辐射领域环境影响评价文件复核和自主验收核查工作。</w:t>
      </w:r>
    </w:p>
    <w:p w14:paraId="184A975A">
      <w:r>
        <w:rPr>
          <w:rFonts w:hint="eastAsia"/>
        </w:rPr>
        <w:t>加强放射性废物（源）安全管理。按照城市放射性废物库管理规范，落实放射性废物库管理工作要求。适时评估城市放射性废物库安全防护状况，持续推动安防升级改造。加强废旧闲置放射源监督检查，对发现的废旧闲置放射源依法做到100%安全收贮。探索核技术利用放射性废物清洁解控管理方式方法，优化核医学放射性废物清洁解控工作流程。</w:t>
      </w:r>
    </w:p>
    <w:p w14:paraId="6805FD46">
      <w:r>
        <w:rPr>
          <w:rFonts w:hint="eastAsia"/>
        </w:rPr>
        <w:t>建立区应急组织指挥体系，强化应急职责。加强应急技术支持力量建设，建立统一指挥、统一调度的辐射事故应急响应专业队伍，完善辐射应急机构联动机制。完善应急预案，开展应急预案和配套执行程序修编，加强各级预案动态管理，提高预案的针对性、有效性和可操作性。</w:t>
      </w:r>
    </w:p>
    <w:p w14:paraId="49D92FFA">
      <w:pPr>
        <w:pStyle w:val="3"/>
        <w:spacing w:before="156" w:after="156"/>
      </w:pPr>
      <w:bookmarkStart w:id="152" w:name="_Toc72504264"/>
      <w:bookmarkStart w:id="153" w:name="_Toc55464524"/>
      <w:bookmarkStart w:id="154" w:name="_Toc4472"/>
      <w:bookmarkStart w:id="155" w:name="_Toc2440"/>
      <w:bookmarkStart w:id="156" w:name="_Toc28972"/>
      <w:r>
        <w:rPr>
          <w:rFonts w:hint="eastAsia"/>
        </w:rPr>
        <w:t>第五节 多措并举，推进美丽宜居乡村环境改善</w:t>
      </w:r>
      <w:bookmarkEnd w:id="152"/>
    </w:p>
    <w:p w14:paraId="6C9CF15F">
      <w:r>
        <w:rPr>
          <w:rFonts w:hint="eastAsia"/>
        </w:rPr>
        <w:t>秉承“绿水青山就是金山银山”的发展理念，按照乡村振兴“产业兴旺、生态宜居、乡风文明、治理有效、生活富裕”的总体要求，因地制宜，采取多种措施推进美丽宜居乡村建设。</w:t>
      </w:r>
    </w:p>
    <w:p w14:paraId="049E9642">
      <w:pPr>
        <w:pStyle w:val="4"/>
      </w:pPr>
      <w:r>
        <w:rPr>
          <w:rFonts w:hint="eastAsia"/>
        </w:rPr>
        <w:t>一、农业农村环境综合整治</w:t>
      </w:r>
    </w:p>
    <w:p w14:paraId="22781C48">
      <w:pPr>
        <w:pStyle w:val="5"/>
        <w:ind w:firstLine="640"/>
      </w:pPr>
      <w:r>
        <w:rPr>
          <w:rFonts w:hint="eastAsia"/>
        </w:rPr>
        <w:t>1、推进村镇截污管网建设</w:t>
      </w:r>
    </w:p>
    <w:p w14:paraId="249943A9">
      <w:r>
        <w:rPr>
          <w:rFonts w:hint="eastAsia"/>
        </w:rPr>
        <w:t>积极推进乡镇污水管网体系建设，结合河道综合治理和城镇布局改造等，合理分区，逐步完善农村生活污水管网收集系统。</w:t>
      </w:r>
    </w:p>
    <w:p w14:paraId="2FC6EA07">
      <w:pPr>
        <w:pStyle w:val="5"/>
        <w:ind w:firstLine="640"/>
      </w:pPr>
      <w:r>
        <w:rPr>
          <w:rFonts w:hint="eastAsia"/>
        </w:rPr>
        <w:t>2、完善农村污水处理设施</w:t>
      </w:r>
    </w:p>
    <w:p w14:paraId="1C47D5BE">
      <w:r>
        <w:rPr>
          <w:rFonts w:hint="eastAsia"/>
        </w:rPr>
        <w:t>针对现在农村生活污水处理处置问题进行全面摸排，对现有运行的生活污水收集和处理设施进行提升改造，严格落实《天津市农村生活污水处理设施运行维护管理办法》等文件，实现污水处理达到《农村生活污水处理设施水污染物排放标准》（</w:t>
      </w:r>
      <w:r>
        <w:t>DB12/ 889-2019</w:t>
      </w:r>
      <w:r>
        <w:rPr>
          <w:rFonts w:hint="eastAsia"/>
        </w:rPr>
        <w:t>）。</w:t>
      </w:r>
    </w:p>
    <w:p w14:paraId="4ABE0870">
      <w:pPr>
        <w:pStyle w:val="5"/>
        <w:ind w:firstLine="640"/>
      </w:pPr>
      <w:r>
        <w:t>3</w:t>
      </w:r>
      <w:r>
        <w:rPr>
          <w:rFonts w:hint="eastAsia"/>
        </w:rPr>
        <w:t>、推进农村垃圾收集处置</w:t>
      </w:r>
    </w:p>
    <w:p w14:paraId="06BE87DA">
      <w:r>
        <w:rPr>
          <w:rFonts w:hint="eastAsia"/>
        </w:rPr>
        <w:t>加强对农村生活垃圾分类收集的教育普及和力度，加强农村垃圾分类收集集中点，尤其是加强农村商业集中带的餐饮垃圾、建筑垃圾等的收集能力。建立健全乡村生活垃圾收集体系，在结合农村资源循环利用的基础上，推进垃圾减量、集中收集和定期转运。对于垃圾处理设施，以区域重点乡镇垃圾为处理重点，合理控制垃圾转运距离和成本，科学布局新建垃圾处理设施，实现城镇生活垃圾全处理。建立农村垃圾集中投放、及时转用、分类利用的长效运行和管理机制。</w:t>
      </w:r>
    </w:p>
    <w:p w14:paraId="378248C2">
      <w:pPr>
        <w:pStyle w:val="5"/>
        <w:ind w:firstLine="640"/>
      </w:pPr>
      <w:r>
        <w:t>4</w:t>
      </w:r>
      <w:r>
        <w:rPr>
          <w:rFonts w:hint="eastAsia"/>
        </w:rPr>
        <w:t>、强化畜禽养殖污染治理</w:t>
      </w:r>
    </w:p>
    <w:p w14:paraId="77FFC031">
      <w:r>
        <w:rPr>
          <w:rFonts w:hint="eastAsia"/>
        </w:rPr>
        <w:t>进一步优化畜禽水产养殖布局。严格落实《北辰区畜禽养殖禁养区划定方案（2019年修订）》要求，划分畜禽养殖禁养和限养区，依法关闭搬迁禁养区内的养殖场（小区）和养殖专业户。以双口、西堤头镇等养殖集中区为重点，提高养殖专业化和集中程度，向标准化规模养殖场发展，建设符合要求的环保设施，提高畜禽粪便处理利用水平。</w:t>
      </w:r>
    </w:p>
    <w:p w14:paraId="02453FD7">
      <w:pPr>
        <w:rPr>
          <w:rFonts w:hAnsi="仿宋_GB2312" w:cs="仿宋_GB2312"/>
        </w:rPr>
      </w:pPr>
      <w:r>
        <w:t>积极推进粪污处理及利用中心建设。针对养殖密集区粪污量大、面广和单个散户处理费用高的问题，积极建设粪污集中处理利用中心。采取集中收集、统一处理的方式，通过建设储粪场、污水储存池、污水输送管道等设施，配套购置粪便收集运输车、养殖污水收集运输车、污水输送设备、堆积发酵设备、施肥设备等实现养殖密集区畜禽粪污资源化循环利用。</w:t>
      </w:r>
      <w:r>
        <w:rPr>
          <w:rFonts w:hint="eastAsia" w:hAnsi="仿宋_GB2312" w:cs="仿宋_GB2312"/>
        </w:rPr>
        <w:t>2025年前规模化畜禽养殖场要完成污废水循环利用和污废水净化处理设施建设，禁止养殖粪便未经处理直接外排，并鼓励实施粪污分流、干湿分离，推行干法清粪工艺，减少污水产生量。</w:t>
      </w:r>
    </w:p>
    <w:p w14:paraId="599D492A">
      <w:r>
        <w:rPr>
          <w:rFonts w:hint="eastAsia"/>
        </w:rPr>
        <w:t>提升农业废弃物的资源化利用能力。采用多渠道加强畜禽粪污的利用方式和利用途径，进一步提升全区畜禽粪污综合利用率，金亚麻农业科技有限公司新建50万只蛋鸡养殖场。配套建设粪污处理设施，并全量转运至有机肥厂加工处理。重点推广固体粪便堆肥、污水肥料化利用等技术模式，在西堤头开展华园种猪场新选址提升改造项目，建设粪污处理设施一套，采取农家肥工艺，该场产生粪污进行有机肥生产加工。打通畜禽粪污资源化利用全产业链，在双口、西堤头开展种养循环示范场建设项目。着力提升秸秆肥料化、饲料化、燃料化、基料化和原料化利用水平和效益，维持区域内秸秆全量化利用。同时开展农田残膜及农药包装废弃物回收处置，农田残膜回收率保持80%以上，回收的农药包装废弃物实现全量无害化处理。积极引进废旧农膜等废旧塑料加工回收企业，以乡镇为单元建立废旧农膜回收点，形成回收网络。以经济利益为纽带，促进废旧农膜加工变废为宝，形成闭合的循环经济产业链条，减少废旧农膜焚烧、堆积、掩埋带来的环境污染。</w:t>
      </w:r>
    </w:p>
    <w:p w14:paraId="45A84A43">
      <w:pPr>
        <w:pStyle w:val="5"/>
        <w:ind w:firstLine="640"/>
      </w:pPr>
      <w:r>
        <w:t>5</w:t>
      </w:r>
      <w:r>
        <w:rPr>
          <w:rFonts w:hint="eastAsia"/>
        </w:rPr>
        <w:t>、加强乡村生态保护与修复</w:t>
      </w:r>
    </w:p>
    <w:p w14:paraId="07A663F9">
      <w:r>
        <w:rPr>
          <w:rFonts w:hint="eastAsia"/>
        </w:rPr>
        <w:t>划定并坚守生态保护红线。</w:t>
      </w:r>
      <w:r>
        <w:t>确立生态保护红线优先地位，将生态保护红线纳入农村空间管控体系，作为相关</w:t>
      </w:r>
      <w:r>
        <w:rPr>
          <w:rFonts w:hint="eastAsia"/>
        </w:rPr>
        <w:t>规划的刚性约束。研究制定生态保护红线内农业农村开发项目环境准入负面清单，坚决杜绝生态保护红线内新增污染和生态破坏行为。生态保护红线内现存的耕地不得扩大规模。</w:t>
      </w:r>
    </w:p>
    <w:p w14:paraId="6CE8578E">
      <w:r>
        <w:rPr>
          <w:rFonts w:hint="eastAsia"/>
        </w:rPr>
        <w:t>健全重要生态系统保护体系。遵循生态系统整体性、生物多样性规律，合理确定种养规模，建设完善生物缓冲带、防护林网、灌溉渠系等田间基础设施，恢复田间生物群落和生态链，实现农田生态循环和稳定。严守引滦明渠水源涵养和输水生态保护红线，确保饮用水水源质量；严守永定新河、北运河河滨岸带生态保护红线，重点保护河道行洪、防洪、供水、灌溉、生物多样性维护功能与河滨岸带生态系统</w:t>
      </w:r>
    </w:p>
    <w:p w14:paraId="64967D58">
      <w:r>
        <w:rPr>
          <w:rFonts w:hint="eastAsia"/>
        </w:rPr>
        <w:t>大力实施生态保护赔偿。积极整合财政资金，充分发挥资金使用效益，切实落实激励约束性生态保护政策措施。全面落实森林生态效益补偿机制，扩大区级生态公益林范围。完善农业生态补贴制度，建立与耕地地力提升和责任落实相挂钩的耕地地力保护补贴机制。完善耕地、林地、湿地等生态补偿政策，继续支持退耕护岸林。探索绿色金融服务农业绿色发展的有效方式，积极争取绿色信贷及专业化担保支持。</w:t>
      </w:r>
    </w:p>
    <w:p w14:paraId="64B4D7AB">
      <w:pPr>
        <w:rPr>
          <w:rFonts w:hAnsi="仿宋_GB2312" w:cs="仿宋_GB2312"/>
          <w:sz w:val="21"/>
          <w:szCs w:val="34"/>
        </w:rPr>
      </w:pPr>
      <w:r>
        <w:rPr>
          <w:rFonts w:hint="eastAsia"/>
        </w:rPr>
        <w:t>加强乡村绿化建设。开展</w:t>
      </w:r>
      <w:r>
        <w:t>“</w:t>
      </w:r>
      <w:r>
        <w:rPr>
          <w:rFonts w:hint="eastAsia"/>
        </w:rPr>
        <w:t>四旁</w:t>
      </w:r>
      <w:r>
        <w:t>”</w:t>
      </w:r>
      <w:r>
        <w:rPr>
          <w:rFonts w:hint="eastAsia"/>
        </w:rPr>
        <w:t>绿化，沿道路、沿河流、环村庄打造绿色廊道工程。实施片林、林网工程，对渠边、坑塘闲置用地等实施绿化美化，达到村无白底、绿色美观的效果。到</w:t>
      </w:r>
      <w:r>
        <w:t>2025</w:t>
      </w:r>
      <w:r>
        <w:rPr>
          <w:rFonts w:hint="eastAsia"/>
        </w:rPr>
        <w:t>年全区森林覆盖率达到</w:t>
      </w:r>
      <w:r>
        <w:t>16.5%</w:t>
      </w:r>
      <w:r>
        <w:rPr>
          <w:rFonts w:hint="eastAsia"/>
        </w:rPr>
        <w:t>，林木绿化率达到</w:t>
      </w:r>
      <w:r>
        <w:t>32%</w:t>
      </w:r>
      <w:r>
        <w:rPr>
          <w:rFonts w:hint="eastAsia"/>
        </w:rPr>
        <w:t>。森林、水域生态系统进一步改善。积极发展庭院经济，实现村庄绿化、美化、亮化，使农村生态环境和人居环境更加和谐优美，农民生活品质进一步提高。</w:t>
      </w:r>
    </w:p>
    <w:p w14:paraId="6EB362C0">
      <w:pPr>
        <w:pStyle w:val="4"/>
      </w:pPr>
      <w:r>
        <w:rPr>
          <w:rFonts w:hint="eastAsia"/>
        </w:rPr>
        <w:t>二、加强农村宜居环境提升</w:t>
      </w:r>
    </w:p>
    <w:p w14:paraId="4BAF0D29">
      <w:pPr>
        <w:pStyle w:val="5"/>
        <w:ind w:firstLine="640"/>
      </w:pPr>
      <w:r>
        <w:rPr>
          <w:rFonts w:hint="eastAsia"/>
        </w:rPr>
        <w:t>1、农村宜居环境综合整治</w:t>
      </w:r>
    </w:p>
    <w:p w14:paraId="18875025">
      <w:r>
        <w:rPr>
          <w:rFonts w:hint="eastAsia"/>
        </w:rPr>
        <w:t>全面开展农村宜居环境综合整治。以典型生态问题为重点突破口，开展乡村水体生态修复、湿地保护、农田整治、景观风貌升级等，助力乡村旅游发展。高标准落实“百村示范、千村整治”工程，以清脏治乱为切入点，以垃圾治理、旱厕改造、污水治理、道路和村容村貌提升、农业面源污染治理为重点，结合美丽村庄建设和特色民居改造提升，对全区</w:t>
      </w:r>
      <w:r>
        <w:t>27</w:t>
      </w:r>
      <w:r>
        <w:rPr>
          <w:rFonts w:hint="eastAsia"/>
        </w:rPr>
        <w:t>个规划保留村庄实施全覆盖整治，到</w:t>
      </w:r>
      <w:r>
        <w:t>2025</w:t>
      </w:r>
      <w:r>
        <w:rPr>
          <w:rFonts w:hint="eastAsia"/>
        </w:rPr>
        <w:t>年，</w:t>
      </w:r>
      <w:r>
        <w:t>27</w:t>
      </w:r>
      <w:r>
        <w:rPr>
          <w:rFonts w:hint="eastAsia"/>
        </w:rPr>
        <w:t>个村全部达标，建成</w:t>
      </w:r>
      <w:r>
        <w:t>15</w:t>
      </w:r>
      <w:r>
        <w:rPr>
          <w:rFonts w:hint="eastAsia"/>
        </w:rPr>
        <w:t>个农村人居环境整治示范村。</w:t>
      </w:r>
    </w:p>
    <w:p w14:paraId="54D5F927">
      <w:r>
        <w:rPr>
          <w:rFonts w:hint="eastAsia"/>
        </w:rPr>
        <w:t>实现村庄规划全覆盖。有序开展“多规合一”村庄规划编制工作，实现保留村村庄规划全覆盖，充分考虑农业产业、休闲农业等产业发展预留建设空间和用地指标，为农村地区产业发展提供功能指引和空间保障。突出具有地域特点和文化底蕴的“津派”农村民居特色，留住乡愁、留住记忆，增强农民的幸福感和获得感。深入挖掘农村文化内涵，保护村庄历史文化，维护乡村风貌，突出地域特色。修缮、保护农村历史民居、古建筑、文化遗迹，保留乡村原生态，留住乡村文化，彰显乡村人文魅力。</w:t>
      </w:r>
    </w:p>
    <w:p w14:paraId="7E1B095D">
      <w:r>
        <w:rPr>
          <w:rFonts w:hint="eastAsia"/>
        </w:rPr>
        <w:t>大力推进农村生态绿色景观建设。深化村庄绿化，按照绿化美化相结合的原则，对村庄河道两侧、典型居民活动场所、道路两侧等实施绿化，合理配置多层次景观植被，形成良好的生态景观格局。因地制宜建立健全农村生态公园休憩场所，让居民有更多空间亲近自然。完善市民休闲娱乐设施，大力提升公共厕所规划建设水平，建成城区公厕</w:t>
      </w:r>
      <w:r>
        <w:t>90</w:t>
      </w:r>
      <w:r>
        <w:rPr>
          <w:rFonts w:hint="eastAsia"/>
        </w:rPr>
        <w:t>座。</w:t>
      </w:r>
    </w:p>
    <w:p w14:paraId="42606BD7">
      <w:r>
        <w:rPr>
          <w:rFonts w:hint="eastAsia"/>
        </w:rPr>
        <w:t>加强对宜居环境的管理与可持续发展。加强对现有农村环境的管理，尤其是对居民生态环境感官影响较大的河流、绿地等进行有效管理，建立健全管理维护力度以及评审评价制度，对农村黑臭水体进行严格考核监督，建立定期巡查制度，不定期开展水质监测，对易出现污染反复的水体，督促河（湖）长采取措施有效整治，严格控制黑臭水体治理反弹。</w:t>
      </w:r>
    </w:p>
    <w:p w14:paraId="3CF835E1">
      <w:pPr>
        <w:pStyle w:val="5"/>
        <w:ind w:firstLine="640"/>
      </w:pPr>
      <w:r>
        <w:rPr>
          <w:rFonts w:hint="eastAsia"/>
        </w:rPr>
        <w:t>2、深入实施乡村振兴战略</w:t>
      </w:r>
    </w:p>
    <w:p w14:paraId="7B2A0C6E">
      <w:r>
        <w:rPr>
          <w:rFonts w:hint="eastAsia"/>
        </w:rPr>
        <w:t>加快农业农村现代化建设。推动落实中央文件《关于抓好“三农”领域重点工作确保如期实现全面小康的意见》和《中共中央国务院关于全面推进乡村振兴加快农业农村现代化的意见》对推进乡村建设，加快农村人居环境和公共服务的相关要求。</w:t>
      </w:r>
    </w:p>
    <w:p w14:paraId="2E59B41C">
      <w:r>
        <w:rPr>
          <w:rFonts w:hint="eastAsia"/>
        </w:rPr>
        <w:t>推进村庄规划建设。推动实施乡村振兴战略，加强规划保障，优化乡村地区生产、生活、生态空间，坚持以城带乡、城乡互补、协调发展、共同繁荣。因地制宜提升“多规合一”的实用性村庄规划，保障村民住宅建设合理用地需求，加强乡村历史文化传承和传统村落保护，塑造乡村特色风貌，建设宜居美丽乡村。</w:t>
      </w:r>
    </w:p>
    <w:p w14:paraId="43084ACD">
      <w:r>
        <w:rPr>
          <w:rFonts w:hint="eastAsia"/>
        </w:rPr>
        <w:t>完善农村产权制度和要素市场化配置，提高农村土地、资金、人才、技术等各类要素的配置效率，激发农村内在活力。健全城乡统一的建设用地市场，积极探索实施农村集体经营性建设用地入市制度。建立土地征收公共利益用地认定机制，逐步缩小土地征收范围。改革土地出让金收入再分配制度，逐步提高土地出让金用于乡村发展的比例，加大乡村发展资金投入。推动城乡土地要素有序流动，加快城乡融合发展，增强乡村经济发展活力。</w:t>
      </w:r>
    </w:p>
    <w:p w14:paraId="57423972">
      <w:pPr>
        <w:pStyle w:val="4"/>
      </w:pPr>
      <w:r>
        <w:rPr>
          <w:rFonts w:hint="eastAsia"/>
        </w:rPr>
        <w:t>三、强化城区宜居环境提升</w:t>
      </w:r>
    </w:p>
    <w:p w14:paraId="7E64412F">
      <w:r>
        <w:rPr>
          <w:rFonts w:hint="eastAsia"/>
        </w:rPr>
        <w:t>持续推进整治城区脏乱差等现象。以商业街、老旧小区、菜市场等地方为重点区域，加强乱搭乱建等违法行为整治力度，明确区域卫生责任人，签订“门前三包”责任书，强化卫生管理。提高道路清扫和保洁能力，积极推进环卫工作人机配合，强化垃圾清运能力，做到城区干净整洁。</w:t>
      </w:r>
    </w:p>
    <w:p w14:paraId="792C1911">
      <w:pPr>
        <w:rPr>
          <w:rFonts w:eastAsiaTheme="minorEastAsia"/>
          <w:sz w:val="21"/>
        </w:rPr>
      </w:pPr>
      <w:r>
        <w:rPr>
          <w:rFonts w:hint="eastAsia"/>
        </w:rPr>
        <w:t>强化城区建设工程管理。加强对城区建设工程的管理，尤其是加强施工期对环境产生影响的水、气、声、渣的综合管理，对城区主要施工场地建立跟踪台账，要求企业文明施工，确保施工建设过程对环境影响降到最低。对居民投诉多、环境问题大的建设管理工程，加强管理和违法行为处罚力度。</w:t>
      </w:r>
    </w:p>
    <w:p w14:paraId="045C6B91">
      <w:pPr>
        <w:rPr>
          <w:rFonts w:eastAsiaTheme="minorEastAsia"/>
          <w:sz w:val="21"/>
        </w:rPr>
      </w:pPr>
      <w:r>
        <w:rPr>
          <w:rFonts w:hint="eastAsia"/>
        </w:rPr>
        <w:t>加强居民区等敏感点的噪音管理。强化对城区交通噪声污染的治理，针对居民</w:t>
      </w:r>
      <w:r>
        <w:rPr>
          <w:rFonts w:hint="eastAsia"/>
          <w:lang w:val="en-US" w:eastAsia="zh-CN"/>
        </w:rPr>
        <w:t>反应</w:t>
      </w:r>
      <w:r>
        <w:rPr>
          <w:rFonts w:hint="eastAsia"/>
        </w:rPr>
        <w:t>比较强烈的噪声污染区域，查明主要噪声污染源，强化监管，采取建设隔声屏障、增加建筑物隔声和严控机动车限行禁鸣等综合防治措施，降低道路交通噪声污染对群众生活的影响。严控建筑施工噪声污染，强化夜间施工许可的管理，并加强夜间噪声现场巡查，加大对违法夜间施工单位的处罚力度。</w:t>
      </w:r>
    </w:p>
    <w:p w14:paraId="6D2E50CE">
      <w:pPr>
        <w:rPr>
          <w:rFonts w:eastAsiaTheme="minorEastAsia"/>
          <w:sz w:val="21"/>
        </w:rPr>
      </w:pPr>
      <w:r>
        <w:rPr>
          <w:rFonts w:hint="eastAsia"/>
        </w:rPr>
        <w:t>大力推进垃圾分类投放及收集。落实《天津市生活垃圾管理条例》，推行生活垃圾分类制度，提高居民垃圾分类意识和行动，建立起从垃圾源头分类、分类收集和运输、分类处理处置的垃圾收集和处理系统，使得生活垃圾分类制度有效覆盖，建立生活垃圾分类工作协调机制，强化垃圾源头分类工作，提高可资源化利用垃圾的回收处理能力和方式，加强和统筹生活垃圾分类管理能力建设。到</w:t>
      </w:r>
      <w:r>
        <w:t>2025</w:t>
      </w:r>
      <w:r>
        <w:rPr>
          <w:rFonts w:hint="eastAsia"/>
        </w:rPr>
        <w:t>年基本建立配套完善的生活垃圾分类法律法规制度体系；因地制宜基本建立生活垃圾分类投放、分类收集、分类运输、分类处理系统，居民普遍形成生活垃圾分类习惯；城市生活垃圾回收利用率达到</w:t>
      </w:r>
      <w:r>
        <w:t>35%</w:t>
      </w:r>
      <w:r>
        <w:rPr>
          <w:rFonts w:hint="eastAsia"/>
        </w:rPr>
        <w:t>以上。</w:t>
      </w:r>
    </w:p>
    <w:p w14:paraId="40C4B539">
      <w:pPr>
        <w:rPr>
          <w:rFonts w:eastAsiaTheme="minorEastAsia"/>
          <w:sz w:val="21"/>
        </w:rPr>
      </w:pPr>
      <w:r>
        <w:rPr>
          <w:rFonts w:hint="eastAsia"/>
        </w:rPr>
        <w:t>提升城乡居民亲近自然空间和质量。持续推进区内地表水体生态环境质量和生态环境服务功能的综合提升，改善和建设更更多的亲水平台、廊道、河岸带等，创造居民亲水近水空间。大力发展郊野公园、田园农庄、自然风情等多层级的生态休闲场所，提升城乡居民亲近自然的空间容纳力和休闲体验质量。</w:t>
      </w:r>
    </w:p>
    <w:p w14:paraId="4279100B">
      <w:pPr>
        <w:pStyle w:val="4"/>
      </w:pPr>
      <w:r>
        <w:rPr>
          <w:rFonts w:hint="eastAsia"/>
        </w:rPr>
        <w:t>四、大力推进生态种养殖业</w:t>
      </w:r>
    </w:p>
    <w:p w14:paraId="1C77DAAD">
      <w:pPr>
        <w:rPr>
          <w:rFonts w:eastAsiaTheme="minorEastAsia"/>
          <w:sz w:val="21"/>
        </w:rPr>
      </w:pPr>
      <w:r>
        <w:rPr>
          <w:rFonts w:hint="eastAsia"/>
        </w:rPr>
        <w:t>进一步推广生态养殖技术。引进先进的农业种植技术，采用轮种、套种等方式，大力推广测土施肥、有机复合肥使用等，减少农业和化肥使用量，在西堤头镇推广</w:t>
      </w:r>
      <w:r>
        <w:t>3716</w:t>
      </w:r>
      <w:r>
        <w:rPr>
          <w:rFonts w:hint="eastAsia"/>
        </w:rPr>
        <w:t>亩生态养殖。科学规划养殖布局，合理控制养殖密度，减少养殖过程中的抗生素等使用量。</w:t>
      </w:r>
    </w:p>
    <w:p w14:paraId="72AE3A04">
      <w:r>
        <w:rPr>
          <w:rFonts w:hint="eastAsia"/>
        </w:rPr>
        <w:t>鼓励开展农业合作社等规模化农业种养殖。鼓励开展农业合作社发展模式，将土地承包给规模化企业进行集中统一经营等，提高科学管理能力，实现农业规模化种植生产。发展规模化养殖，减少无序经营的散养模式，基本实现养殖场尾水资源化利用或达标排放。对于确需保留的畜禽散养户，采取由养殖户自筹资金，建设粪污处理设施，进行北仓、青光、双街、双口、小淀、大张庄、西堤头镇等区域内的散养畜禽养殖户粪污处理设施建设。</w:t>
      </w:r>
    </w:p>
    <w:p w14:paraId="431DF2B0">
      <w:r>
        <w:rPr>
          <w:rFonts w:hint="eastAsia"/>
        </w:rPr>
        <w:t>大力发展设施农业，提高农业效益。鼓励先进农业技术企业参与农村生产经营，发展大棚蔬菜、温室花园等设施农业模式，大力发展绿色有机食品基地，形成农产品深加工产业链，提高农业产品单位效益和附加值。围绕食用菌、优质果蔬、水产品、奶制品等主导产业，推进初加工、精深加工设施集中建设和进园发展，实现农产品就地就近加工转化，提升农产品附加值和品质。做优做精今日健康奶牛养殖、耕耘种业、益多利来水产品、鸿滨禾盛蘑菇种植等一批现有种养殖基地，通过加大与农业科研院所的合作研发力度，把北辰区建设成为全市种养殖业优质苗种的集聚区。发挥韩家墅海吉星农产品批发市场龙头带动作用和陆路港物流装备产业园的集散功能，大力发展辐射京津冀的冷链物流产业，形成服务京津冀、面向三北地区的“互联网+农业+物流”现代农产品物流体系。</w:t>
      </w:r>
    </w:p>
    <w:p w14:paraId="1CC05889">
      <w:r>
        <w:rPr>
          <w:rFonts w:hint="eastAsia"/>
        </w:rPr>
        <w:t>大力发展特色生态旅游农业。完善农村生活基础设施，突出特色农产品品牌效应，开展生态农庄、特色采摘、休闲垂钓等休闲生态农业旅游发展模式。双口镇“小五堡”风光优美、资源丰富，宜立足“高端、特色、现代、生态”的理念做好规划设计，在保留农耕文化基础上，增添创意项目，挖掘乡土特色，开发生态景观，打造市郊农村生活快捷体验的首选之地。西堤头赵庄子村水面开阔、鱼米丰盛，已经具有一定规模的生态景观和文化产业，要在巩固提升上下功夫，建设具有一定影响力的旅游片区。龙顺庄园和双街现代农业示范区是北辰区的靓丽名片，在全市享有很高的知名度，要继续引入和培育新业态，加快建设国际婚纱摄影基地、现代垂钓竞赛培训基地、农业创意花卉基地、名特优农产品基地等高端业态，将其打造成北辰区乡村振兴的标志性区域。同时按照“宜居、宜商、宜业、宜养、宜游”的新型现代农业发展模式，以特色小镇的理念和标准，加快实施双口奶业小镇、西堤头曙光水镇、双街牡丹小镇等示范项目建设，统筹农村产业融合与新型城镇化发展，重构北辰农业新的筋骨和支柱。</w:t>
      </w:r>
    </w:p>
    <w:p w14:paraId="5E37F3CA">
      <w:pPr>
        <w:pStyle w:val="3"/>
        <w:spacing w:before="156" w:after="156"/>
      </w:pPr>
      <w:bookmarkStart w:id="157" w:name="_Toc72504265"/>
      <w:r>
        <w:rPr>
          <w:rFonts w:hint="eastAsia"/>
        </w:rPr>
        <w:t>第六节 管建并重，系统推进环境监管与生态修复</w:t>
      </w:r>
      <w:bookmarkEnd w:id="153"/>
      <w:bookmarkEnd w:id="154"/>
      <w:bookmarkEnd w:id="155"/>
      <w:bookmarkEnd w:id="156"/>
      <w:bookmarkEnd w:id="157"/>
    </w:p>
    <w:p w14:paraId="6F83A8ED">
      <w:pPr>
        <w:pStyle w:val="4"/>
      </w:pPr>
      <w:bookmarkStart w:id="158" w:name="_Toc24550"/>
      <w:bookmarkStart w:id="159" w:name="_Toc28146"/>
      <w:bookmarkStart w:id="160" w:name="_Toc55464525"/>
      <w:bookmarkStart w:id="161" w:name="_Toc17191"/>
      <w:r>
        <w:rPr>
          <w:rFonts w:hint="eastAsia"/>
        </w:rPr>
        <w:t>一、</w:t>
      </w:r>
      <w:r>
        <w:t>强化</w:t>
      </w:r>
      <w:r>
        <w:rPr>
          <w:rFonts w:hint="eastAsia"/>
        </w:rPr>
        <w:t>生态系统监管力度</w:t>
      </w:r>
      <w:bookmarkEnd w:id="158"/>
      <w:bookmarkEnd w:id="159"/>
      <w:bookmarkEnd w:id="160"/>
      <w:bookmarkEnd w:id="161"/>
    </w:p>
    <w:p w14:paraId="5D93E84F">
      <w:pPr>
        <w:rPr>
          <w:rFonts w:eastAsiaTheme="minorEastAsia"/>
          <w:sz w:val="21"/>
        </w:rPr>
      </w:pPr>
      <w:bookmarkStart w:id="162" w:name="_Hlk65591225"/>
      <w:r>
        <w:rPr>
          <w:rFonts w:hint="eastAsia"/>
        </w:rPr>
        <w:t>严格落实“三线一单”分区管控要求。</w:t>
      </w:r>
      <w:bookmarkEnd w:id="162"/>
      <w:r>
        <w:rPr>
          <w:rFonts w:hint="eastAsia"/>
        </w:rPr>
        <w:t>根据《天津市人民政府关于实施“三线一单”生态环境分区管控的意见》的相关要求，开展区内“三线一单”生态环境管控区域详查和应用，针对“三线一单”管控区域内现有环境问题开展调查，坚持保护优先。</w:t>
      </w:r>
      <w:bookmarkStart w:id="163" w:name="_Hlk65591235"/>
      <w:r>
        <w:rPr>
          <w:rFonts w:hint="eastAsia"/>
        </w:rPr>
        <w:t>落实生态保护红线、环境质量底线、资源利用上线硬约束，推动形成绿色发展方式和生活方式。突出分类施策。</w:t>
      </w:r>
      <w:bookmarkEnd w:id="163"/>
      <w:r>
        <w:rPr>
          <w:rFonts w:hint="eastAsia"/>
        </w:rPr>
        <w:t>聚焦区域生态环境重点问题和主要保护目标，分类提出生态环境准入要求。根据相关法律、法规和天津市相关规划的变化，实施动态管理。</w:t>
      </w:r>
    </w:p>
    <w:p w14:paraId="5DD84ECA">
      <w:pPr>
        <w:rPr>
          <w:rFonts w:eastAsiaTheme="minorEastAsia"/>
          <w:b/>
          <w:bCs/>
          <w:sz w:val="21"/>
        </w:rPr>
      </w:pPr>
      <w:bookmarkStart w:id="164" w:name="_Hlk65591267"/>
      <w:r>
        <w:rPr>
          <w:rFonts w:hint="eastAsia"/>
        </w:rPr>
        <w:t>加强建设工程项目</w:t>
      </w:r>
      <w:r>
        <w:rPr>
          <w:rFonts w:hint="eastAsia" w:hAnsi="仿宋_GB2312" w:cs="仿宋_GB2312"/>
        </w:rPr>
        <w:t>生态恢复监管</w:t>
      </w:r>
      <w:r>
        <w:rPr>
          <w:rFonts w:hint="eastAsia"/>
        </w:rPr>
        <w:t>。针对涉及临时占用河道、绿地、林带等生态环境用地的工程项目，要加强施工期污染物排放的管理</w:t>
      </w:r>
      <w:bookmarkEnd w:id="164"/>
      <w:r>
        <w:rPr>
          <w:rFonts w:hint="eastAsia"/>
        </w:rPr>
        <w:t>，严格根据项目工程环境影响评价报告进行监管，对于施工后的场地生态环境恢复要做到及时恢复，</w:t>
      </w:r>
      <w:bookmarkStart w:id="165" w:name="_Hlk65591289"/>
      <w:r>
        <w:rPr>
          <w:rFonts w:hint="eastAsia"/>
        </w:rPr>
        <w:t>尝试委托第三方对恢复后的环境质量进行评估，确保生态环境质量不降低</w:t>
      </w:r>
      <w:bookmarkEnd w:id="165"/>
      <w:r>
        <w:rPr>
          <w:rFonts w:hint="eastAsia"/>
        </w:rPr>
        <w:t>。对于涉及到永久占用永久性保护生态区域或者天津市生态红线区域的，要严格落实异地生态补偿措施，并加强异地补偿地块的生态恢复，确保永久性保护生态区域和天津市生态红线区域面积不减少。</w:t>
      </w:r>
    </w:p>
    <w:p w14:paraId="260DB3C9">
      <w:bookmarkStart w:id="166" w:name="_Hlk65591305"/>
      <w:r>
        <w:rPr>
          <w:rFonts w:hint="eastAsia"/>
        </w:rPr>
        <w:t>严守河湖生态缓冲带划定及管控要求。严守河湖蓝线方案管控要求，利用河长制等管理方式，进一步加强河湖用地控制和长效化管理</w:t>
      </w:r>
      <w:bookmarkEnd w:id="166"/>
      <w:r>
        <w:rPr>
          <w:rFonts w:hint="eastAsia"/>
        </w:rPr>
        <w:t>，保护水面积不减少。加强河湖生态带的涉水环境风险管理，整体提升河湖生态缓冲带环境质量。</w:t>
      </w:r>
    </w:p>
    <w:p w14:paraId="6F5DF004">
      <w:bookmarkStart w:id="167" w:name="_Hlk65591318"/>
      <w:r>
        <w:rPr>
          <w:rFonts w:hint="eastAsia"/>
        </w:rPr>
        <w:t>进一步提升永定新河郊野公园、北运河郊野公园、子牙河郊野公园等的生态环境管理能力。加强对各郊野公园内的游憩管理能力，制定适合各郊野公园环境承载力的游客管理规定</w:t>
      </w:r>
      <w:bookmarkEnd w:id="167"/>
      <w:r>
        <w:rPr>
          <w:rFonts w:hint="eastAsia"/>
        </w:rPr>
        <w:t>，加强各郊野公园的公共服务设施能力，严格管理游客行为和通行方式，防止人数过多对各郊野公园生态环境造成破坏。</w:t>
      </w:r>
    </w:p>
    <w:p w14:paraId="016D6763">
      <w:pPr>
        <w:pStyle w:val="4"/>
      </w:pPr>
      <w:bookmarkStart w:id="168" w:name="_Toc6423"/>
      <w:bookmarkStart w:id="169" w:name="_Toc55464526"/>
      <w:bookmarkStart w:id="170" w:name="_Toc29979"/>
      <w:bookmarkStart w:id="171" w:name="_Toc27999"/>
      <w:r>
        <w:rPr>
          <w:rFonts w:hint="eastAsia"/>
        </w:rPr>
        <w:t>二、</w:t>
      </w:r>
      <w:r>
        <w:t>全力打造</w:t>
      </w:r>
      <w:r>
        <w:rPr>
          <w:rFonts w:hint="eastAsia"/>
        </w:rPr>
        <w:t>北</w:t>
      </w:r>
      <w:r>
        <w:t>运河</w:t>
      </w:r>
      <w:r>
        <w:rPr>
          <w:rFonts w:hint="eastAsia"/>
        </w:rPr>
        <w:t>（北辰段）</w:t>
      </w:r>
      <w:r>
        <w:t>生态廊道</w:t>
      </w:r>
      <w:bookmarkEnd w:id="168"/>
      <w:bookmarkEnd w:id="169"/>
      <w:bookmarkEnd w:id="170"/>
      <w:bookmarkEnd w:id="171"/>
    </w:p>
    <w:p w14:paraId="21A115C2">
      <w:bookmarkStart w:id="172" w:name="_Hlk65591349"/>
      <w:r>
        <w:rPr>
          <w:rFonts w:hint="eastAsia"/>
        </w:rPr>
        <w:t>强化</w:t>
      </w:r>
      <w:r>
        <w:rPr>
          <w:rFonts w:hint="eastAsia" w:hAnsi="仿宋_GB2312" w:cs="仿宋_GB2312"/>
        </w:rPr>
        <w:t>北</w:t>
      </w:r>
      <w:r>
        <w:rPr>
          <w:rFonts w:hAnsi="仿宋_GB2312" w:cs="仿宋_GB2312"/>
        </w:rPr>
        <w:t>运河</w:t>
      </w:r>
      <w:r>
        <w:rPr>
          <w:rFonts w:hint="eastAsia" w:hAnsi="仿宋_GB2312" w:cs="仿宋_GB2312"/>
        </w:rPr>
        <w:t>（北辰段）生态空间保护与用途管控</w:t>
      </w:r>
      <w:r>
        <w:rPr>
          <w:rFonts w:hint="eastAsia"/>
        </w:rPr>
        <w:t>。充分发挥北辰区国土空间规划的指导约束作用，构建一轴、多区、多核、多点的整体生态空间格局</w:t>
      </w:r>
      <w:bookmarkEnd w:id="172"/>
      <w:r>
        <w:rPr>
          <w:rFonts w:hint="eastAsia"/>
        </w:rPr>
        <w:t>，制定生态空间用途管制，严格北运河（北辰段）生态空间准入管理，健全生态空间用途专用机制。</w:t>
      </w:r>
    </w:p>
    <w:p w14:paraId="1DC5F6CA">
      <w:bookmarkStart w:id="173" w:name="_Hlk65591365"/>
      <w:r>
        <w:rPr>
          <w:rFonts w:hint="eastAsia"/>
        </w:rPr>
        <w:t>制定北运河生态廊道建设实施方案。</w:t>
      </w:r>
      <w:bookmarkEnd w:id="173"/>
      <w:r>
        <w:rPr>
          <w:rFonts w:hint="eastAsia"/>
        </w:rPr>
        <w:t>落实《天津市大运河文化保护传承利用实施规划》《天津市大运河文化保护传承利用行动方案》等有关天津大运河规划的内容，制定北运河（北辰段）生态廊道建设实施方案，</w:t>
      </w:r>
      <w:bookmarkStart w:id="174" w:name="_Hlk65591373"/>
      <w:r>
        <w:rPr>
          <w:rFonts w:hint="eastAsia"/>
        </w:rPr>
        <w:t>形成具有特定生态保护和开放空间相协调统一的生态廊道建设实施方案，指导大运河（北辰段）文化保护中的生态环境保护工作。</w:t>
      </w:r>
    </w:p>
    <w:bookmarkEnd w:id="174"/>
    <w:p w14:paraId="5241D6EB">
      <w:pPr>
        <w:rPr>
          <w:b/>
          <w:bCs/>
        </w:rPr>
      </w:pPr>
      <w:bookmarkStart w:id="175" w:name="_Hlk65591386"/>
      <w:r>
        <w:rPr>
          <w:rFonts w:hint="eastAsia"/>
        </w:rPr>
        <w:t>全面提升北运河（北辰段）的污染治理能力。</w:t>
      </w:r>
      <w:bookmarkEnd w:id="175"/>
      <w:r>
        <w:rPr>
          <w:rFonts w:hint="eastAsia"/>
        </w:rPr>
        <w:t>排查北运河（北辰段）现状污染物尤其是涉水污染物排放情况，严格落实各项污染物排放标准，确保北运河（北辰段）两岸区域污染物全部达标排放，严禁未经处理的污水进入北运河（北辰段）及其汇入支流，全面治理北运河（北辰段）两岸脏乱差等情况，确保两岸生态环境整洁干净。</w:t>
      </w:r>
    </w:p>
    <w:p w14:paraId="3063605C">
      <w:pPr>
        <w:rPr>
          <w:b/>
          <w:bCs/>
          <w:color w:val="000000" w:themeColor="text1"/>
          <w14:textFill>
            <w14:solidFill>
              <w14:schemeClr w14:val="tx1"/>
            </w14:solidFill>
          </w14:textFill>
        </w:rPr>
      </w:pPr>
      <w:bookmarkStart w:id="176" w:name="_Hlk65591406"/>
      <w:r>
        <w:rPr>
          <w:rFonts w:hint="eastAsia"/>
        </w:rPr>
        <w:t>开展北运河（北辰段）的生态环境综合整治提升建设。</w:t>
      </w:r>
      <w:bookmarkEnd w:id="176"/>
      <w:r>
        <w:rPr>
          <w:rFonts w:hint="eastAsia"/>
        </w:rPr>
        <w:t>加强北运河（北辰段）的水资源保障力度，建设河道两岸的生态树林、人行步道，局部的亲水平台等，保护修复和优化北运河（北辰段）岸线自然生态。加强北运河（北辰段）的生态环境监督检查力度，</w:t>
      </w:r>
      <w:r>
        <w:rPr>
          <w:rFonts w:hint="eastAsia"/>
          <w:color w:val="000000" w:themeColor="text1"/>
          <w14:textFill>
            <w14:solidFill>
              <w14:schemeClr w14:val="tx1"/>
            </w14:solidFill>
          </w14:textFill>
        </w:rPr>
        <w:t>将北运河（北辰段）打造成“有河有水、有鱼有草、人水和谐”的美丽河湖景观工程。</w:t>
      </w:r>
    </w:p>
    <w:p w14:paraId="4BCF173F">
      <w:pPr>
        <w:pStyle w:val="4"/>
      </w:pPr>
      <w:bookmarkStart w:id="177" w:name="_Toc7611"/>
      <w:bookmarkStart w:id="178" w:name="_Toc55464527"/>
      <w:bookmarkStart w:id="179" w:name="_Toc28173"/>
      <w:bookmarkStart w:id="180" w:name="_Toc15230"/>
      <w:r>
        <w:rPr>
          <w:rFonts w:hint="eastAsia"/>
        </w:rPr>
        <w:t>三、加强生态系统保护修复和生态服务功能提升</w:t>
      </w:r>
      <w:bookmarkEnd w:id="177"/>
      <w:bookmarkEnd w:id="178"/>
      <w:bookmarkEnd w:id="179"/>
      <w:bookmarkEnd w:id="180"/>
    </w:p>
    <w:p w14:paraId="762A3832">
      <w:bookmarkStart w:id="181" w:name="_Hlk65592342"/>
      <w:r>
        <w:rPr>
          <w:rFonts w:hint="eastAsia"/>
        </w:rPr>
        <w:t>加强对重要湿地资源和生物多样性保护。加强区内永金水库、大兴水库、郊野公园和北运河等湿地以及河流的保护力度</w:t>
      </w:r>
      <w:bookmarkEnd w:id="181"/>
      <w:r>
        <w:rPr>
          <w:rFonts w:hint="eastAsia"/>
        </w:rPr>
        <w:t>，确保现有湿地等重要资源环境质量不降低。严格落实天津市禁猎的有关规定，禁止猎捕野生动物。强化野生动植物进出口管理。严厉打击野生动植物制品非法交易。防范外来物种入侵，定期开展外来有害生物监测，已经传入和可能传入本区域的外来植物有害生物实行监测、防控，防止其定殖、蔓延和扩散。</w:t>
      </w:r>
    </w:p>
    <w:p w14:paraId="29FD4888">
      <w:bookmarkStart w:id="182" w:name="_Hlk65592354"/>
      <w:r>
        <w:rPr>
          <w:rFonts w:hint="eastAsia"/>
        </w:rPr>
        <w:t>持续推进植树造林和景观绿化。以重点河道、道路、生态节点为重点，持续开展大尺度、广覆盖的植树造林，选用多树种、乔灌草等多层次组合方式，构建景观绿化与生态生境修复为一体的生态系统体系</w:t>
      </w:r>
      <w:bookmarkEnd w:id="182"/>
      <w:r>
        <w:rPr>
          <w:rFonts w:hint="eastAsia"/>
        </w:rPr>
        <w:t>。强化后期保育和养护，提高种植成活率，加快形成人工与自然相交融的复合生态系统，并逐年较少人工干预。</w:t>
      </w:r>
    </w:p>
    <w:p w14:paraId="39C66205">
      <w:pPr>
        <w:rPr>
          <w:b/>
          <w:bCs/>
        </w:rPr>
      </w:pPr>
      <w:bookmarkStart w:id="183" w:name="_Hlk65592375"/>
      <w:r>
        <w:rPr>
          <w:rFonts w:hint="eastAsia"/>
        </w:rPr>
        <w:t>开展典型区域受损环境生态修复与治理。以典型生态脆弱敏感点、污染治理的风险土壤、黑臭水体治理成果等为依托，在此基础上开展典型受损区域生态环境修复与治理，制定详细的修复与治理计划与方案，多渠道筹集修复资金，确保修复后的生态环境持续健康发展。</w:t>
      </w:r>
      <w:bookmarkEnd w:id="183"/>
      <w:r>
        <w:rPr>
          <w:rFonts w:hint="eastAsia"/>
        </w:rPr>
        <w:t>强化对河滨带、重点水库、重要湿地资源等的修复与治理力度，坚决消除侵占水源等对生态环境造成影响的胁迫因子。</w:t>
      </w:r>
    </w:p>
    <w:p w14:paraId="64649BCF">
      <w:r>
        <w:rPr>
          <w:rFonts w:hint="eastAsia"/>
        </w:rPr>
        <w:t>全面挖掘区域生态服务功能潜力。加快落实《天津市大运河文化保护传承利用行动方案》，严格落实大运河核心监控区空间管控要求。加强对城市公园的规划和建设力度，合理提升本区街心和社区公园，由城市任意点出发500米可达不小于1000平方米的街头街心绿地，1公里可达不小于3000平方米的街心公园或集中绿地，3公里可达区级公园，10公里可见市级公园或大型风景区，为公众提供优质的游憩休闲生态产品，逐步满足群众对在优良生态环境中休闲游憩的需求。</w:t>
      </w:r>
      <w:bookmarkStart w:id="184" w:name="_Hlk65592390"/>
      <w:r>
        <w:rPr>
          <w:rFonts w:hint="eastAsia"/>
        </w:rPr>
        <w:t>加强对北运河、郊野公园等大型生态湿地公园的建设力度，提升文化和基础设施建设能力，形成品牌公园效应。</w:t>
      </w:r>
    </w:p>
    <w:bookmarkEnd w:id="184"/>
    <w:p w14:paraId="239B555E">
      <w:pPr>
        <w:pStyle w:val="4"/>
      </w:pPr>
      <w:r>
        <w:rPr>
          <w:rFonts w:hint="eastAsia"/>
        </w:rPr>
        <w:t>四、</w:t>
      </w:r>
      <w:r>
        <w:t>强化生态保护修复统一监管和生物安全管理</w:t>
      </w:r>
    </w:p>
    <w:p w14:paraId="186E7BE4">
      <w:pPr>
        <w:rPr>
          <w:rFonts w:eastAsiaTheme="minorEastAsia"/>
          <w:sz w:val="21"/>
        </w:rPr>
      </w:pPr>
      <w:r>
        <w:rPr>
          <w:rFonts w:hint="eastAsia"/>
        </w:rPr>
        <w:t>建立完善生态状况调查评估体系。统筹已有和新增野外生态站点、样地（样线）布局，研究构建北辰区生态系统观测网络；</w:t>
      </w:r>
      <w:bookmarkStart w:id="185" w:name="_Hlk65592429"/>
      <w:r>
        <w:rPr>
          <w:rFonts w:hint="eastAsia"/>
        </w:rPr>
        <w:t>根据国家要求及天津市需求，开展生态保护红线、自然保护地、永久性保护生态区域等重要生态空间生态状况年度调查与评估</w:t>
      </w:r>
      <w:bookmarkEnd w:id="185"/>
      <w:r>
        <w:rPr>
          <w:rFonts w:hint="eastAsia"/>
        </w:rPr>
        <w:t>；对重点生态区域的人类活动情况、生态保护与修复情况、生态保护制度落实情况实施监管，定期开展保护成效评估和保护工作考核。</w:t>
      </w:r>
      <w:bookmarkStart w:id="186" w:name="_Hlk65592439"/>
      <w:r>
        <w:rPr>
          <w:rFonts w:hint="eastAsia"/>
        </w:rPr>
        <w:t>构建生物多样性保护监管平台</w:t>
      </w:r>
      <w:bookmarkEnd w:id="186"/>
      <w:r>
        <w:rPr>
          <w:rFonts w:hint="eastAsia"/>
        </w:rPr>
        <w:t>，提炼保护与监管模式，优先在</w:t>
      </w:r>
      <w:r>
        <w:t>自然保护地和生物多样性保护优先区域开展自然生态系统的外来物种调查与评价</w:t>
      </w:r>
      <w:r>
        <w:rPr>
          <w:rFonts w:hint="eastAsia"/>
        </w:rPr>
        <w:t>，</w:t>
      </w:r>
      <w:r>
        <w:t>摸清外来物种基本情况</w:t>
      </w:r>
      <w:r>
        <w:rPr>
          <w:rFonts w:hint="eastAsia"/>
        </w:rPr>
        <w:t>，</w:t>
      </w:r>
      <w:r>
        <w:t>并在调查的基础上</w:t>
      </w:r>
      <w:r>
        <w:rPr>
          <w:rFonts w:hint="eastAsia"/>
        </w:rPr>
        <w:t>，</w:t>
      </w:r>
      <w:r>
        <w:t>分析其生态影响</w:t>
      </w:r>
      <w:r>
        <w:rPr>
          <w:rFonts w:hint="eastAsia"/>
        </w:rPr>
        <w:t>、</w:t>
      </w:r>
      <w:r>
        <w:t>危害状况和潜在风险</w:t>
      </w:r>
      <w:r>
        <w:rPr>
          <w:rFonts w:hint="eastAsia"/>
        </w:rPr>
        <w:t>，</w:t>
      </w:r>
      <w:r>
        <w:t>提出预防和控制的对策建议</w:t>
      </w:r>
      <w:r>
        <w:rPr>
          <w:rFonts w:hint="eastAsia"/>
        </w:rPr>
        <w:t>。</w:t>
      </w:r>
    </w:p>
    <w:p w14:paraId="2EC9E80E">
      <w:pPr>
        <w:rPr>
          <w:rFonts w:hAnsi="仿宋_GB2312" w:cs="仿宋_GB2312"/>
        </w:rPr>
      </w:pPr>
      <w:bookmarkStart w:id="187" w:name="_Hlk65592450"/>
      <w:r>
        <w:rPr>
          <w:rFonts w:hint="eastAsia"/>
        </w:rPr>
        <w:t>加强生物安全监管。</w:t>
      </w:r>
      <w:bookmarkEnd w:id="187"/>
      <w:r>
        <w:rPr>
          <w:rFonts w:hint="eastAsia"/>
        </w:rPr>
        <w:t>强化生物安全监测评估与监督管理，依法严厉打击野生动植物偷猎偷捕、滥砍滥伐、违规贩卖及加工利用等违法行为，</w:t>
      </w:r>
      <w:bookmarkStart w:id="188" w:name="_Hlk65592456"/>
      <w:r>
        <w:rPr>
          <w:rFonts w:hint="eastAsia"/>
        </w:rPr>
        <w:t>做好生物多样性的长期监测工作</w:t>
      </w:r>
      <w:bookmarkEnd w:id="188"/>
      <w:r>
        <w:rPr>
          <w:rFonts w:hint="eastAsia"/>
        </w:rPr>
        <w:t>，积极引入宏观生态环境遥感监测技术和现场监测技术等。</w:t>
      </w:r>
    </w:p>
    <w:p w14:paraId="5F63A3EF">
      <w:pPr>
        <w:pStyle w:val="3"/>
        <w:spacing w:before="156" w:after="156"/>
      </w:pPr>
      <w:bookmarkStart w:id="189" w:name="_Toc1923"/>
      <w:bookmarkStart w:id="190" w:name="_Toc55464532"/>
      <w:bookmarkStart w:id="191" w:name="_Toc13104"/>
      <w:bookmarkStart w:id="192" w:name="_Toc72504266"/>
      <w:bookmarkStart w:id="193" w:name="_Toc15552"/>
      <w:r>
        <w:rPr>
          <w:rFonts w:hint="eastAsia"/>
        </w:rPr>
        <w:t>第七节 综合施策，健全生态环境保护治理体系</w:t>
      </w:r>
      <w:bookmarkEnd w:id="189"/>
      <w:bookmarkEnd w:id="190"/>
      <w:bookmarkEnd w:id="191"/>
      <w:bookmarkEnd w:id="192"/>
      <w:bookmarkEnd w:id="193"/>
    </w:p>
    <w:p w14:paraId="762C1EE9">
      <w:pPr>
        <w:pStyle w:val="4"/>
      </w:pPr>
      <w:bookmarkStart w:id="194" w:name="_Toc8366"/>
      <w:bookmarkStart w:id="195" w:name="_Toc9139"/>
      <w:bookmarkStart w:id="196" w:name="_Toc28261"/>
      <w:bookmarkStart w:id="197" w:name="_Toc55464533"/>
      <w:r>
        <w:rPr>
          <w:rFonts w:hint="eastAsia"/>
        </w:rPr>
        <w:t>一、完善党政领导责任体系</w:t>
      </w:r>
      <w:bookmarkEnd w:id="194"/>
      <w:bookmarkEnd w:id="195"/>
      <w:bookmarkEnd w:id="196"/>
      <w:bookmarkEnd w:id="197"/>
    </w:p>
    <w:p w14:paraId="4F719266">
      <w:r>
        <w:rPr>
          <w:rFonts w:hint="eastAsia"/>
        </w:rPr>
        <w:t>进一步完善区级生态环境保护领导机制。</w:t>
      </w:r>
      <w:bookmarkStart w:id="198" w:name="_Hlk65593691"/>
      <w:r>
        <w:rPr>
          <w:rFonts w:hint="eastAsia"/>
        </w:rPr>
        <w:t>完善区委、区政府生态文明建设及生态环境保护治理总体责任落实机制</w:t>
      </w:r>
      <w:bookmarkEnd w:id="198"/>
      <w:r>
        <w:rPr>
          <w:rFonts w:hint="eastAsia"/>
        </w:rPr>
        <w:t>，全面贯彻落实党中央、国务院关于生态环境保护的重大决策部署，统筹研究设定经济社会发展、生态环境保护目标指标，统筹研究确定重大制度安排、重大政策措施、重大资金投入、统筹组织开展监督检查和绩效考核评价，全面推动中央及市级生态环境保护督察反馈问题整改工作开展，坚持实行区领导生态环境保护联系点制度，</w:t>
      </w:r>
      <w:bookmarkStart w:id="199" w:name="_Hlk65593716"/>
      <w:r>
        <w:rPr>
          <w:rFonts w:hint="eastAsia"/>
        </w:rPr>
        <w:t>各镇党委、政府切实承担生态环境保护具体责任，扎实做好环境治理、生态建设、资金安排、市场规范、宣传教育等工作</w:t>
      </w:r>
      <w:bookmarkEnd w:id="199"/>
      <w:r>
        <w:rPr>
          <w:rFonts w:hint="eastAsia"/>
        </w:rPr>
        <w:t>，完善区抓落实、部门主管、镇抓实施、村庄自治的生态环境保护领导机制。坚持实行区领导生态环境保护联系点制度，各镇党委、政府切实承担生态环境保护具体责任，扎实做好环境治理、生态建设、资金安排、市场规范、宣传教育等工作，完善区抓落实、部门主管、镇抓实施、村庄自治的生态环境保护领导机制。各乡镇、部门要将北辰区生态建设与环境保护放在重要位置，将本规划纳入政府经济和社会发展的长远规划和年度计划中，建立“统一领导、一把手亲自抓、分管负责人靠上抓、齐抓共管”的领导体制，坚持“两手抓、两手硬”，把生态环境保护工作一起部署、落实和检查。</w:t>
      </w:r>
    </w:p>
    <w:p w14:paraId="267D6CB8">
      <w:bookmarkStart w:id="200" w:name="_Hlk65593743"/>
      <w:r>
        <w:rPr>
          <w:rFonts w:hint="eastAsia"/>
        </w:rPr>
        <w:t>强化生态环境保护目标责任落实机制。制定实施区、镇党委政府和区级有关部门生态环境保护责任清单，继续完善生态环境保护目标责任评价考核体系，制定各区级有关部门年度目标指标任务，将“十四五”期间的建设任务和指标分解落实到相应各部门</w:t>
      </w:r>
      <w:bookmarkEnd w:id="200"/>
      <w:r>
        <w:rPr>
          <w:rFonts w:hint="eastAsia"/>
        </w:rPr>
        <w:t>，确保各级政府把生态建设与环境保护规划纳入社会与经济发展中，经见整合各项相关专项考核，统一实施考核评价，考核结果作为区级有关部门及各镇街、开发区年度绩效考核，以及领导班子和领导干部综合评价、奖惩任免的重要依据，对生态环境保护成绩突出的地区、单位和个人给予表彰奖励。修订完善党政领导干部生态环境损害责任追究实施细则，建立生态环境损害责任终身追究制。完善生态建设与环境保护的目标责任制、监督约束机制和责任追究制度，定期对规划的组织实施开展核查、监督、评估和反馈，并以评估结果对部门及负责人进行奖惩。追究相关部门领导干部、公职人员在生态保护方面的失误；另一方面针对集体和个人进行生态环境保护责任追究和环境损害赔偿制度的理论研究与现实调研，确定责任追究和损害赔偿的原则、范围、时效和操作程序。</w:t>
      </w:r>
    </w:p>
    <w:p w14:paraId="4B3F46F2">
      <w:bookmarkStart w:id="201" w:name="_Hlk65593760"/>
      <w:r>
        <w:rPr>
          <w:rFonts w:hint="eastAsia"/>
        </w:rPr>
        <w:t>深化生态环境保护督察自查及整改工作机制。落实生态环境保护督察反馈问题自查及整改工作机制</w:t>
      </w:r>
      <w:bookmarkEnd w:id="201"/>
      <w:r>
        <w:rPr>
          <w:rFonts w:hint="eastAsia"/>
        </w:rPr>
        <w:t>，充分发挥区整改办牵头捏总作用，突出围绕各级生态环境督察反馈问题、群众反映强烈的突出生态环境保护问题、高质量发展过程中生态环境保护领域存在问题、生态环境质量改善问题，开展例行督察检查、加强专项督查、严格督察整改。进一步完善排查、交办、核查、约谈、专项督察“五步法”工作机制，坚持实施最严格的生态环境保护督察制度，优化网格员制度、强化问题排查、强化监督帮扶、压紧压实生态环境保护责任。</w:t>
      </w:r>
    </w:p>
    <w:p w14:paraId="57A54E54">
      <w:pPr>
        <w:rPr>
          <w:rFonts w:eastAsiaTheme="minorEastAsia"/>
          <w:sz w:val="21"/>
        </w:rPr>
      </w:pPr>
      <w:bookmarkStart w:id="202" w:name="_Hlk65593775"/>
      <w:r>
        <w:rPr>
          <w:rFonts w:hint="eastAsia"/>
        </w:rPr>
        <w:t>加快上下协同、左右联动、信息共享监管体系。</w:t>
      </w:r>
      <w:bookmarkEnd w:id="202"/>
      <w:r>
        <w:rPr>
          <w:rFonts w:hint="eastAsia"/>
        </w:rPr>
        <w:t>强化北辰区环境监管合作，健全环境突发事件协同应对和联合指挥、资源合作共享等机制，提升跨层级、跨部门联动能力。加快推行北辰区环境信息共享机制，实现信息互通、结果互认、平台共用，推进联动执法、联合执法、交叉执法。</w:t>
      </w:r>
    </w:p>
    <w:p w14:paraId="4F2C1EFA">
      <w:bookmarkStart w:id="203" w:name="_Hlk65594168"/>
      <w:r>
        <w:rPr>
          <w:rFonts w:hint="eastAsia"/>
        </w:rPr>
        <w:t>发挥基层治理平台作用。</w:t>
      </w:r>
      <w:bookmarkEnd w:id="203"/>
      <w:r>
        <w:rPr>
          <w:rFonts w:hint="eastAsia"/>
        </w:rPr>
        <w:t>推动生态环境治理重心向基层下移，到202</w:t>
      </w:r>
      <w:r>
        <w:t>5</w:t>
      </w:r>
      <w:r>
        <w:rPr>
          <w:rFonts w:hint="eastAsia"/>
        </w:rPr>
        <w:t>年底，北辰区所辖的</w:t>
      </w:r>
      <w:r>
        <w:t>1</w:t>
      </w:r>
      <w:r>
        <w:rPr>
          <w:rFonts w:hint="eastAsia"/>
        </w:rPr>
        <w:t>7个镇街、开发区各自独立成立环保办公室，镇街、开发区环保专员主要负责农村环境保护日常巡查，承担隐患排查、纠纷调处、协助执法、信息报告、宣传引导等职责，形成“全面覆盖、层层履职、网格到底、责任到人”的环境监管模式。实行网格化管理，发挥基层环保组织作用，实现政府治理和社会调节、居民自治良性互动。着力解决联系服务群众“最后一公里”问题，</w:t>
      </w:r>
      <w:bookmarkStart w:id="204" w:name="_Hlk65594177"/>
      <w:r>
        <w:rPr>
          <w:rFonts w:hint="eastAsia"/>
        </w:rPr>
        <w:t>构建共建、共治、共享的基层社会治理机制，为城乡社区治理提供坚强保证</w:t>
      </w:r>
      <w:bookmarkEnd w:id="204"/>
      <w:r>
        <w:rPr>
          <w:rFonts w:hint="eastAsia"/>
        </w:rPr>
        <w:t>。</w:t>
      </w:r>
    </w:p>
    <w:p w14:paraId="5D9D23A0">
      <w:pPr>
        <w:rPr>
          <w:rFonts w:hAnsi="仿宋" w:eastAsiaTheme="minorEastAsia"/>
          <w:sz w:val="21"/>
          <w:szCs w:val="34"/>
        </w:rPr>
      </w:pPr>
      <w:bookmarkStart w:id="205" w:name="_Hlk65594197"/>
      <w:r>
        <w:rPr>
          <w:shd w:val="clear" w:color="auto" w:fill="FFFFFF"/>
        </w:rPr>
        <w:t>不断夯实队伍建设基础</w:t>
      </w:r>
      <w:r>
        <w:rPr>
          <w:rFonts w:hint="eastAsia"/>
          <w:shd w:val="clear" w:color="auto" w:fill="FFFFFF"/>
        </w:rPr>
        <w:t>。</w:t>
      </w:r>
      <w:bookmarkEnd w:id="205"/>
      <w:r>
        <w:rPr>
          <w:rFonts w:hint="eastAsia"/>
          <w:shd w:val="clear" w:color="auto" w:fill="FFFFFF"/>
        </w:rPr>
        <w:t>加强环保队伍思想、组织、作风和能力建设。采取资格审查、民主推荐与测评、现场演讲、竞争答辩、组织考察、党组决定的办法，切实将一批政治合格、业务精通、作风务实、廉洁奉公，并具有较强组织管理能力的优秀干部选拔到领导岗位上来。全员培训，提升业务水平，广泛开展内部自查自学，切实提高人员党政及业务水平。严格要求、从严管理，强化人员的服务意识和效率意识，不断提高服务水平和质量，提升环保工作的社会满意率，树立环保队伍良好形象。实行全员岗位责任制，量化、分解年度工作目标，严格考核机制，依据主要职责，编制岗位说明书，明确职责、工作标准和适用问责条款，保障各项工作任务圆满完成。</w:t>
      </w:r>
    </w:p>
    <w:p w14:paraId="1774B73F">
      <w:pPr>
        <w:pStyle w:val="4"/>
      </w:pPr>
      <w:bookmarkStart w:id="206" w:name="_Toc4495"/>
      <w:bookmarkStart w:id="207" w:name="_Toc55464534"/>
      <w:bookmarkStart w:id="208" w:name="_Toc5917"/>
      <w:bookmarkStart w:id="209" w:name="_Toc8342"/>
      <w:r>
        <w:rPr>
          <w:rFonts w:hint="eastAsia"/>
        </w:rPr>
        <w:t>二、健全企业主体责任体系</w:t>
      </w:r>
      <w:bookmarkEnd w:id="206"/>
      <w:bookmarkEnd w:id="207"/>
      <w:bookmarkEnd w:id="208"/>
      <w:bookmarkEnd w:id="209"/>
    </w:p>
    <w:p w14:paraId="70CC92FC">
      <w:bookmarkStart w:id="210" w:name="_Hlk65594248"/>
      <w:r>
        <w:rPr>
          <w:rFonts w:hint="eastAsia"/>
        </w:rPr>
        <w:t>加快推进绿色生产制造。</w:t>
      </w:r>
      <w:bookmarkEnd w:id="210"/>
      <w:r>
        <w:rPr>
          <w:rFonts w:hint="eastAsia" w:hAnsi="仿宋_GB2312" w:cs="仿宋_GB2312"/>
        </w:rPr>
        <w:t>积极落实《天津市关于加快推进智能科技产业发展的若干政策》和“天津八条”、“北辰十条”、“民营十九条”等相关帮扶措施，引导企业实施科技创新、技术改造、两化融合，全力助推产业结构向高质、绿色、循环方向发展。</w:t>
      </w:r>
      <w:r>
        <w:rPr>
          <w:rFonts w:hint="eastAsia"/>
        </w:rPr>
        <w:t>强化源头治理，逐步提高淘汰标准，依法依规、稳妥有序淘汰落后生产工艺、落后技术装备；按照全市要求，配合建立单位GDP能源消耗、污染排放强度控制制度，强化清洁生产审核，逐步推动重点行业工艺升级、技术创新，加快实现生产方式绿色化。全面落实生产者责任延伸制度，推动绿色产品认证，配合修订并落实绿色建筑评价标识管理办法，加快推动绿色建筑规模化发展。组织开展循环经济示范行动，推动工业园区循环改造，促进生产、生活系统循环链接，构建覆盖全社会的资源循环利用体系。</w:t>
      </w:r>
      <w:r>
        <w:rPr>
          <w:rFonts w:hint="eastAsia" w:hAnsi="仿宋_GB2312" w:cs="仿宋_GB2312"/>
        </w:rPr>
        <w:t>需要</w:t>
      </w:r>
      <w:bookmarkStart w:id="211" w:name="_Hlk60232035"/>
      <w:r>
        <w:rPr>
          <w:rFonts w:hint="eastAsia" w:hAnsi="仿宋_GB2312" w:cs="仿宋_GB2312"/>
        </w:rPr>
        <w:t>加快构建由绿色工厂、绿色产品、绿色园区、绿色供应链等要素组成的绿色制造体系，引领和促进绿色产业发展壮大</w:t>
      </w:r>
      <w:bookmarkEnd w:id="211"/>
      <w:r>
        <w:rPr>
          <w:rFonts w:hint="eastAsia" w:hAnsi="仿宋_GB2312" w:cs="仿宋_GB2312"/>
        </w:rPr>
        <w:t>。</w:t>
      </w:r>
    </w:p>
    <w:p w14:paraId="38A18F7C">
      <w:bookmarkStart w:id="212" w:name="_Hlk65594296"/>
      <w:r>
        <w:rPr>
          <w:rFonts w:hint="eastAsia"/>
        </w:rPr>
        <w:t>着力提升企业治污能力水平。加强企业帮扶指导，建立完善企业污染治理主体责任落实督查检查制度，督促企业严格落实法律法规标准、建设、运行、维护治污设施，稳定达标排放。深入推动未安装使用自动监测设备的重点排污企业进行设备安装</w:t>
      </w:r>
      <w:bookmarkEnd w:id="212"/>
      <w:r>
        <w:rPr>
          <w:rFonts w:hint="eastAsia"/>
        </w:rPr>
        <w:t>，监督并指导做好自动监测设备使用、运行、维护工作，确保监测数据的真实、完整、有效，杜绝治理效果和监测数据造假。</w:t>
      </w:r>
    </w:p>
    <w:p w14:paraId="243A2311">
      <w:r>
        <w:rPr>
          <w:rFonts w:hint="eastAsia"/>
        </w:rPr>
        <w:t>公开环境治理信息。排污企业应通过企业网站等途径依法公开主要污染物名称、排放方式、执行标准以及污染防治设施建设和运行情况，并对信息真实性负责。</w:t>
      </w:r>
    </w:p>
    <w:p w14:paraId="20F8D1D0">
      <w:pPr>
        <w:pStyle w:val="4"/>
      </w:pPr>
      <w:bookmarkStart w:id="213" w:name="_Toc22297"/>
      <w:bookmarkStart w:id="214" w:name="_Toc22737"/>
      <w:bookmarkStart w:id="215" w:name="_Toc55464535"/>
      <w:bookmarkStart w:id="216" w:name="_Toc31639"/>
      <w:r>
        <w:rPr>
          <w:rFonts w:hint="eastAsia"/>
        </w:rPr>
        <w:t>三、健全社会公民行动体系</w:t>
      </w:r>
      <w:bookmarkEnd w:id="213"/>
      <w:bookmarkEnd w:id="214"/>
      <w:bookmarkEnd w:id="215"/>
      <w:bookmarkEnd w:id="216"/>
    </w:p>
    <w:p w14:paraId="5E5B99E9">
      <w:bookmarkStart w:id="217" w:name="_Hlk65594356"/>
      <w:r>
        <w:rPr>
          <w:rFonts w:hint="eastAsia"/>
        </w:rPr>
        <w:t>全力提高公民生态环境保护意识，强化公民对环境保护相关法律的认知。</w:t>
      </w:r>
      <w:bookmarkEnd w:id="217"/>
      <w:r>
        <w:rPr>
          <w:rFonts w:hint="eastAsia"/>
        </w:rPr>
        <w:t>把生态环境保护作为素质教育的重要内容，纳入国民教育体系和党政领导干部培训体系，充分发挥“北辰领导干部大讲堂”作用，把生态文明建设及生态环境保护法律法规、政策解读纳入各级党组中心组理论学习范围。推进生态环境保护宣传教育进学校、进家庭、进社区、进工厂、进机关。</w:t>
      </w:r>
      <w:bookmarkStart w:id="218" w:name="_Hlk65594372"/>
      <w:r>
        <w:rPr>
          <w:rFonts w:hint="eastAsia"/>
        </w:rPr>
        <w:t>加大生态文化作品、环境教育基地创建、绿色校园、绿色社区建设工作力度</w:t>
      </w:r>
      <w:bookmarkEnd w:id="218"/>
      <w:r>
        <w:rPr>
          <w:rFonts w:hint="eastAsia"/>
        </w:rPr>
        <w:t>，加快满足广大人民群众生态文化需求。</w:t>
      </w:r>
    </w:p>
    <w:p w14:paraId="2AA82431">
      <w:bookmarkStart w:id="219" w:name="_Hlk65594386"/>
      <w:r>
        <w:rPr>
          <w:rFonts w:hint="eastAsia"/>
        </w:rPr>
        <w:t>广泛开展绿色生活行动。加快培育绿色生活方式</w:t>
      </w:r>
      <w:bookmarkEnd w:id="219"/>
      <w:r>
        <w:rPr>
          <w:rFonts w:hint="eastAsia"/>
        </w:rPr>
        <w:t>，大力倡导勤俭节约二等消费观念，全面落实《绿色生活创建行动总体方案》，引导公民自觉履行生态环境保护责任，逐步摒弃落后的生活风俗习惯，要倡导简约适度、绿色低碳的生活方式，反对奢侈浪费和不合理消费，加大鞭炮禁燃、文明祭扫推广及管理工作，加快形成勤俭节约、绿色低碳、文明健康的生活方式。</w:t>
      </w:r>
      <w:bookmarkStart w:id="220" w:name="_Hlk65594410"/>
      <w:r>
        <w:rPr>
          <w:rFonts w:hint="eastAsia"/>
        </w:rPr>
        <w:t>积极推广绿色生活理念，开展绿色生活创建行动，鼓励绿色出行、绿色居住、绿色消费，积极建设慢行系统，引导公众自觉践行绿色生活</w:t>
      </w:r>
      <w:bookmarkEnd w:id="220"/>
      <w:r>
        <w:rPr>
          <w:rFonts w:hint="eastAsia"/>
        </w:rPr>
        <w:t>。继续推动完善垃圾分类制度、激励机制，加快推进区域垃圾分类工作进展。继续推动完善</w:t>
      </w:r>
      <w:r>
        <w:rPr>
          <w:rStyle w:val="49"/>
          <w:rFonts w:hint="eastAsia" w:ascii="仿宋_GB2312" w:eastAsia="仿宋_GB2312"/>
          <w:b w:val="0"/>
          <w:bCs w:val="0"/>
          <w:sz w:val="34"/>
          <w:szCs w:val="34"/>
        </w:rPr>
        <w:t>垃圾</w:t>
      </w:r>
      <w:r>
        <w:rPr>
          <w:rFonts w:hint="eastAsia"/>
        </w:rPr>
        <w:t>分类制度、激励机制，加快推进区域垃圾分类工作进展。大力推进装配式建筑和绿色建筑，新供应地块100%实施装配式建筑，开展超低能耗建筑综合改造，所有新建民用建筑全部执行绿色建筑标准。持续推进绿色交通体系建设，引导促进定制公交、分时租赁、合乘车等新型绿色共享交通模式规范发展。完善非机动车设施，优化慢行交通组织，保障骑行通道安全畅通，进一步挖潜非机动车停车资源。</w:t>
      </w:r>
    </w:p>
    <w:p w14:paraId="2B7DD3DA">
      <w:bookmarkStart w:id="221" w:name="_Hlk65594429"/>
      <w:r>
        <w:rPr>
          <w:rFonts w:hint="eastAsia"/>
        </w:rPr>
        <w:t>强化社会监督公众参与。坚持公开透明环境治理信息，监督重点排污企业，做好区域大气、水、土壤环境质量状况信息公开工作。完善公众监督、督促办理、举报反馈机制</w:t>
      </w:r>
      <w:bookmarkEnd w:id="221"/>
      <w:r>
        <w:rPr>
          <w:rFonts w:hint="eastAsia"/>
        </w:rPr>
        <w:t>：持续畅通环境保护电话投诉、信箱举报等线下监督渠道；完善实施环境污染违法行为有奖举报制度。利用网络、移动通讯等新平台开辟社会监督公众参与新渠道，引导公众和政府实现良心互动。完善环境污染违法行为有奖举报制度及乡镇社会环境监督员制度，负责监督乡镇政府和企业环境行为，并对做出一定贡献的居民给予物质和精神奖励。加强新闻舆论监督引导，加大新闻媒体公开曝光生态破坏问题、环境污染事件、环境违法行为。坚持公开透明环境治理信息，监督重点排污企业依法主动公开污染物名称、排放方式、执行标准及污染防治设施建设运行情况，安全许可证等，并对信息真实性负责。做好区域大气、水、土壤环境质量状况信息公开工作。</w:t>
      </w:r>
    </w:p>
    <w:p w14:paraId="027B5893">
      <w:r>
        <w:rPr>
          <w:rFonts w:hint="eastAsia"/>
        </w:rPr>
        <w:t>公听并观避免邻避效应。结合新媒体及传统媒体等多种渠道，广泛听取群众对生态环境的问题诉求和建议，尤其是针对群众反映强烈的环境问题，积极解决群众诉求，讲解环境政策，坚持信息透明化，建立社会参与机制和政府与社会互动机制，完善政府与社会共同监管制度，避免邻避效应引发的社会问题。要做好新建邻避项目的公众沟通，实现从管理到治理、从行政许可到公众认可的转变，加强对项目实施的组织领导，坚守为民主线，坚持依法依规，突出共建共享。</w:t>
      </w:r>
    </w:p>
    <w:p w14:paraId="72070498">
      <w:bookmarkStart w:id="222" w:name="_Hlk65594446"/>
      <w:r>
        <w:rPr>
          <w:rFonts w:hint="eastAsia"/>
        </w:rPr>
        <w:t>发挥各类社会团体环保宣传作用。制定实施社会组织参与环境保护宣传工作方案</w:t>
      </w:r>
      <w:bookmarkEnd w:id="222"/>
      <w:r>
        <w:rPr>
          <w:rFonts w:hint="eastAsia"/>
        </w:rPr>
        <w:t>，区总工会、共青团区委、区妇联等群团组织要发挥抬头作用，积极动员广大职工、青年、妇女参与区域环保理念宣传，商会要发挥桥梁纽带作用，加强对规范约束行业污染物排放自律宣传和教育。加强对社会组织的管理和指导，保障具备资格的环保组织依法开展生态环境公益诉讼等活动，动员更广大的社会力量自觉加入到环保志愿者队伍中来，充分发挥环保志愿者作用，推动区域生态环境保护工作全面开展。</w:t>
      </w:r>
    </w:p>
    <w:p w14:paraId="557C37EA">
      <w:pPr>
        <w:pStyle w:val="4"/>
      </w:pPr>
      <w:bookmarkStart w:id="223" w:name="_Toc8887"/>
      <w:bookmarkStart w:id="224" w:name="_Toc55464536"/>
      <w:bookmarkStart w:id="225" w:name="_Toc2108"/>
      <w:bookmarkStart w:id="226" w:name="_Toc11145"/>
      <w:r>
        <w:rPr>
          <w:rFonts w:hint="eastAsia"/>
        </w:rPr>
        <w:t>四、</w:t>
      </w:r>
      <w:bookmarkStart w:id="227" w:name="_Hlk61622771"/>
      <w:r>
        <w:rPr>
          <w:rFonts w:hint="eastAsia"/>
        </w:rPr>
        <w:t>优化行政监管制度体系</w:t>
      </w:r>
      <w:bookmarkEnd w:id="223"/>
      <w:bookmarkEnd w:id="224"/>
      <w:bookmarkEnd w:id="225"/>
      <w:bookmarkEnd w:id="226"/>
      <w:bookmarkEnd w:id="227"/>
    </w:p>
    <w:p w14:paraId="57394B0A">
      <w:bookmarkStart w:id="228" w:name="_Hlk65594530"/>
      <w:r>
        <w:rPr>
          <w:rFonts w:hint="eastAsia"/>
        </w:rPr>
        <w:t>强化环境污染源头防治。按照区域主体功能区定位，配合建立实施生态保护红线、资源利用上限、环境质量底线和环境准入清单，完成生态红线勘界定标，按照自然保护地规划</w:t>
      </w:r>
      <w:bookmarkEnd w:id="228"/>
      <w:r>
        <w:rPr>
          <w:rFonts w:hint="eastAsia"/>
        </w:rPr>
        <w:t>，强化空间开发利用、重大项目布局的规划环评。</w:t>
      </w:r>
      <w:bookmarkStart w:id="229" w:name="_Hlk65594541"/>
      <w:r>
        <w:rPr>
          <w:rFonts w:hint="eastAsia"/>
        </w:rPr>
        <w:t>加强能源消费总量控制，深入调整能源结构。加快推进资源环境承载能力监测预警机制建设。</w:t>
      </w:r>
    </w:p>
    <w:bookmarkEnd w:id="229"/>
    <w:p w14:paraId="66BFB0D0">
      <w:bookmarkStart w:id="230" w:name="_Hlk65594565"/>
      <w:r>
        <w:rPr>
          <w:rFonts w:hint="eastAsia"/>
        </w:rPr>
        <w:t>持续推进排污许可证审核发放后的事后监管。</w:t>
      </w:r>
      <w:bookmarkEnd w:id="230"/>
      <w:r>
        <w:rPr>
          <w:rFonts w:hint="eastAsia"/>
        </w:rPr>
        <w:t>完善推进排污许可证审核发放工作，强化后续的监管，严格企业按照排污许可证要求排污，对于企业由于生产规模、工艺等发生变更造成的污染物排放发生变化的，要及时更新排污许可证。</w:t>
      </w:r>
    </w:p>
    <w:p w14:paraId="7D502116">
      <w:bookmarkStart w:id="231" w:name="_Hlk65594574"/>
      <w:r>
        <w:rPr>
          <w:rFonts w:hint="eastAsia"/>
        </w:rPr>
        <w:t>创新环境执法监管模式。</w:t>
      </w:r>
      <w:bookmarkEnd w:id="231"/>
      <w:r>
        <w:rPr>
          <w:rFonts w:hint="eastAsia"/>
        </w:rPr>
        <w:t>持续深化生态环境综合执法改革成效，配合健全生态环境保护综合行政执法体系，建立执法“正面清单”，统筹区、镇两级执法检查，避免重复执法。继续全面推行“双随机</w:t>
      </w:r>
      <w:r>
        <w:rPr>
          <w:rFonts w:hint="eastAsia"/>
          <w:lang w:eastAsia="zh-CN"/>
        </w:rPr>
        <w:t>、</w:t>
      </w:r>
      <w:r>
        <w:rPr>
          <w:rFonts w:hint="eastAsia"/>
        </w:rPr>
        <w:t>一公开”执法监管模式，</w:t>
      </w:r>
      <w:bookmarkStart w:id="232" w:name="_Hlk65594588"/>
      <w:r>
        <w:rPr>
          <w:rFonts w:hint="eastAsia"/>
        </w:rPr>
        <w:t>依托在线监控，遥感监测等科技手段，进行针对性、精确性、靶向性执法。持续配合跨部门、跨区域、跨流域联合执法检查。</w:t>
      </w:r>
      <w:bookmarkEnd w:id="232"/>
      <w:r>
        <w:rPr>
          <w:rFonts w:hint="eastAsia"/>
        </w:rPr>
        <w:t>严格审慎使用停产整治、限制生产等强制措施，做好依法执法。完善突发生态破坏、环境污染事件应急机制，加快提升应急处置能力。</w:t>
      </w:r>
    </w:p>
    <w:p w14:paraId="5F905FE8">
      <w:bookmarkStart w:id="233" w:name="_Hlk65594691"/>
      <w:r>
        <w:rPr>
          <w:rFonts w:hint="eastAsia"/>
        </w:rPr>
        <w:t>全面落实生态环境监测制度。构建完善陆水统筹、天地一体、上下协同、左右联动、信息共享的生态环境监测网络，实现生态状况、环境质量、污染源监测全覆盖。</w:t>
      </w:r>
      <w:bookmarkEnd w:id="233"/>
      <w:r>
        <w:rPr>
          <w:rFonts w:hint="eastAsia"/>
        </w:rPr>
        <w:t>完善生态环境监测技术体系，以手工监测、科技监测相结合，全面提高生态环境监测自动化、智能化、信息化水平。全面加强生态环境科技平台数据整合能力，提高环境分析评价、研判会商水平，全面加强环境质量监测预测预报预警。</w:t>
      </w:r>
    </w:p>
    <w:p w14:paraId="4EDB7866">
      <w:pPr>
        <w:rPr>
          <w:rFonts w:eastAsiaTheme="minorEastAsia"/>
          <w:sz w:val="21"/>
        </w:rPr>
      </w:pPr>
      <w:r>
        <w:rPr>
          <w:rFonts w:hint="eastAsia"/>
        </w:rPr>
        <w:t>争取各级政府加大经济政策支持力度。充分利用国家加大节能环保投入和京津冀协同发展的契机，积极争取中央环保财政资金和市级资金对生态环保相关项目的支持，对涉及民生和清洁生产的示范工程给予引导性资金支持。创新政府环保投融资模式，加大银政银企对接力度，引导银行向节能环保企业提供融资优惠，推进非贷款融资业务，推广信托、租赁、保理等融资模式，支持企业绿色项目采取私募债、集合债等方式直接融资。</w:t>
      </w:r>
    </w:p>
    <w:p w14:paraId="06512005">
      <w:pPr>
        <w:pStyle w:val="4"/>
      </w:pPr>
      <w:bookmarkStart w:id="234" w:name="_Toc25619"/>
      <w:bookmarkStart w:id="235" w:name="_Toc55464537"/>
      <w:bookmarkStart w:id="236" w:name="_Toc20058"/>
      <w:bookmarkStart w:id="237" w:name="_Toc9604"/>
      <w:r>
        <w:rPr>
          <w:rFonts w:hint="eastAsia"/>
        </w:rPr>
        <w:t>五、</w:t>
      </w:r>
      <w:bookmarkStart w:id="238" w:name="_Hlk65594802"/>
      <w:r>
        <w:rPr>
          <w:rFonts w:hint="eastAsia"/>
        </w:rPr>
        <w:t>强化生态环境保护市场引导</w:t>
      </w:r>
      <w:bookmarkEnd w:id="234"/>
      <w:bookmarkEnd w:id="235"/>
      <w:bookmarkEnd w:id="236"/>
      <w:bookmarkEnd w:id="237"/>
    </w:p>
    <w:bookmarkEnd w:id="238"/>
    <w:p w14:paraId="1F1451F4">
      <w:bookmarkStart w:id="239" w:name="_Hlk65594822"/>
      <w:r>
        <w:rPr>
          <w:rFonts w:hint="eastAsia"/>
        </w:rPr>
        <w:t>规范环境治理市场秩序。</w:t>
      </w:r>
      <w:bookmarkEnd w:id="239"/>
      <w:r>
        <w:rPr>
          <w:rFonts w:hint="eastAsia"/>
        </w:rPr>
        <w:t>深化“放管服”改革，</w:t>
      </w:r>
      <w:bookmarkStart w:id="240" w:name="_Hlk65594892"/>
      <w:r>
        <w:rPr>
          <w:rFonts w:hint="eastAsia"/>
        </w:rPr>
        <w:t>持续优化区域营商环境</w:t>
      </w:r>
      <w:bookmarkEnd w:id="240"/>
      <w:r>
        <w:rPr>
          <w:rFonts w:hint="eastAsia"/>
        </w:rPr>
        <w:t>，</w:t>
      </w:r>
      <w:bookmarkStart w:id="241" w:name="_Hlk65594906"/>
      <w:r>
        <w:rPr>
          <w:rFonts w:hint="eastAsia"/>
        </w:rPr>
        <w:t>平等对待各类环境治理市场主体，</w:t>
      </w:r>
      <w:bookmarkEnd w:id="241"/>
      <w:r>
        <w:rPr>
          <w:rFonts w:hint="eastAsia"/>
        </w:rPr>
        <w:t>引导各类资本参与环境治理投资、建设、运行。</w:t>
      </w:r>
      <w:bookmarkStart w:id="242" w:name="_Hlk65594912"/>
      <w:r>
        <w:rPr>
          <w:rFonts w:hint="eastAsia"/>
        </w:rPr>
        <w:t>利用第三方专业社会监测机构的监测设备和实验场所，建立外延实验室，开展部分环境监测业务，探索将部分自动监测监控设施和业务转向社会化运营管理</w:t>
      </w:r>
      <w:bookmarkEnd w:id="242"/>
      <w:r>
        <w:rPr>
          <w:rFonts w:hint="eastAsia"/>
        </w:rPr>
        <w:t>，区生态环境部门对社会监测机构开展质控考核并直接购买监测数据。起草印发相关配套规范性文件，加强对社会环境监测机构、环境监测设备运营维护机构的监管，规范社会化监测市场。规范市场秩序，减少恶性竞争，防治明显低于市场价格的恶意低价中标，建立对环评报告编制、环境检测服务、环境污染治理等企业的监管评估制度，健全惩戒、退出机制，加快形成公开透明、规范有序的环境治理市场环境。</w:t>
      </w:r>
    </w:p>
    <w:p w14:paraId="1ADEE442">
      <w:bookmarkStart w:id="243" w:name="_Hlk61622898"/>
      <w:bookmarkStart w:id="244" w:name="_Hlk60232793"/>
      <w:bookmarkStart w:id="245" w:name="_Hlk65594945"/>
      <w:r>
        <w:rPr>
          <w:rFonts w:hint="eastAsia"/>
        </w:rPr>
        <w:t>创新环境污染治理模式</w:t>
      </w:r>
      <w:bookmarkEnd w:id="243"/>
      <w:r>
        <w:rPr>
          <w:rFonts w:hint="eastAsia"/>
        </w:rPr>
        <w:t>。探索统一规划、统一监测、统一治理的一体化服务模式，强化系统治理，开展乡镇（街道）环境综合治理托管服务试点。</w:t>
      </w:r>
      <w:bookmarkEnd w:id="244"/>
      <w:bookmarkStart w:id="246" w:name="_Hlk60232813"/>
      <w:r>
        <w:rPr>
          <w:rFonts w:hint="eastAsia"/>
        </w:rPr>
        <w:t>继续推行环保管家服务</w:t>
      </w:r>
      <w:bookmarkEnd w:id="246"/>
      <w:r>
        <w:rPr>
          <w:rFonts w:hint="eastAsia"/>
        </w:rPr>
        <w:t>，目前第三方专业机构已涉及大气方面的环境保护服务，应逐步推动水、土壤等方面的生态环境第三方服务，加强推动</w:t>
      </w:r>
      <w:bookmarkStart w:id="247" w:name="_Hlk61622924"/>
      <w:r>
        <w:rPr>
          <w:rFonts w:hint="eastAsia"/>
        </w:rPr>
        <w:t>第三方专业机构</w:t>
      </w:r>
      <w:bookmarkEnd w:id="247"/>
      <w:r>
        <w:rPr>
          <w:rFonts w:hint="eastAsia"/>
        </w:rPr>
        <w:t>对企业的帮扶指导，提高企业污染治理水平。</w:t>
      </w:r>
      <w:bookmarkEnd w:id="245"/>
      <w:bookmarkStart w:id="248" w:name="_Hlk65594956"/>
      <w:r>
        <w:rPr>
          <w:rFonts w:hint="eastAsia"/>
        </w:rPr>
        <w:t>积极</w:t>
      </w:r>
      <w:bookmarkStart w:id="249" w:name="_Hlk60232824"/>
      <w:r>
        <w:rPr>
          <w:rFonts w:hint="eastAsia"/>
        </w:rPr>
        <w:t>探索健全企业精细化管控路径。鼓励采用“环境修复+开发建设”模式，治理工业污染场地，尝试开展E</w:t>
      </w:r>
      <w:r>
        <w:t>OD</w:t>
      </w:r>
      <w:r>
        <w:rPr>
          <w:rFonts w:hint="eastAsia"/>
        </w:rPr>
        <w:t>试点工作。</w:t>
      </w:r>
      <w:bookmarkEnd w:id="248"/>
      <w:bookmarkEnd w:id="249"/>
    </w:p>
    <w:p w14:paraId="372350DB">
      <w:bookmarkStart w:id="250" w:name="_Hlk65594974"/>
      <w:r>
        <w:rPr>
          <w:rFonts w:hint="eastAsia"/>
        </w:rPr>
        <w:t>健全环境治理企业信用体系。</w:t>
      </w:r>
      <w:bookmarkEnd w:id="250"/>
      <w:r>
        <w:rPr>
          <w:rFonts w:hint="eastAsia"/>
        </w:rPr>
        <w:t>落实企业诚信建设要求，建立环境治理政务失信记录，依托“信用中国”网站依法依规逐步公开。</w:t>
      </w:r>
      <w:bookmarkStart w:id="251" w:name="_Hlk65594985"/>
      <w:r>
        <w:rPr>
          <w:rFonts w:hint="eastAsia"/>
        </w:rPr>
        <w:t>配合完善企业环保信用评价制度，健全综合监管、联合惩戒机制，依据企业环保信用评价结果实行分级分类监管</w:t>
      </w:r>
      <w:bookmarkEnd w:id="251"/>
      <w:r>
        <w:rPr>
          <w:rFonts w:hint="eastAsia"/>
        </w:rPr>
        <w:t>，建立环境违法企业“黑名单”，将其违法信息记入信用记录，按照国家有关规定纳入全国信用信息共享平台，依法依规向社会公开并实行失信联合惩戒。</w:t>
      </w:r>
    </w:p>
    <w:p w14:paraId="68FBB0E4">
      <w:pPr>
        <w:pStyle w:val="4"/>
      </w:pPr>
      <w:bookmarkStart w:id="252" w:name="_Toc29775"/>
      <w:bookmarkStart w:id="253" w:name="_Toc19497"/>
      <w:bookmarkStart w:id="254" w:name="_Toc25912"/>
      <w:bookmarkStart w:id="255" w:name="_Toc55464538"/>
      <w:r>
        <w:rPr>
          <w:rFonts w:hint="eastAsia"/>
        </w:rPr>
        <w:t>六、</w:t>
      </w:r>
      <w:bookmarkStart w:id="256" w:name="_Hlk60233241"/>
      <w:r>
        <w:rPr>
          <w:rFonts w:hint="eastAsia"/>
        </w:rPr>
        <w:t>完善生态环境保护法制建设</w:t>
      </w:r>
      <w:bookmarkEnd w:id="252"/>
      <w:bookmarkEnd w:id="253"/>
      <w:bookmarkEnd w:id="254"/>
      <w:bookmarkEnd w:id="255"/>
      <w:bookmarkEnd w:id="256"/>
    </w:p>
    <w:p w14:paraId="7DC0DD6D">
      <w:bookmarkStart w:id="257" w:name="_Hlk65595042"/>
      <w:bookmarkStart w:id="258" w:name="_Hlk60233305"/>
      <w:r>
        <w:rPr>
          <w:rFonts w:hint="eastAsia"/>
        </w:rPr>
        <w:t>强化生态环境司法支持。按照全面依法治国、依法治区工作要求，全面落实国家、全市各项生态环境保护法律法规，推动生态环境治理法制化进程。</w:t>
      </w:r>
      <w:bookmarkEnd w:id="257"/>
      <w:r>
        <w:rPr>
          <w:rFonts w:hint="eastAsia"/>
        </w:rPr>
        <w:t>针对生态环境损害等案件，加强生态环境局与司法、公安、检察、审判机关的沟通协作，建立联合工作机制，提高查处侦办生态环境违法犯罪行为的效率。</w:t>
      </w:r>
    </w:p>
    <w:bookmarkEnd w:id="258"/>
    <w:p w14:paraId="6659538A">
      <w:bookmarkStart w:id="259" w:name="_Hlk61622945"/>
      <w:bookmarkStart w:id="260" w:name="_Hlk65595068"/>
      <w:r>
        <w:rPr>
          <w:rFonts w:hint="eastAsia"/>
        </w:rPr>
        <w:t>逐步完善生态损害赔偿机制</w:t>
      </w:r>
      <w:bookmarkEnd w:id="259"/>
      <w:r>
        <w:rPr>
          <w:rFonts w:hint="eastAsia"/>
        </w:rPr>
        <w:t>。</w:t>
      </w:r>
      <w:bookmarkEnd w:id="260"/>
      <w:r>
        <w:rPr>
          <w:rFonts w:hint="eastAsia"/>
        </w:rPr>
        <w:t>按照“保护者得益，受益者补偿，损害者赔偿”的原则，坚持并完善生态补偿的方式、范围，生态损害鉴定、诉讼、评估等技术流程。完善生态补偿长效机制，</w:t>
      </w:r>
      <w:bookmarkStart w:id="261" w:name="_Hlk65595100"/>
      <w:r>
        <w:rPr>
          <w:rFonts w:hint="eastAsia"/>
        </w:rPr>
        <w:t>努力将现有的生态问题及时控制、潜在的生态危害理性规避、良好的生态环境长效保护。</w:t>
      </w:r>
      <w:bookmarkStart w:id="262" w:name="_Hlk61622996"/>
      <w:r>
        <w:rPr>
          <w:rFonts w:hint="eastAsia"/>
        </w:rPr>
        <w:t>在重金属污染行业、危险废物污染行业等环境高风险领域尝试推行环境污染责任保险</w:t>
      </w:r>
      <w:bookmarkEnd w:id="262"/>
      <w:r>
        <w:rPr>
          <w:rFonts w:hint="eastAsia"/>
        </w:rPr>
        <w:t>，构建保障齐全、运行良好的污染责任保险市场机制，有效防范环境风险，降低环境污染损害，促进环境质量改善。</w:t>
      </w:r>
      <w:bookmarkEnd w:id="261"/>
    </w:p>
    <w:p w14:paraId="78BDB4F2">
      <w:r>
        <w:rPr>
          <w:rFonts w:hint="eastAsia"/>
        </w:rPr>
        <w:t>加强执法普法。生态环境部门要按照“谁执法、谁普法”的原则，以现场检查环节为重点，以推进说理式文书为突破，推行全程说理式执法。利用面对面陈述申辩、听证等程序，加强对行政相对人的普法。开展“送法入企”活动，与企业集团、行业协会联合举办环境守法培训，发放环境普法读本。生态环境部门重点要针对中小企业进行执法帮扶，每年至少开展一次普法培训。对区域典型行业或存在的普遍性问题组织专家集中把脉会诊，及时发现问题苗头，帮助企业消除违法隐患，降低违法风险，营造良好的执法守法环境。</w:t>
      </w:r>
    </w:p>
    <w:p w14:paraId="4F620C82">
      <w:pPr>
        <w:pStyle w:val="4"/>
      </w:pPr>
      <w:bookmarkStart w:id="263" w:name="_Toc805"/>
      <w:bookmarkStart w:id="264" w:name="_Toc55464539"/>
      <w:bookmarkStart w:id="265" w:name="_Toc27391"/>
      <w:bookmarkStart w:id="266" w:name="_Toc3077"/>
      <w:r>
        <w:rPr>
          <w:rFonts w:hint="eastAsia"/>
        </w:rPr>
        <w:t>七</w:t>
      </w:r>
      <w:bookmarkStart w:id="267" w:name="_Hlk65595152"/>
      <w:r>
        <w:rPr>
          <w:rFonts w:hint="eastAsia"/>
        </w:rPr>
        <w:t>、注重环境保护技术与资金支撑</w:t>
      </w:r>
      <w:bookmarkEnd w:id="263"/>
      <w:bookmarkEnd w:id="264"/>
      <w:bookmarkEnd w:id="265"/>
      <w:bookmarkEnd w:id="266"/>
      <w:bookmarkEnd w:id="267"/>
    </w:p>
    <w:p w14:paraId="70B398CA">
      <w:bookmarkStart w:id="268" w:name="_Hlk65595167"/>
      <w:r>
        <w:rPr>
          <w:rFonts w:hint="eastAsia"/>
        </w:rPr>
        <w:t>强化科学治污、精准治污能力水平。充分发挥“天眼”系统作用，</w:t>
      </w:r>
      <w:r>
        <w:rPr>
          <w:rFonts w:hint="eastAsia" w:hAnsi="仿宋"/>
        </w:rPr>
        <w:t>工况用电在线监管系统、大气污染多维度综合分析平台（MASAP）、热点网格、无人机等科技手段，</w:t>
      </w:r>
      <w:r>
        <w:rPr>
          <w:rFonts w:hint="eastAsia"/>
        </w:rPr>
        <w:t>不断优化升级“天眼”系统，强化系统资源整合力度</w:t>
      </w:r>
      <w:bookmarkEnd w:id="268"/>
      <w:r>
        <w:rPr>
          <w:rFonts w:hint="eastAsia"/>
        </w:rPr>
        <w:t>，</w:t>
      </w:r>
      <w:r>
        <w:rPr>
          <w:rFonts w:hint="eastAsia" w:hAnsi="仿宋"/>
        </w:rPr>
        <w:t>加快形成“发现问题—及时调度—快速处置”的全过程治理链条，</w:t>
      </w:r>
      <w:bookmarkStart w:id="269" w:name="_Hlk65595203"/>
      <w:r>
        <w:rPr>
          <w:rFonts w:hint="eastAsia"/>
        </w:rPr>
        <w:t>统筹运用各类生态环境监测、监控平台。</w:t>
      </w:r>
      <w:bookmarkEnd w:id="269"/>
      <w:r>
        <w:rPr>
          <w:rFonts w:hint="eastAsia"/>
        </w:rPr>
        <w:t>加快推动区块链、大数据、云计算、人工智能、物联网等新一代数字化技术在污染防治、执法监管、环境监测领域的应用。</w:t>
      </w:r>
      <w:r>
        <w:rPr>
          <w:rFonts w:hint="eastAsia" w:hAnsi="仿宋"/>
        </w:rPr>
        <w:t>提升监控预警能力和科学精准执法水平，</w:t>
      </w:r>
      <w:r>
        <w:rPr>
          <w:rFonts w:hint="eastAsia"/>
        </w:rPr>
        <w:t>强化系统资源整合力度，统筹运用各类生态环境监测、监控平台。</w:t>
      </w:r>
    </w:p>
    <w:p w14:paraId="050E40BC">
      <w:bookmarkStart w:id="270" w:name="_Hlk65595229"/>
      <w:bookmarkStart w:id="271" w:name="_Hlk61621859"/>
      <w:r>
        <w:rPr>
          <w:rFonts w:hint="eastAsia"/>
        </w:rPr>
        <w:t>加大生态环境保护项目资金支持力度，</w:t>
      </w:r>
      <w:bookmarkEnd w:id="270"/>
      <w:r>
        <w:rPr>
          <w:rFonts w:hint="eastAsia"/>
        </w:rPr>
        <w:t>以项目建设带动环境治理，围绕环境质量改善和提标、主要污染物减排、大气污染</w:t>
      </w:r>
      <w:r>
        <w:rPr>
          <w:rFonts w:hint="eastAsia"/>
          <w:lang w:val="en-US" w:eastAsia="zh-CN"/>
        </w:rPr>
        <w:t>防治</w:t>
      </w:r>
      <w:bookmarkStart w:id="317" w:name="_GoBack"/>
      <w:bookmarkEnd w:id="317"/>
      <w:r>
        <w:rPr>
          <w:rFonts w:hint="eastAsia"/>
        </w:rPr>
        <w:t>攻坚战、生态修复与环境保护、重点领域环境风险防范、农村环境清洁等重点领域，推动有重大示范带动效益、操作性强的重点工程建设，有力支撑各项环保规划目标任务实现。</w:t>
      </w:r>
      <w:bookmarkEnd w:id="271"/>
      <w:r>
        <w:rPr>
          <w:rFonts w:hint="eastAsia"/>
        </w:rPr>
        <w:t>在环保治理工程中出台更多有利政策，推进“PPP”、环境污染第三方治理模式，撬动民间资本投入生态环保领域，</w:t>
      </w:r>
      <w:bookmarkStart w:id="272" w:name="_Hlk65595238"/>
      <w:r>
        <w:rPr>
          <w:rFonts w:hint="eastAsia"/>
        </w:rPr>
        <w:t>建立多渠道、多层次、多元化的环保投融资体系。</w:t>
      </w:r>
    </w:p>
    <w:bookmarkEnd w:id="272"/>
    <w:p w14:paraId="3E3CCB01">
      <w:pPr>
        <w:pStyle w:val="2"/>
        <w:spacing w:before="156" w:after="156"/>
      </w:pPr>
      <w:bookmarkStart w:id="273" w:name="_Toc11849"/>
      <w:bookmarkStart w:id="274" w:name="_Toc4271"/>
      <w:bookmarkStart w:id="275" w:name="_Toc72504267"/>
      <w:bookmarkStart w:id="276" w:name="_Toc55464540"/>
      <w:bookmarkStart w:id="277" w:name="_Toc10356"/>
      <w:bookmarkStart w:id="278" w:name="_Hlk59108078"/>
      <w:r>
        <w:rPr>
          <w:rFonts w:hint="eastAsia"/>
        </w:rPr>
        <w:t>第五章  规划重点任务清单</w:t>
      </w:r>
      <w:bookmarkEnd w:id="273"/>
      <w:bookmarkEnd w:id="274"/>
      <w:bookmarkEnd w:id="275"/>
      <w:bookmarkEnd w:id="276"/>
      <w:bookmarkEnd w:id="277"/>
    </w:p>
    <w:p w14:paraId="68DEA53C">
      <w:r>
        <w:rPr>
          <w:rFonts w:hint="eastAsia"/>
        </w:rPr>
        <w:t>为建设“美丽北辰”，根据北辰区生态环境规划问题分析和目标指标，坚持问题导向、目标导向和结果导向，以清新空气、水体清洁、土壤安全、生态良好和人居整洁为重点，结合绿色发展和体制机制，整体布局“5+1+1”类工程，设计北辰区重点任务清单，相关部门落实重点政策和重大项目。</w:t>
      </w:r>
    </w:p>
    <w:p w14:paraId="2FF59DA8">
      <w:pPr>
        <w:pStyle w:val="3"/>
        <w:spacing w:before="156" w:after="156"/>
      </w:pPr>
      <w:bookmarkStart w:id="279" w:name="_Toc72504268"/>
      <w:r>
        <w:rPr>
          <w:rFonts w:hint="eastAsia"/>
        </w:rPr>
        <w:t>第一节 重点工程</w:t>
      </w:r>
      <w:bookmarkEnd w:id="279"/>
    </w:p>
    <w:p w14:paraId="44A85B5B">
      <w:pPr>
        <w:pStyle w:val="4"/>
        <w:rPr>
          <w:rFonts w:eastAsiaTheme="minorEastAsia"/>
          <w:sz w:val="21"/>
        </w:rPr>
      </w:pPr>
      <w:r>
        <w:rPr>
          <w:rFonts w:hint="eastAsia"/>
        </w:rPr>
        <w:t>一、绿色发展重点工程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27E47FD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684E546D">
            <w:pPr>
              <w:pStyle w:val="11"/>
              <w:ind w:firstLine="560"/>
            </w:pPr>
            <w:r>
              <w:t>1</w:t>
            </w:r>
            <w:r>
              <w:rPr>
                <w:rFonts w:hint="eastAsia"/>
              </w:rPr>
              <w:t>、产业结构调整重点工程</w:t>
            </w:r>
          </w:p>
          <w:p w14:paraId="637E0286">
            <w:pPr>
              <w:pStyle w:val="11"/>
              <w:ind w:firstLine="560"/>
              <w:rPr>
                <w:rFonts w:eastAsiaTheme="minorEastAsia"/>
                <w:sz w:val="21"/>
              </w:rPr>
            </w:pPr>
            <w:r>
              <w:rPr>
                <w:rFonts w:hint="eastAsia"/>
              </w:rPr>
              <w:t>积极推进北辰区产业结构调整，建立违法违规企业长效管理机制，巩固提升整改成果。按照国家和天津市安排部署，综合标准依法依规做好重点行业转型、搬迁、改造或退出等工作，淘汰落后生产工艺技术，对涉V</w:t>
            </w:r>
            <w:r>
              <w:t>OC</w:t>
            </w:r>
            <w:r>
              <w:rPr>
                <w:rFonts w:hint="eastAsia"/>
              </w:rPr>
              <w:t>s企业鼓励采用源头替代的方式降低V</w:t>
            </w:r>
            <w:r>
              <w:t>OC</w:t>
            </w:r>
            <w:r>
              <w:rPr>
                <w:rFonts w:hint="eastAsia"/>
              </w:rPr>
              <w:t>s排放。积极构建绿色制造体系，申报创建绿色工厂和绿色制造系统解决方案供应商。</w:t>
            </w:r>
          </w:p>
          <w:p w14:paraId="2A48E1B7">
            <w:pPr>
              <w:pStyle w:val="11"/>
              <w:ind w:firstLine="560"/>
            </w:pPr>
            <w:r>
              <w:t>2</w:t>
            </w:r>
            <w:r>
              <w:rPr>
                <w:rFonts w:hint="eastAsia"/>
              </w:rPr>
              <w:t>、能源结构调整重点工程</w:t>
            </w:r>
          </w:p>
          <w:p w14:paraId="601B7D11">
            <w:pPr>
              <w:pStyle w:val="11"/>
              <w:ind w:firstLine="560"/>
              <w:rPr>
                <w:rFonts w:eastAsiaTheme="minorEastAsia"/>
                <w:sz w:val="21"/>
              </w:rPr>
            </w:pPr>
            <w:r>
              <w:rPr>
                <w:rFonts w:hint="eastAsia"/>
              </w:rPr>
              <w:t>积极推进北辰区能源结构调整，巩固全区居民散煤清洁能源替代工程成效。进行燃煤锅炉改燃气工程，推动天津银辰热力有限责任公司、天津万源供热有限公司完成并网工程和天津淀发供热中心完成燃煤锅炉改燃气工程。协调推动天然气管道建设。进行输电通道建设工程，提高外受电能力。</w:t>
            </w:r>
          </w:p>
          <w:p w14:paraId="3E9EB783">
            <w:pPr>
              <w:pStyle w:val="11"/>
              <w:ind w:firstLine="560"/>
            </w:pPr>
            <w:r>
              <w:t>3</w:t>
            </w:r>
            <w:r>
              <w:rPr>
                <w:rFonts w:hint="eastAsia"/>
              </w:rPr>
              <w:t>、空间结构调整重点工程</w:t>
            </w:r>
          </w:p>
          <w:p w14:paraId="009FF2A1">
            <w:pPr>
              <w:pStyle w:val="11"/>
              <w:ind w:firstLine="560"/>
              <w:rPr>
                <w:rFonts w:eastAsiaTheme="minorEastAsia"/>
                <w:sz w:val="21"/>
              </w:rPr>
            </w:pPr>
            <w:r>
              <w:rPr>
                <w:rFonts w:hint="eastAsia"/>
              </w:rPr>
              <w:t>积极推进北辰区空间结构调整，建设新农村。推进区域园区整合工程，通过“一区多园”等模式，对工业园区进行空间整合。推进特色农业产业园建设工程，加快推进现代农业产业园、高端渔业产业园等特色产业集群发展。</w:t>
            </w:r>
          </w:p>
          <w:p w14:paraId="0E1452D4">
            <w:pPr>
              <w:pStyle w:val="11"/>
              <w:ind w:firstLine="560"/>
            </w:pPr>
            <w:r>
              <w:t>4</w:t>
            </w:r>
            <w:r>
              <w:rPr>
                <w:rFonts w:hint="eastAsia"/>
              </w:rPr>
              <w:t>、减污降碳重点工程</w:t>
            </w:r>
          </w:p>
          <w:p w14:paraId="426919E5">
            <w:pPr>
              <w:pStyle w:val="11"/>
              <w:ind w:firstLine="560"/>
            </w:pPr>
            <w:r>
              <w:rPr>
                <w:rFonts w:hint="eastAsia"/>
              </w:rPr>
              <w:t>做好碳达峰、碳中和工作，探索构建碳交易市场，建立低碳经济体系，着力培育绿色低碳新兴产业。推动大幅度提高能源效率，大幅度地改善能源结构，大幅度地提升非化石能源占比，促进能源清洁化、低碳化转型。</w:t>
            </w:r>
          </w:p>
          <w:p w14:paraId="274950B0">
            <w:pPr>
              <w:pStyle w:val="11"/>
              <w:ind w:firstLine="560"/>
            </w:pPr>
            <w:r>
              <w:rPr>
                <w:rFonts w:hint="eastAsia"/>
              </w:rPr>
              <w:t>5、低碳绿色生活重点工程</w:t>
            </w:r>
          </w:p>
          <w:p w14:paraId="70EF9443">
            <w:pPr>
              <w:pStyle w:val="11"/>
              <w:ind w:firstLine="560"/>
              <w:rPr>
                <w:rFonts w:hAnsi="仿宋_GB2312" w:cs="仿宋_GB2312"/>
              </w:rPr>
            </w:pPr>
            <w:r>
              <w:rPr>
                <w:rFonts w:hint="eastAsia"/>
              </w:rPr>
              <w:t>积极推进北辰区低碳绿色生活，推进北辰区通往市区以及城区和乡村的公共交通运输能力建设，加快充电桩等新能源汽车配套基础设施建设，建设绿色学校、机关与企业，加强资源循环利用的企业产业链建设。</w:t>
            </w:r>
          </w:p>
        </w:tc>
      </w:tr>
    </w:tbl>
    <w:p w14:paraId="78DA6C52">
      <w:pPr>
        <w:pStyle w:val="4"/>
        <w:rPr>
          <w:rFonts w:eastAsiaTheme="minorEastAsia"/>
          <w:sz w:val="21"/>
        </w:rPr>
      </w:pPr>
      <w:r>
        <w:rPr>
          <w:rFonts w:hint="eastAsia"/>
        </w:rPr>
        <w:t>二、清新空气重点工程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6CD16C8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2DBD67D2">
            <w:pPr>
              <w:pStyle w:val="11"/>
              <w:ind w:firstLine="560"/>
            </w:pPr>
            <w:r>
              <w:t>1</w:t>
            </w:r>
            <w:r>
              <w:rPr>
                <w:rFonts w:hint="eastAsia"/>
              </w:rPr>
              <w:t>、大气污染物减排工程</w:t>
            </w:r>
          </w:p>
          <w:p w14:paraId="1E3B8BEB">
            <w:pPr>
              <w:pStyle w:val="11"/>
              <w:ind w:firstLine="560"/>
              <w:rPr>
                <w:rFonts w:eastAsiaTheme="minorEastAsia"/>
                <w:sz w:val="21"/>
              </w:rPr>
            </w:pPr>
            <w:r>
              <w:rPr>
                <w:rFonts w:hint="eastAsia"/>
              </w:rPr>
              <w:t>积极推进大气污染物总量减排工程措施，对北辰区化工、水泥行业重点企业开展烟气治理、热电联产工程建设、低氮燃烧技术改造、超低排放及节能改造等工程，提高脱硫脱氮除尘技术水平，减少主要污染物排放。对印刷、包装、喷涂行业重点企业开展</w:t>
            </w:r>
            <w:r>
              <w:t>RTO</w:t>
            </w:r>
            <w:r>
              <w:rPr>
                <w:rFonts w:hint="eastAsia"/>
              </w:rPr>
              <w:t>、</w:t>
            </w:r>
            <w:r>
              <w:t>RCO</w:t>
            </w:r>
            <w:r>
              <w:rPr>
                <w:rFonts w:hint="eastAsia"/>
              </w:rPr>
              <w:t>治理工艺改造工程和低VOCs原辅料替代。对建材、有色、喷涂等重点行业开展无组织排放排查，进行无组织排放改造建设工程。对北辰区内及过境的重型货车、柴油车设定道路运输规划，调整路线与时间。</w:t>
            </w:r>
          </w:p>
          <w:p w14:paraId="0B7D5247">
            <w:pPr>
              <w:pStyle w:val="11"/>
              <w:ind w:firstLine="560"/>
            </w:pPr>
            <w:r>
              <w:t>2</w:t>
            </w:r>
            <w:r>
              <w:rPr>
                <w:rFonts w:hint="eastAsia"/>
              </w:rPr>
              <w:t>、大气环境综合治理工程</w:t>
            </w:r>
          </w:p>
          <w:p w14:paraId="7EA2FE3C">
            <w:pPr>
              <w:pStyle w:val="11"/>
              <w:ind w:firstLine="560"/>
              <w:rPr>
                <w:rFonts w:eastAsiaTheme="minorEastAsia"/>
                <w:sz w:val="21"/>
              </w:rPr>
            </w:pPr>
            <w:r>
              <w:rPr>
                <w:rFonts w:hint="eastAsia"/>
              </w:rPr>
              <w:t>采取综合措施改善北辰区大气环境质量，包括城区内燃煤锅</w:t>
            </w:r>
            <w:r>
              <w:rPr>
                <w:rFonts w:hint="eastAsia"/>
                <w:szCs w:val="21"/>
              </w:rPr>
              <w:t>炉并网工程</w:t>
            </w:r>
            <w:r>
              <w:rPr>
                <w:rFonts w:hint="eastAsia"/>
              </w:rPr>
              <w:t>、低氮改造工程、道路与工地扬尘污染治理工程、排污企业搬迁、餐饮服务行业油烟治理、加油站等油气回收项目等。科学确定PM</w:t>
            </w:r>
            <w:r>
              <w:rPr>
                <w:rFonts w:hint="eastAsia"/>
                <w:vertAlign w:val="subscript"/>
              </w:rPr>
              <w:t>2.5</w:t>
            </w:r>
            <w:r>
              <w:rPr>
                <w:rFonts w:hint="eastAsia"/>
              </w:rPr>
              <w:t>和O</w:t>
            </w:r>
            <w:r>
              <w:rPr>
                <w:rFonts w:hint="eastAsia"/>
                <w:vertAlign w:val="subscript"/>
              </w:rPr>
              <w:t>3</w:t>
            </w:r>
            <w:r>
              <w:rPr>
                <w:rFonts w:hint="eastAsia"/>
              </w:rPr>
              <w:t>减排目标和比例，并对现有重大减排工程进行排序，科学削减NOx、VOCs排放量。</w:t>
            </w:r>
          </w:p>
          <w:p w14:paraId="497AC252">
            <w:pPr>
              <w:pStyle w:val="11"/>
              <w:ind w:firstLine="560"/>
              <w:rPr>
                <w:szCs w:val="21"/>
              </w:rPr>
            </w:pPr>
            <w:r>
              <w:t>3</w:t>
            </w:r>
            <w:r>
              <w:rPr>
                <w:rFonts w:hint="eastAsia"/>
              </w:rPr>
              <w:t>、大气污染溯源、监测与精细化管理工程</w:t>
            </w:r>
          </w:p>
          <w:p w14:paraId="612EAE08">
            <w:pPr>
              <w:pStyle w:val="11"/>
              <w:ind w:firstLine="560"/>
              <w:rPr>
                <w:rFonts w:hAnsi="仿宋_GB2312" w:cs="仿宋_GB2312" w:eastAsiaTheme="minorEastAsia"/>
                <w:sz w:val="21"/>
                <w:szCs w:val="34"/>
              </w:rPr>
            </w:pPr>
            <w:r>
              <w:rPr>
                <w:rFonts w:hint="eastAsia"/>
              </w:rPr>
              <w:t>继续推进北辰区重点行业企业在线监测系统平台建设，加大在线监测设备安装力度，利用阶梯式垂直径向监测技术的大气精准监测溯源方法，通过移动大气监测车，精准大气污染溯源。采用创新型“环保管家”服务，即“政府管家</w:t>
            </w:r>
            <w:r>
              <w:t>+</w:t>
            </w:r>
            <w:r>
              <w:rPr>
                <w:rFonts w:hint="eastAsia"/>
              </w:rPr>
              <w:t>总设计师”模式，对北辰区工业园区企业现有及新增各类在线监测平台进行整合，形成工业园区统一实施、统一治理、统一监测的一体化精细化管理模式。</w:t>
            </w:r>
          </w:p>
        </w:tc>
      </w:tr>
    </w:tbl>
    <w:p w14:paraId="322D9982">
      <w:pPr>
        <w:pStyle w:val="4"/>
        <w:rPr>
          <w:rFonts w:eastAsiaTheme="minorEastAsia"/>
          <w:sz w:val="21"/>
        </w:rPr>
      </w:pPr>
      <w:r>
        <w:rPr>
          <w:rFonts w:hint="eastAsia"/>
        </w:rPr>
        <w:t>三、水体洁净重点工程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0A1C0E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6D1EE63D">
            <w:pPr>
              <w:pStyle w:val="11"/>
              <w:ind w:firstLine="560"/>
            </w:pPr>
            <w:r>
              <w:t>1</w:t>
            </w:r>
            <w:r>
              <w:rPr>
                <w:rFonts w:hint="eastAsia"/>
              </w:rPr>
              <w:t>、水污染防治工程</w:t>
            </w:r>
          </w:p>
          <w:p w14:paraId="6E2BE1AB">
            <w:pPr>
              <w:pStyle w:val="11"/>
              <w:ind w:firstLine="560"/>
            </w:pPr>
            <w:r>
              <w:rPr>
                <w:rFonts w:hint="eastAsia"/>
              </w:rPr>
              <w:t>城镇污水处理厂打捆项目，北辰区辖6个街道、9个镇内配套管网建设项目。建成北部新区污水处理厂。到2025年底，全区污水处理规模达到50万吨/日。实施北辰区西部地区水环境综合治理工程，对6条河渠清淤10.33公里，新建4座灌溉泵站。推动海绵城市建设工程，修建雨水泵站和处理设施，强化雨水收集和处置。开展重点片区雨污混接点位及漏损排查整治。</w:t>
            </w:r>
          </w:p>
          <w:p w14:paraId="403EB75B">
            <w:pPr>
              <w:pStyle w:val="11"/>
              <w:ind w:firstLine="560"/>
              <w:rPr>
                <w:szCs w:val="21"/>
              </w:rPr>
            </w:pPr>
            <w:r>
              <w:t>2</w:t>
            </w:r>
            <w:r>
              <w:rPr>
                <w:rFonts w:hint="eastAsia"/>
              </w:rPr>
              <w:t>、城镇集中式饮用水源地环境保护工程</w:t>
            </w:r>
          </w:p>
          <w:p w14:paraId="731791FA">
            <w:pPr>
              <w:pStyle w:val="11"/>
              <w:ind w:firstLine="560"/>
            </w:pPr>
            <w:r>
              <w:rPr>
                <w:rFonts w:hint="eastAsia"/>
              </w:rPr>
              <w:t>对北辰区引滦水源疏水河道和南水北调中线集中式饮用水源地开展环境保护基础设施建设及水源地周边环境整治工程，包括生态修复、湿地建设、河道缓冲带建设等。</w:t>
            </w:r>
          </w:p>
          <w:p w14:paraId="30BBE741">
            <w:pPr>
              <w:pStyle w:val="11"/>
              <w:ind w:firstLine="560"/>
            </w:pPr>
            <w:r>
              <w:t>3</w:t>
            </w:r>
            <w:r>
              <w:rPr>
                <w:rFonts w:hint="eastAsia"/>
              </w:rPr>
              <w:t>、水环境预警溯源、监测与精细化管理工程</w:t>
            </w:r>
          </w:p>
          <w:p w14:paraId="7456D26B">
            <w:pPr>
              <w:pStyle w:val="11"/>
              <w:ind w:firstLine="560"/>
              <w:rPr>
                <w:rFonts w:hAnsi="仿宋_GB2312" w:cs="仿宋_GB2312" w:eastAsiaTheme="minorEastAsia"/>
                <w:sz w:val="21"/>
                <w:szCs w:val="34"/>
              </w:rPr>
            </w:pPr>
            <w:r>
              <w:rPr>
                <w:rFonts w:hint="eastAsia"/>
              </w:rPr>
              <w:t>对北辰区主要流域开展流域水污染快速预警溯源平台建设，结合水质水纹对比快速预警溯源技术，增建地表水水质自动监测站。充分利用高科技环保工程船流动实时监测科技手段，及时推送水质数据，污染源科学分析精准溯源，进一步提高预警反应速度。对北辰区工业集聚区污水处理厂、城镇污水处理厂展开水污染物快速溯源平台建设，明确污染物来源，借助奖惩制度，强化执法监督。</w:t>
            </w:r>
          </w:p>
        </w:tc>
      </w:tr>
    </w:tbl>
    <w:p w14:paraId="4FAF3EA1">
      <w:pPr>
        <w:pStyle w:val="4"/>
        <w:rPr>
          <w:rFonts w:eastAsiaTheme="minorEastAsia"/>
          <w:sz w:val="21"/>
        </w:rPr>
      </w:pPr>
      <w:r>
        <w:rPr>
          <w:rFonts w:hint="eastAsia"/>
        </w:rPr>
        <w:t>四、土壤安全重点工程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517528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431D55D1">
            <w:pPr>
              <w:pStyle w:val="11"/>
              <w:ind w:firstLine="560"/>
            </w:pPr>
            <w:r>
              <w:t>1</w:t>
            </w:r>
            <w:r>
              <w:rPr>
                <w:rFonts w:hint="eastAsia"/>
              </w:rPr>
              <w:t>、土壤环境基础数据调查</w:t>
            </w:r>
          </w:p>
          <w:p w14:paraId="4FD311D0">
            <w:pPr>
              <w:pStyle w:val="11"/>
              <w:ind w:firstLine="560"/>
              <w:rPr>
                <w:rFonts w:eastAsiaTheme="minorEastAsia"/>
                <w:sz w:val="21"/>
              </w:rPr>
            </w:pPr>
            <w:r>
              <w:rPr>
                <w:rFonts w:hint="eastAsia"/>
              </w:rPr>
              <w:t>为夯实土壤环境保护工作基础，开展北辰区土壤污染现状高密度调查工程，对饮用水源保护区、基本农田、重要农产品产地等区域的土壤进行加密调查，按全市统一规划，逐步开展土壤环境监测点位布设工作，设立土壤环境保护优先区。对农田实施风险评估与安全性划分，绿色利用农用地，做好农用地土壤环境保护工程。</w:t>
            </w:r>
          </w:p>
          <w:p w14:paraId="16BFD6E8">
            <w:pPr>
              <w:pStyle w:val="11"/>
              <w:ind w:firstLine="560"/>
            </w:pPr>
            <w:r>
              <w:t>2</w:t>
            </w:r>
            <w:r>
              <w:rPr>
                <w:rFonts w:hint="eastAsia"/>
              </w:rPr>
              <w:t>、土壤污染综合防治工程</w:t>
            </w:r>
          </w:p>
          <w:p w14:paraId="4E574861">
            <w:pPr>
              <w:pStyle w:val="11"/>
              <w:ind w:firstLine="560"/>
              <w:rPr>
                <w:rFonts w:eastAsiaTheme="minorEastAsia"/>
                <w:sz w:val="21"/>
              </w:rPr>
            </w:pPr>
            <w:r>
              <w:rPr>
                <w:rFonts w:hint="eastAsia"/>
              </w:rPr>
              <w:t>采取综合措施改善北辰区土壤环境质量，推进现有排放重金属、持久性有机污染物的工业企业的清洁生产改造工程，严格工业固体废弃物贮存场所及危废堆存场所、污水处理厂等集中治污设施及周边土壤环境监管，开展土壤治理与生态恢复工程。</w:t>
            </w:r>
          </w:p>
          <w:p w14:paraId="140E4C98">
            <w:pPr>
              <w:pStyle w:val="11"/>
              <w:ind w:firstLine="560"/>
            </w:pPr>
            <w:r>
              <w:t>3</w:t>
            </w:r>
            <w:r>
              <w:rPr>
                <w:rFonts w:hint="eastAsia"/>
              </w:rPr>
              <w:t>、固体废物综合利用工程</w:t>
            </w:r>
          </w:p>
          <w:p w14:paraId="07A8FD57">
            <w:pPr>
              <w:pStyle w:val="11"/>
              <w:ind w:firstLine="560"/>
              <w:rPr>
                <w:rFonts w:eastAsiaTheme="minorEastAsia"/>
                <w:sz w:val="21"/>
              </w:rPr>
            </w:pPr>
            <w:r>
              <w:rPr>
                <w:rFonts w:hint="eastAsia"/>
              </w:rPr>
              <w:t>建设垃圾收集系统，建设乡镇小型垃圾综合分选利用项目。开展北辰区餐厨垃圾处置项目建设。统筹规划垃圾焚烧发电项目，设立垃圾焚烧飞灰处理处置方法的科研项目，为垃圾焚烧发电项目提供科技支撑。</w:t>
            </w:r>
          </w:p>
          <w:p w14:paraId="5F1680F1">
            <w:pPr>
              <w:pStyle w:val="11"/>
              <w:ind w:firstLine="560"/>
            </w:pPr>
            <w:r>
              <w:t>4</w:t>
            </w:r>
            <w:r>
              <w:rPr>
                <w:rFonts w:hint="eastAsia"/>
              </w:rPr>
              <w:t>、危险废物集中处置工程</w:t>
            </w:r>
          </w:p>
          <w:p w14:paraId="447B062F">
            <w:pPr>
              <w:pStyle w:val="11"/>
              <w:ind w:firstLine="560"/>
              <w:rPr>
                <w:rFonts w:eastAsiaTheme="minorEastAsia"/>
                <w:sz w:val="21"/>
              </w:rPr>
            </w:pPr>
            <w:r>
              <w:rPr>
                <w:rFonts w:hint="eastAsia"/>
              </w:rPr>
              <w:t>鼓励相关企业建设危险废物中转站，探索分行业、领域危险废物收集、转运、称重、处置等一体化监管模式。建设医疗废物处置场及配套收运系统，接纳并处理各乡镇医疗废物。</w:t>
            </w:r>
          </w:p>
          <w:p w14:paraId="73A6CC73">
            <w:pPr>
              <w:pStyle w:val="11"/>
              <w:ind w:firstLine="560"/>
            </w:pPr>
            <w:r>
              <w:t>5</w:t>
            </w:r>
            <w:r>
              <w:rPr>
                <w:rFonts w:hint="eastAsia"/>
              </w:rPr>
              <w:t>、加强地下水防治</w:t>
            </w:r>
          </w:p>
          <w:p w14:paraId="4D1A4E38">
            <w:pPr>
              <w:pStyle w:val="11"/>
              <w:ind w:firstLine="560"/>
            </w:pPr>
            <w:r>
              <w:rPr>
                <w:rFonts w:hint="eastAsia"/>
              </w:rPr>
              <w:t>开展北辰区地下水污染现状调查工程，为防止二次污染，土壤修复过程中积极推动“水土共治”新模式。</w:t>
            </w:r>
          </w:p>
          <w:p w14:paraId="139530AF">
            <w:pPr>
              <w:pStyle w:val="11"/>
              <w:ind w:firstLine="560"/>
            </w:pPr>
            <w:r>
              <w:rPr>
                <w:rFonts w:hint="eastAsia"/>
              </w:rPr>
              <w:t>6、强化核与辐射安全</w:t>
            </w:r>
          </w:p>
          <w:p w14:paraId="109F3957">
            <w:pPr>
              <w:pStyle w:val="11"/>
              <w:ind w:firstLine="560"/>
              <w:rPr>
                <w:rFonts w:hAnsi="仿宋_GB2312" w:cs="仿宋_GB2312" w:eastAsiaTheme="minorEastAsia"/>
                <w:sz w:val="21"/>
                <w:szCs w:val="34"/>
              </w:rPr>
            </w:pPr>
            <w:r>
              <w:rPr>
                <w:rFonts w:hint="eastAsia"/>
              </w:rPr>
              <w:t>完善核与辐射安全管理体系，加强事中事后监管。积极配合天津市实施核技术利用单位安全隐患排查三年行动。按照城市放射性废物库管理规范，落实放射性废物库管理工作要求。建立区应急组织指挥体系，强化应急职责。</w:t>
            </w:r>
          </w:p>
        </w:tc>
      </w:tr>
    </w:tbl>
    <w:p w14:paraId="3527B80C">
      <w:pPr>
        <w:pStyle w:val="4"/>
        <w:rPr>
          <w:sz w:val="21"/>
        </w:rPr>
      </w:pPr>
      <w:r>
        <w:rPr>
          <w:rFonts w:hint="eastAsia"/>
        </w:rPr>
        <w:t>五、生态良好重点工程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0506E6C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4FA1993F">
            <w:pPr>
              <w:pStyle w:val="11"/>
              <w:ind w:firstLine="560"/>
            </w:pPr>
            <w:r>
              <w:t>1</w:t>
            </w:r>
            <w:r>
              <w:rPr>
                <w:rFonts w:hint="eastAsia"/>
              </w:rPr>
              <w:t>、生态环境保护工程</w:t>
            </w:r>
          </w:p>
          <w:p w14:paraId="7B47F5BC">
            <w:pPr>
              <w:pStyle w:val="11"/>
              <w:ind w:firstLine="560"/>
            </w:pPr>
            <w:r>
              <w:rPr>
                <w:rFonts w:hint="eastAsia"/>
              </w:rPr>
              <w:t>开展北辰区绿化建设工程，根据公园类型永久性生态保护区域，实施自然保护区、湿地公园、森林公园建设工程，包括永定新河郊野公园、北运河郊野公园、子牙河郊野公园、东丽郊野公园（主体位于东丽区，北辰境内仅占总面积的</w:t>
            </w:r>
            <w:r>
              <w:t>5%</w:t>
            </w:r>
            <w:r>
              <w:rPr>
                <w:rFonts w:hint="eastAsia"/>
              </w:rPr>
              <w:t>）</w:t>
            </w:r>
            <w:r>
              <w:t>4</w:t>
            </w:r>
            <w:r>
              <w:rPr>
                <w:rFonts w:hint="eastAsia"/>
              </w:rPr>
              <w:t>个郊野公园。</w:t>
            </w:r>
          </w:p>
        </w:tc>
      </w:tr>
    </w:tbl>
    <w:p w14:paraId="21D8B201">
      <w:pPr>
        <w:pStyle w:val="4"/>
        <w:rPr>
          <w:sz w:val="21"/>
        </w:rPr>
      </w:pPr>
      <w:r>
        <w:rPr>
          <w:rFonts w:hint="eastAsia"/>
        </w:rPr>
        <w:t>六、人居整洁重点工程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3837A91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32" w:hRule="atLeast"/>
          <w:jc w:val="center"/>
        </w:trPr>
        <w:tc>
          <w:tcPr>
            <w:tcW w:w="8834" w:type="dxa"/>
            <w:vAlign w:val="center"/>
          </w:tcPr>
          <w:p w14:paraId="24329C8F">
            <w:pPr>
              <w:pStyle w:val="11"/>
              <w:ind w:firstLine="560"/>
            </w:pPr>
            <w:r>
              <w:t>1</w:t>
            </w:r>
            <w:r>
              <w:rPr>
                <w:rFonts w:hint="eastAsia"/>
              </w:rPr>
              <w:t>、农业生产污染防治工程</w:t>
            </w:r>
          </w:p>
          <w:p w14:paraId="3473BDC8">
            <w:pPr>
              <w:pStyle w:val="11"/>
              <w:ind w:firstLine="560"/>
            </w:pPr>
            <w:r>
              <w:rPr>
                <w:rFonts w:hint="eastAsia"/>
              </w:rPr>
              <w:t>推动规模化畜禽养殖场污染治理工程建设。推动农业废弃物资源化利用工程建设，有序开展秸秆全量化利用工程建设、有机肥加工生产全产业链、有机肥施肥示范区建设、农田残膜和农药包装废弃物回收项目等工程。</w:t>
            </w:r>
          </w:p>
          <w:p w14:paraId="0C555299">
            <w:pPr>
              <w:pStyle w:val="11"/>
              <w:ind w:firstLine="560"/>
            </w:pPr>
            <w:r>
              <w:t>2</w:t>
            </w:r>
            <w:r>
              <w:rPr>
                <w:rFonts w:hint="eastAsia"/>
              </w:rPr>
              <w:t>、农村环境综合整治工程</w:t>
            </w:r>
          </w:p>
          <w:p w14:paraId="52CA86F7">
            <w:pPr>
              <w:pStyle w:val="11"/>
              <w:ind w:firstLine="560"/>
            </w:pPr>
            <w:r>
              <w:rPr>
                <w:rFonts w:hint="eastAsia"/>
              </w:rPr>
              <w:t>开展北辰区农村环境综合整治项目，农村生活垃圾、生活污水收集管网体系建设与污水处理设施建设项目，对现有及新建项目强化运营管理，合理规划第三方机构运营机制，多财政资金筹措保证财政来源。对集中式饮用水源地开展水源地周边保护工程。农村生态绿色景观建设，对村庄河道两侧、典型居民活动场所、道路两侧等实施绿化。</w:t>
            </w:r>
          </w:p>
          <w:p w14:paraId="7D18DAEA">
            <w:pPr>
              <w:pStyle w:val="11"/>
              <w:ind w:firstLine="560"/>
            </w:pPr>
            <w:r>
              <w:t>3</w:t>
            </w:r>
            <w:r>
              <w:rPr>
                <w:rFonts w:hint="eastAsia"/>
              </w:rPr>
              <w:t>、城区宜居环境提升工程</w:t>
            </w:r>
          </w:p>
          <w:p w14:paraId="7A88BC0A">
            <w:pPr>
              <w:pStyle w:val="11"/>
              <w:ind w:firstLine="560"/>
            </w:pPr>
            <w:r>
              <w:rPr>
                <w:rFonts w:hint="eastAsia"/>
              </w:rPr>
              <w:t>推进北辰区城区脏乱差整治工程。开展城区噪声污染监测和治理工程，建设隔声屏障、增加建筑物隔声、严控机动车限行禁鸣、严控建筑施工噪声等综合防治措施。</w:t>
            </w:r>
          </w:p>
          <w:p w14:paraId="600DF1A8">
            <w:pPr>
              <w:pStyle w:val="11"/>
              <w:ind w:firstLine="560"/>
            </w:pPr>
            <w:r>
              <w:t>4</w:t>
            </w:r>
            <w:r>
              <w:rPr>
                <w:rFonts w:hint="eastAsia"/>
              </w:rPr>
              <w:t>、生态旅游示范村建设工程</w:t>
            </w:r>
          </w:p>
          <w:p w14:paraId="75A443B8">
            <w:pPr>
              <w:pStyle w:val="11"/>
              <w:ind w:firstLine="560"/>
            </w:pPr>
            <w:r>
              <w:rPr>
                <w:rFonts w:hint="eastAsia"/>
              </w:rPr>
              <w:t>完善农村生活基础设施建设，开展生态农庄、特色采摘、休闲垂钓等休闲生态农业旅游，建立示范村。</w:t>
            </w:r>
          </w:p>
        </w:tc>
      </w:tr>
    </w:tbl>
    <w:p w14:paraId="4C9C1F62">
      <w:pPr>
        <w:pStyle w:val="4"/>
        <w:rPr>
          <w:sz w:val="21"/>
        </w:rPr>
      </w:pPr>
      <w:r>
        <w:rPr>
          <w:rFonts w:hint="eastAsia"/>
        </w:rPr>
        <w:t>七、机制体制建设重点工程</w:t>
      </w:r>
    </w:p>
    <w:tbl>
      <w:tblPr>
        <w:tblStyle w:val="29"/>
        <w:tblW w:w="8834"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834"/>
      </w:tblGrid>
      <w:tr w14:paraId="5F72F64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532" w:hRule="atLeast"/>
          <w:jc w:val="center"/>
        </w:trPr>
        <w:tc>
          <w:tcPr>
            <w:tcW w:w="8834" w:type="dxa"/>
            <w:vAlign w:val="center"/>
          </w:tcPr>
          <w:p w14:paraId="69A78FDD">
            <w:pPr>
              <w:pStyle w:val="11"/>
              <w:ind w:firstLine="560"/>
            </w:pPr>
            <w:r>
              <w:rPr>
                <w:rFonts w:hint="eastAsia"/>
              </w:rPr>
              <w:t>1、跨区域联动能力建设工程</w:t>
            </w:r>
          </w:p>
          <w:p w14:paraId="08CF7362">
            <w:pPr>
              <w:pStyle w:val="11"/>
              <w:ind w:firstLine="560"/>
            </w:pPr>
            <w:r>
              <w:rPr>
                <w:rFonts w:hint="eastAsia"/>
              </w:rPr>
              <w:t>建立健全北辰区各部门协调机制，根据不同方面的环保规划明确各部门权责。完善生态环境监测网络，达到上下协同、左右联动、信息共享。</w:t>
            </w:r>
          </w:p>
          <w:p w14:paraId="4AB3C647">
            <w:pPr>
              <w:pStyle w:val="11"/>
              <w:ind w:firstLine="560"/>
            </w:pPr>
            <w:r>
              <w:rPr>
                <w:rFonts w:hint="eastAsia"/>
              </w:rPr>
              <w:t>2、环境法制建设工程</w:t>
            </w:r>
          </w:p>
          <w:p w14:paraId="086F8310">
            <w:pPr>
              <w:pStyle w:val="11"/>
              <w:ind w:firstLine="560"/>
            </w:pPr>
            <w:bookmarkStart w:id="280" w:name="_Hlk61273856"/>
            <w:r>
              <w:rPr>
                <w:rFonts w:hint="eastAsia"/>
              </w:rPr>
              <w:t>全面梳理地方生态环境保护法规，配合天津市制修订噪声污染防治等条例，配合天津市研究制定生态补偿、扬尘、农业面源、固体废物、垃圾分类等方面的法规，形成完备的地方性法规体系。统筹生态环境保护规划、法规和政策要求，配合天津市制定修订一批大气、水等地方环境保护标准，系统谋划、超前研究制定污染排放标准、技术规范。</w:t>
            </w:r>
          </w:p>
          <w:bookmarkEnd w:id="280"/>
          <w:p w14:paraId="54179E58">
            <w:pPr>
              <w:pStyle w:val="11"/>
              <w:ind w:firstLine="560"/>
            </w:pPr>
            <w:r>
              <w:rPr>
                <w:rFonts w:hint="eastAsia"/>
              </w:rPr>
              <w:t>3、市场引导能力建设工程</w:t>
            </w:r>
          </w:p>
          <w:p w14:paraId="234DE0AE">
            <w:pPr>
              <w:pStyle w:val="11"/>
              <w:ind w:firstLine="560"/>
            </w:pPr>
            <w:r>
              <w:rPr>
                <w:rFonts w:hint="eastAsia"/>
              </w:rPr>
              <w:t>推动水、土壤、大气、固废等方面排查、溯源、监测和治理的第三方服务，推进“环保管家”服务模式改进，形成“政府管家+总设计师”服务模式，采用“顶层设计+项目统筹管理（策划、申报、设计、实施）+投资产业引导”方式，充分发挥第三方专业机构能力。</w:t>
            </w:r>
          </w:p>
          <w:p w14:paraId="18B5893F">
            <w:pPr>
              <w:pStyle w:val="11"/>
              <w:ind w:firstLine="560"/>
            </w:pPr>
            <w:r>
              <w:rPr>
                <w:rFonts w:hint="eastAsia"/>
              </w:rPr>
              <w:t>4、人才队伍建设工程</w:t>
            </w:r>
          </w:p>
          <w:p w14:paraId="3677B278">
            <w:pPr>
              <w:pStyle w:val="11"/>
              <w:ind w:firstLine="560"/>
            </w:pPr>
            <w:r>
              <w:rPr>
                <w:rFonts w:hint="eastAsia"/>
              </w:rPr>
              <w:t>加强环保基层干部培养，切实加强基层组织建设，稳步推进领导班子和干部队伍建设，建设一支生态环境保护铁军，要从现实需要出发，增加生态环境局人员编制数额，引进急需的专业人员，解决优秀人才引得进、留得住的问题，并组织人事部门为生态环保系统干部的成长进步创造条件。</w:t>
            </w:r>
          </w:p>
          <w:p w14:paraId="25F96BD8">
            <w:pPr>
              <w:pStyle w:val="11"/>
              <w:ind w:firstLine="560"/>
            </w:pPr>
            <w:r>
              <w:rPr>
                <w:rFonts w:hint="eastAsia"/>
              </w:rPr>
              <w:t>5、科学技术能力建设工程</w:t>
            </w:r>
          </w:p>
          <w:p w14:paraId="6E9F5404">
            <w:pPr>
              <w:pStyle w:val="11"/>
              <w:ind w:firstLine="560"/>
            </w:pPr>
            <w:r>
              <w:rPr>
                <w:rFonts w:hint="eastAsia"/>
              </w:rPr>
              <w:t>充分利用学校及相关科研机构的研究成果，针对北辰区现有技术难点，推动前沿科技与环境治理深度融合。</w:t>
            </w:r>
          </w:p>
        </w:tc>
      </w:tr>
      <w:bookmarkEnd w:id="278"/>
    </w:tbl>
    <w:p w14:paraId="4BAC38E8">
      <w:pPr>
        <w:pStyle w:val="3"/>
        <w:spacing w:before="156" w:after="156"/>
        <w:rPr>
          <w:sz w:val="21"/>
        </w:rPr>
      </w:pPr>
      <w:bookmarkStart w:id="281" w:name="_Toc72504269"/>
      <w:bookmarkStart w:id="282" w:name="_Toc30435"/>
      <w:bookmarkStart w:id="283" w:name="_Toc55464541"/>
      <w:bookmarkStart w:id="284" w:name="_Toc14562"/>
      <w:bookmarkStart w:id="285" w:name="_Toc1131"/>
      <w:r>
        <w:rPr>
          <w:rFonts w:hint="eastAsia"/>
        </w:rPr>
        <w:t>第二节 投资重点</w:t>
      </w:r>
      <w:bookmarkEnd w:id="281"/>
    </w:p>
    <w:p w14:paraId="59A5266A">
      <w:pPr>
        <w:rPr>
          <w:rFonts w:eastAsiaTheme="minorEastAsia"/>
        </w:rPr>
      </w:pPr>
      <w:r>
        <w:rPr>
          <w:rFonts w:hint="eastAsia"/>
        </w:rPr>
        <w:t>解决北辰区环境问题，必须以规划为依据，以项目为依托，以投资作保障，通过落实规划、落实资金、落实项目，把</w:t>
      </w:r>
      <w:r>
        <w:t>“</w:t>
      </w:r>
      <w:r>
        <w:rPr>
          <w:rFonts w:hint="eastAsia"/>
        </w:rPr>
        <w:t>十四五</w:t>
      </w:r>
      <w:r>
        <w:t>”</w:t>
      </w:r>
      <w:r>
        <w:rPr>
          <w:rFonts w:hint="eastAsia"/>
        </w:rPr>
        <w:t>环境保护目标落到实处。</w:t>
      </w:r>
    </w:p>
    <w:p w14:paraId="0785C0DC">
      <w:pPr>
        <w:pStyle w:val="4"/>
        <w:rPr>
          <w:rFonts w:eastAsiaTheme="minorEastAsia"/>
          <w:sz w:val="21"/>
        </w:rPr>
      </w:pPr>
      <w:r>
        <w:rPr>
          <w:rFonts w:hint="eastAsia"/>
        </w:rPr>
        <w:t>一、投资概算</w:t>
      </w:r>
    </w:p>
    <w:p w14:paraId="0C68C3C8">
      <w:r>
        <w:rPr>
          <w:rFonts w:hint="eastAsia"/>
        </w:rPr>
        <w:t>全区“十四五”环保规划工程项目主要有绿色发展、清新空气、水体洁净、土壤安全、生态良好、人居整洁和机制体制建设重点工程等7类，共89个重点项目。</w:t>
      </w:r>
    </w:p>
    <w:p w14:paraId="4CAE7CF9">
      <w:pPr>
        <w:pStyle w:val="4"/>
        <w:rPr>
          <w:rFonts w:eastAsiaTheme="minorEastAsia"/>
          <w:sz w:val="21"/>
        </w:rPr>
      </w:pPr>
      <w:r>
        <w:rPr>
          <w:rFonts w:hint="eastAsia"/>
        </w:rPr>
        <w:t>二、投资来源</w:t>
      </w:r>
    </w:p>
    <w:p w14:paraId="3341E143">
      <w:r>
        <w:rPr>
          <w:rFonts w:hint="eastAsia"/>
        </w:rPr>
        <w:t>（</w:t>
      </w:r>
      <w:r>
        <w:t>1</w:t>
      </w:r>
      <w:r>
        <w:rPr>
          <w:rFonts w:hint="eastAsia"/>
        </w:rPr>
        <w:t>）政府投资</w:t>
      </w:r>
    </w:p>
    <w:p w14:paraId="1C9DCE3A">
      <w:pPr>
        <w:rPr>
          <w:rFonts w:eastAsiaTheme="minorEastAsia"/>
        </w:rPr>
      </w:pPr>
      <w:r>
        <w:rPr>
          <w:rFonts w:hint="eastAsia"/>
        </w:rPr>
        <w:t>政府投资基金将政府引导和市场运作有机结合，有效发挥财政资金的杠杆作用引导社会投资，具有更加灵活高效的市场化特点。政府投资基金要坚持市场化方向，从理念上要打破行政化色彩，减少政府干预，将管理权真正交由专业机构进行管理。要制定合理有效的绩效评价机制和市场化薪酬等激励措施，真正实现专业的人做专业的事，专业的事由专业的人来做。城镇污水处理厂、环境改善民生保障和环保监管能力建设等，以地方财政投入为主，积极争取国家、部委重大科技专项基金和市级资金支持。</w:t>
      </w:r>
    </w:p>
    <w:p w14:paraId="3D9A46E7">
      <w:r>
        <w:rPr>
          <w:rFonts w:hint="eastAsia"/>
        </w:rPr>
        <w:t>（</w:t>
      </w:r>
      <w:r>
        <w:t>2</w:t>
      </w:r>
      <w:r>
        <w:rPr>
          <w:rFonts w:hint="eastAsia"/>
        </w:rPr>
        <w:t>）企业投资</w:t>
      </w:r>
    </w:p>
    <w:p w14:paraId="602D00D9">
      <w:pPr>
        <w:rPr>
          <w:rFonts w:eastAsiaTheme="minorEastAsia"/>
        </w:rPr>
      </w:pPr>
      <w:r>
        <w:rPr>
          <w:rFonts w:hint="eastAsia"/>
        </w:rPr>
        <w:t>健全多层次资本市场体系，大力发展机构投资者，提高直接融资特别是股权融资比重。全面实行股票发行注册制，建立常态化退市机制，提高上市公司质量。完善市场化债券发行机制，稳步扩大债券市场规模，丰富债券品种，发行长期国债和基础设施长期债券。完善投资者保护制度和存款保险制度。工业污染防治按照“谁污染，谁治理”的原则，由企业负责。对现有污染源治理投资由企业利用自有资金或银行贷款解决，新扩改建设项目环保投资，纳入建设项目投资计划予以解决。</w:t>
      </w:r>
    </w:p>
    <w:p w14:paraId="3790F39F">
      <w:r>
        <w:rPr>
          <w:rFonts w:hint="eastAsia"/>
        </w:rPr>
        <w:t>（</w:t>
      </w:r>
      <w:r>
        <w:t>3</w:t>
      </w:r>
      <w:r>
        <w:rPr>
          <w:rFonts w:hint="eastAsia"/>
        </w:rPr>
        <w:t>）社会融资</w:t>
      </w:r>
    </w:p>
    <w:p w14:paraId="329668B2">
      <w:pPr>
        <w:rPr>
          <w:rFonts w:eastAsiaTheme="minorEastAsia"/>
        </w:rPr>
      </w:pPr>
      <w:r>
        <w:rPr>
          <w:rFonts w:hint="eastAsia"/>
        </w:rPr>
        <w:t>建立完整的生态补偿体系。构建生态补偿多元化社会融资体系，其主体包括企业、各类非政府组织和普通大众；其主要渠道包括市场交易运作、多种市场化金融和社会化生态补偿。市场运作生态补偿可直接把资源环境作为市场交易对象和通过市场交易机制间接实现生态补偿两种形式；生态补偿多种市场化金融支持，包括借款、贷款、集资、债券、租赁、绿色保险、BOT、TOT、PFI投资基金等；社会化的生态补偿，包括建立以环保基金会为主体的多种生态补偿公益团体、接受来自社会的各种捐赠、发行生态保护类的彩票等。积极利用市场机制，采取</w:t>
      </w:r>
      <w:r>
        <w:t>PPP</w:t>
      </w:r>
      <w:r>
        <w:rPr>
          <w:rFonts w:hint="eastAsia"/>
        </w:rPr>
        <w:t>特许经营等投资模式，吸引社会投资，形成多元化的投入格局。</w:t>
      </w:r>
    </w:p>
    <w:p w14:paraId="127511BB">
      <w:pPr>
        <w:pStyle w:val="2"/>
        <w:spacing w:before="156" w:after="156"/>
      </w:pPr>
      <w:bookmarkStart w:id="286" w:name="_Toc72504270"/>
      <w:r>
        <w:rPr>
          <w:rFonts w:hint="eastAsia"/>
        </w:rPr>
        <w:t>第六章 保障措施</w:t>
      </w:r>
      <w:bookmarkEnd w:id="282"/>
      <w:bookmarkEnd w:id="283"/>
      <w:bookmarkEnd w:id="284"/>
      <w:bookmarkEnd w:id="285"/>
      <w:bookmarkEnd w:id="286"/>
    </w:p>
    <w:p w14:paraId="54A1887B">
      <w:pPr>
        <w:pStyle w:val="3"/>
        <w:spacing w:before="156" w:after="156"/>
      </w:pPr>
      <w:bookmarkStart w:id="287" w:name="_Toc55464542"/>
      <w:bookmarkStart w:id="288" w:name="_Toc29042"/>
      <w:bookmarkStart w:id="289" w:name="_Toc8453"/>
      <w:bookmarkStart w:id="290" w:name="_Toc72504271"/>
      <w:bookmarkStart w:id="291" w:name="_Toc16409"/>
      <w:r>
        <w:rPr>
          <w:rFonts w:hint="eastAsia"/>
        </w:rPr>
        <w:t>第一节 加强组织领导，强化责任落实</w:t>
      </w:r>
      <w:bookmarkEnd w:id="287"/>
      <w:bookmarkEnd w:id="288"/>
      <w:bookmarkEnd w:id="289"/>
      <w:bookmarkEnd w:id="290"/>
      <w:bookmarkEnd w:id="291"/>
    </w:p>
    <w:p w14:paraId="2F61F51E">
      <w:r>
        <w:rPr>
          <w:rFonts w:hint="eastAsia"/>
        </w:rPr>
        <w:t>坚持党政同责、一岗双责。</w:t>
      </w:r>
      <w:r>
        <w:t>严格落实党政领导责任、部门监管责任、各</w:t>
      </w:r>
      <w:r>
        <w:rPr>
          <w:rFonts w:hint="eastAsia"/>
        </w:rPr>
        <w:t>镇街、开发区</w:t>
      </w:r>
      <w:r>
        <w:t>属地责任、企业主体责任。各</w:t>
      </w:r>
      <w:r>
        <w:rPr>
          <w:rFonts w:hint="eastAsia"/>
        </w:rPr>
        <w:t>镇街、开发区</w:t>
      </w:r>
      <w:r>
        <w:t>、各部门要把</w:t>
      </w:r>
      <w:r>
        <w:rPr>
          <w:rFonts w:hint="eastAsia"/>
        </w:rPr>
        <w:t>生态文明建设、生态环境治理及生态环境保护“十四五”规划落实</w:t>
      </w:r>
      <w:r>
        <w:t>放在各项工作的重要位置，压实地方政府责任，层层抓落实。各级政府是水源地环境保护的责任主体，要坚决扛起生态文明建设的政治责任，明确职责分工，细化工作措施，构建政府统领、部门协作、社会参与的工作格局，有序推进</w:t>
      </w:r>
      <w:r>
        <w:rPr>
          <w:rFonts w:hint="eastAsia"/>
        </w:rPr>
        <w:t>“十四五”规划各项工作要求</w:t>
      </w:r>
      <w:r>
        <w:t>落实。</w:t>
      </w:r>
    </w:p>
    <w:p w14:paraId="5803077C">
      <w:r>
        <w:rPr>
          <w:rFonts w:hint="eastAsia"/>
        </w:rPr>
        <w:t>充分发挥生态环境保护委员会的作用，完善机制，抓好推进，全面构建起“大生态、大环保”工作格局。要严格落实党委、政府对生态环境负总责的要求，明确细化相关部门生态环境保护责任，充分发挥生态环境保护委员会办公室的协调作用，压紧压实生态环境保护工作责任、狠抓工作落实，实现经济社会发展与生态环境保护的内在统一、相互促进。</w:t>
      </w:r>
    </w:p>
    <w:p w14:paraId="6C1B0887">
      <w:r>
        <w:rPr>
          <w:rFonts w:hint="eastAsia"/>
        </w:rPr>
        <w:t>加强组织领导，落实人员职责分工。将环境资源保护工作落到实处，成立了由党组书记、院长任组长，其他党组班子成员为副组长，立案、刑事、民事、行政、执行等部门负责人为成员的生态环境资源保护工作领导小组，并按环境资源审判执行工作需要组建专业审判合议庭，确保员额法官、法官助理、书记员和内勤按上级法院要求配齐配足，确保环境资源保护各项工作有专人负责。</w:t>
      </w:r>
    </w:p>
    <w:p w14:paraId="464BC690">
      <w:pPr>
        <w:pStyle w:val="3"/>
        <w:spacing w:before="156" w:after="156"/>
      </w:pPr>
      <w:bookmarkStart w:id="292" w:name="_Toc11721"/>
      <w:bookmarkStart w:id="293" w:name="_Toc12499"/>
      <w:bookmarkStart w:id="294" w:name="_Toc994"/>
      <w:bookmarkStart w:id="295" w:name="_Toc55464543"/>
      <w:bookmarkStart w:id="296" w:name="_Toc72504272"/>
      <w:r>
        <w:rPr>
          <w:rFonts w:hint="eastAsia"/>
        </w:rPr>
        <w:t>第二节 加强协调沟通，强化统筹推动</w:t>
      </w:r>
      <w:bookmarkEnd w:id="292"/>
      <w:bookmarkEnd w:id="293"/>
      <w:bookmarkEnd w:id="294"/>
      <w:bookmarkEnd w:id="295"/>
      <w:bookmarkEnd w:id="296"/>
    </w:p>
    <w:p w14:paraId="6EB3953C">
      <w:r>
        <w:rPr>
          <w:rFonts w:hint="eastAsia"/>
        </w:rPr>
        <w:t>积极做好上下衔接、左右协调、步调一致、统筹推动，充分发挥牵头单位统筹推动、牵头捏总作用，各相关责任单位认真抓好各项工作落实，做好“十四五”规划重要任务、重点工程进度定期调度推动工作，统筹协调解决“十四五”规划实施过程中存在困难问题。借力京津冀协同发展工作，主动融入京津冀协同发展部署之中，增强区域信息共享、沟通交流力度，着力增强区域联防联控联治工作能力水平。紧盯中央、市委、市政府密切关注的事、紧盯人民群众反映强烈的事、紧盯有利于经济社会生态环境发展的事，根据各项工作最新安排部署，及时调整“十四五”规划，扎实做好规划实施进度报送，中期评估，收官总结等工作，按时、保质、保量地完成“十四五”规划各项工作任务。</w:t>
      </w:r>
    </w:p>
    <w:p w14:paraId="4D2B944E">
      <w:pPr>
        <w:pStyle w:val="3"/>
        <w:spacing w:before="156" w:after="156"/>
      </w:pPr>
      <w:bookmarkStart w:id="297" w:name="_Toc7151"/>
      <w:bookmarkStart w:id="298" w:name="_Toc238"/>
      <w:bookmarkStart w:id="299" w:name="_Toc55464544"/>
      <w:bookmarkStart w:id="300" w:name="_Toc72504273"/>
      <w:bookmarkStart w:id="301" w:name="_Toc10618"/>
      <w:r>
        <w:rPr>
          <w:rFonts w:hint="eastAsia"/>
        </w:rPr>
        <w:t>第三节 拓宽资金渠道，强化资金保障</w:t>
      </w:r>
      <w:bookmarkEnd w:id="297"/>
      <w:bookmarkEnd w:id="298"/>
      <w:bookmarkEnd w:id="299"/>
      <w:bookmarkEnd w:id="300"/>
      <w:bookmarkEnd w:id="301"/>
    </w:p>
    <w:p w14:paraId="1AE9A97B">
      <w:r>
        <w:rPr>
          <w:rFonts w:hint="eastAsia"/>
        </w:rPr>
        <w:t>充分发挥中央环境保护大气污染防治专项资金作用，持续推动本市治污减排重点工程实施。区财政每年加大本级大气污染防治资金投入。积极探索重大工程资金来源渠道，发放生态环境保护政府债券，推广政府和社会资本合作，鼓励开展合同环境服务，推进第三方环境治理。建立奖励与约束机制，加快实施联合惩戒和黑名单制度建设，定期向社会公布建立环保领域失信企业名单，依法对失信企业在行政审批、资质认定、银行贷款、上市融资、政府招投标、政府荣誉评定等方面予以限制。按照“保护者得益，受益者补偿，损害者赔偿”的原则，完善生态损害赔偿机制。</w:t>
      </w:r>
    </w:p>
    <w:p w14:paraId="6016928D">
      <w:pPr>
        <w:pStyle w:val="3"/>
        <w:spacing w:before="156" w:after="156"/>
      </w:pPr>
      <w:bookmarkStart w:id="302" w:name="_Toc29314"/>
      <w:bookmarkStart w:id="303" w:name="_Toc3905"/>
      <w:bookmarkStart w:id="304" w:name="_Toc72504274"/>
      <w:bookmarkStart w:id="305" w:name="_Toc8109"/>
      <w:bookmarkStart w:id="306" w:name="_Toc55464545"/>
      <w:r>
        <w:rPr>
          <w:rFonts w:hint="eastAsia"/>
        </w:rPr>
        <w:t>第四节 加强宣传教育，营造生态氛围</w:t>
      </w:r>
      <w:bookmarkEnd w:id="302"/>
      <w:bookmarkEnd w:id="303"/>
      <w:bookmarkEnd w:id="304"/>
      <w:bookmarkEnd w:id="305"/>
      <w:bookmarkEnd w:id="306"/>
    </w:p>
    <w:p w14:paraId="22DF12D0">
      <w:r>
        <w:rPr>
          <w:rFonts w:hint="eastAsia"/>
        </w:rPr>
        <w:t>加强生态环境保护宣传教育的针对性，增强全社会生态环境意识。各级生态环境部门都要设立新闻发言人，建立健全例行新闻发布制度。新闻发布应结合公众关注的热点和现实问题，围绕环保工作重点，提高时效性、规范性、大众性，力求及时准确、通俗易懂。环境政策解读与新闻发布同步进行，积极向公众阐释政策，扩大共识。</w:t>
      </w:r>
    </w:p>
    <w:p w14:paraId="5AC0E11F">
      <w:r>
        <w:rPr>
          <w:rFonts w:hint="eastAsia"/>
        </w:rPr>
        <w:t>提升生态环境保护宣传教育覆盖面。依托“微北辰”、“北辰生态环境”微信公众平台，打造新浪微博、微信、一点资讯、今日头条等主流群众软件为一体的北辰生态环境保护宣传平台，定期推送“鞭炮禁燃”、“文明祭扫”、环保法律法规、环保常识等相关生态环境保护宣传信息，有效提升群众生态环境保护意识；集合区生态环境局业务骨干力量，组建北辰区生态环境局专家讲师团，结合北辰“双创”工作，下沉到企业、工地、社区、学校、机关开展生态环境保护教育宣传工作，向机关、学校、企业、工地等重点单位积极宣传生态环境保护理论，不断提升生态环境保护观念影响力与覆盖面，不断推动北辰区生态文明建设，有效提升区域人民群众，工作人员树立环境保护意识；持续优化营商环境，深入企业调研，实地了解企业环境保护工作现状，协助企业解决实际工作困难，督促企业更好地履行污染防治主体责任，以镇为单位，对各企业环保工作负责人，开展企业生态环境保护主题培训，培养一大批企业内部环境保护专业人才，大力推进区域内企业环境保护人才储备力量，努力营造齐抓共管、全民参与的生态环境保护氛围。</w:t>
      </w:r>
    </w:p>
    <w:p w14:paraId="26F03D1C">
      <w:pPr>
        <w:sectPr>
          <w:pgSz w:w="11906" w:h="16838"/>
          <w:pgMar w:top="1440" w:right="1800" w:bottom="1440" w:left="1800" w:header="851" w:footer="992" w:gutter="0"/>
          <w:cols w:space="425" w:num="1"/>
          <w:docGrid w:type="lines" w:linePitch="312" w:charSpace="0"/>
        </w:sectPr>
      </w:pPr>
    </w:p>
    <w:p w14:paraId="28245A71">
      <w:pPr>
        <w:pStyle w:val="27"/>
        <w:ind w:firstLine="723"/>
      </w:pPr>
      <w:bookmarkStart w:id="307" w:name="_Toc72504275"/>
      <w:r>
        <w:rPr>
          <w:rFonts w:hint="eastAsia"/>
        </w:rPr>
        <w:t>附表</w:t>
      </w:r>
      <w:r>
        <w:t xml:space="preserve">1 </w:t>
      </w:r>
      <w:r>
        <w:rPr>
          <w:rFonts w:hint="eastAsia"/>
        </w:rPr>
        <w:t>北辰区“十四五”环境保护规划责任分解表</w:t>
      </w:r>
      <w:bookmarkEnd w:id="307"/>
    </w:p>
    <w:tbl>
      <w:tblPr>
        <w:tblStyle w:val="29"/>
        <w:tblW w:w="49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297"/>
        <w:gridCol w:w="2881"/>
        <w:gridCol w:w="1440"/>
        <w:gridCol w:w="1584"/>
        <w:gridCol w:w="6050"/>
      </w:tblGrid>
      <w:tr w14:paraId="3B95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46" w:type="dxa"/>
            <w:shd w:val="clear" w:color="000000" w:fill="A6A6A6"/>
            <w:vAlign w:val="center"/>
          </w:tcPr>
          <w:p w14:paraId="01D41F01">
            <w:pPr>
              <w:pStyle w:val="59"/>
              <w:rPr>
                <w:rFonts w:ascii="黑体" w:hAnsi="黑体" w:eastAsia="黑体"/>
              </w:rPr>
            </w:pPr>
            <w:r>
              <w:rPr>
                <w:rFonts w:hint="eastAsia" w:ascii="黑体" w:hAnsi="黑体" w:eastAsia="黑体"/>
              </w:rPr>
              <w:t>编号</w:t>
            </w:r>
          </w:p>
        </w:tc>
        <w:tc>
          <w:tcPr>
            <w:tcW w:w="1276" w:type="dxa"/>
            <w:shd w:val="clear" w:color="000000" w:fill="A6A6A6"/>
            <w:vAlign w:val="center"/>
          </w:tcPr>
          <w:p w14:paraId="26272DF6">
            <w:pPr>
              <w:pStyle w:val="59"/>
              <w:rPr>
                <w:rFonts w:ascii="黑体" w:hAnsi="黑体" w:eastAsia="黑体"/>
              </w:rPr>
            </w:pPr>
            <w:r>
              <w:rPr>
                <w:rFonts w:hint="eastAsia" w:ascii="黑体" w:hAnsi="黑体" w:eastAsia="黑体"/>
              </w:rPr>
              <w:t>指标体系</w:t>
            </w:r>
          </w:p>
        </w:tc>
        <w:tc>
          <w:tcPr>
            <w:tcW w:w="2835" w:type="dxa"/>
            <w:shd w:val="clear" w:color="000000" w:fill="A6A6A6"/>
            <w:vAlign w:val="center"/>
          </w:tcPr>
          <w:p w14:paraId="57787A8E">
            <w:pPr>
              <w:pStyle w:val="59"/>
              <w:rPr>
                <w:rFonts w:ascii="黑体" w:hAnsi="黑体" w:eastAsia="黑体"/>
              </w:rPr>
            </w:pPr>
            <w:r>
              <w:rPr>
                <w:rFonts w:hint="eastAsia" w:ascii="黑体" w:hAnsi="黑体" w:eastAsia="黑体"/>
              </w:rPr>
              <w:t>指标内容</w:t>
            </w:r>
          </w:p>
        </w:tc>
        <w:tc>
          <w:tcPr>
            <w:tcW w:w="1417" w:type="dxa"/>
            <w:shd w:val="clear" w:color="000000" w:fill="A6A6A6"/>
            <w:vAlign w:val="center"/>
          </w:tcPr>
          <w:p w14:paraId="3A6ECBEC">
            <w:pPr>
              <w:pStyle w:val="59"/>
              <w:rPr>
                <w:rFonts w:ascii="黑体" w:hAnsi="黑体" w:eastAsia="黑体"/>
              </w:rPr>
            </w:pPr>
            <w:r>
              <w:rPr>
                <w:rFonts w:hint="eastAsia" w:ascii="黑体" w:hAnsi="黑体" w:eastAsia="黑体"/>
              </w:rPr>
              <w:t>指标属性</w:t>
            </w:r>
          </w:p>
        </w:tc>
        <w:tc>
          <w:tcPr>
            <w:tcW w:w="1559" w:type="dxa"/>
            <w:shd w:val="clear" w:color="000000" w:fill="A6A6A6"/>
            <w:vAlign w:val="center"/>
          </w:tcPr>
          <w:p w14:paraId="6197F74A">
            <w:pPr>
              <w:pStyle w:val="59"/>
              <w:rPr>
                <w:rFonts w:ascii="黑体" w:hAnsi="黑体" w:eastAsia="黑体"/>
              </w:rPr>
            </w:pPr>
            <w:r>
              <w:rPr>
                <w:rFonts w:hint="eastAsia" w:ascii="黑体" w:hAnsi="黑体" w:eastAsia="黑体"/>
              </w:rPr>
              <w:t>牵头单位</w:t>
            </w:r>
          </w:p>
        </w:tc>
        <w:tc>
          <w:tcPr>
            <w:tcW w:w="5954" w:type="dxa"/>
            <w:shd w:val="clear" w:color="000000" w:fill="A6A6A6"/>
            <w:vAlign w:val="center"/>
          </w:tcPr>
          <w:p w14:paraId="6DC70E63">
            <w:pPr>
              <w:pStyle w:val="59"/>
              <w:rPr>
                <w:rFonts w:ascii="黑体" w:hAnsi="黑体" w:eastAsia="黑体"/>
              </w:rPr>
            </w:pPr>
            <w:r>
              <w:rPr>
                <w:rFonts w:hint="eastAsia" w:ascii="黑体" w:hAnsi="黑体" w:eastAsia="黑体"/>
              </w:rPr>
              <w:t>责任单位</w:t>
            </w:r>
          </w:p>
        </w:tc>
      </w:tr>
      <w:tr w14:paraId="43DD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650D741E">
            <w:pPr>
              <w:pStyle w:val="59"/>
              <w:rPr>
                <w:rFonts w:ascii="黑体" w:hAnsi="黑体" w:eastAsia="黑体"/>
              </w:rPr>
            </w:pPr>
            <w:r>
              <w:rPr>
                <w:rFonts w:hint="eastAsia" w:ascii="黑体" w:hAnsi="黑体" w:eastAsia="黑体"/>
              </w:rPr>
              <w:t>1</w:t>
            </w:r>
          </w:p>
        </w:tc>
        <w:tc>
          <w:tcPr>
            <w:tcW w:w="1276" w:type="dxa"/>
            <w:vMerge w:val="restart"/>
            <w:vAlign w:val="center"/>
          </w:tcPr>
          <w:p w14:paraId="0694D859">
            <w:pPr>
              <w:pStyle w:val="59"/>
            </w:pPr>
            <w:r>
              <w:rPr>
                <w:rFonts w:hint="eastAsia"/>
              </w:rPr>
              <w:t>污染物排放总量控制目标</w:t>
            </w:r>
          </w:p>
        </w:tc>
        <w:tc>
          <w:tcPr>
            <w:tcW w:w="2835" w:type="dxa"/>
            <w:vAlign w:val="center"/>
          </w:tcPr>
          <w:p w14:paraId="0A3B7FCF">
            <w:pPr>
              <w:pStyle w:val="59"/>
            </w:pPr>
            <w:r>
              <w:rPr>
                <w:rFonts w:hint="eastAsia"/>
              </w:rPr>
              <w:t>化学需氧量</w:t>
            </w:r>
          </w:p>
        </w:tc>
        <w:tc>
          <w:tcPr>
            <w:tcW w:w="1417" w:type="dxa"/>
            <w:vAlign w:val="center"/>
          </w:tcPr>
          <w:p w14:paraId="1DD76CB5">
            <w:pPr>
              <w:pStyle w:val="59"/>
            </w:pPr>
            <w:r>
              <w:rPr>
                <w:rFonts w:hint="eastAsia"/>
              </w:rPr>
              <w:t>约束性指标</w:t>
            </w:r>
          </w:p>
        </w:tc>
        <w:tc>
          <w:tcPr>
            <w:tcW w:w="1559" w:type="dxa"/>
            <w:vAlign w:val="center"/>
          </w:tcPr>
          <w:p w14:paraId="214470A6">
            <w:pPr>
              <w:pStyle w:val="59"/>
            </w:pPr>
            <w:r>
              <w:rPr>
                <w:rFonts w:hint="eastAsia"/>
              </w:rPr>
              <w:t>区生态环境局</w:t>
            </w:r>
          </w:p>
        </w:tc>
        <w:tc>
          <w:tcPr>
            <w:tcW w:w="5954" w:type="dxa"/>
          </w:tcPr>
          <w:p w14:paraId="73BBF584">
            <w:pPr>
              <w:pStyle w:val="59"/>
            </w:pPr>
            <w:r>
              <w:rPr>
                <w:rFonts w:hint="eastAsia"/>
              </w:rPr>
              <w:t>各镇街、开发区，区发改委、工信局、水务局、农委等相关部门。</w:t>
            </w:r>
          </w:p>
        </w:tc>
      </w:tr>
      <w:tr w14:paraId="2918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64B6412B">
            <w:pPr>
              <w:pStyle w:val="59"/>
              <w:rPr>
                <w:rFonts w:ascii="黑体" w:hAnsi="黑体" w:eastAsia="黑体"/>
              </w:rPr>
            </w:pPr>
            <w:r>
              <w:rPr>
                <w:rFonts w:hint="eastAsia" w:ascii="黑体" w:hAnsi="黑体" w:eastAsia="黑体"/>
              </w:rPr>
              <w:t>2</w:t>
            </w:r>
          </w:p>
        </w:tc>
        <w:tc>
          <w:tcPr>
            <w:tcW w:w="1276" w:type="dxa"/>
            <w:vMerge w:val="continue"/>
            <w:vAlign w:val="center"/>
          </w:tcPr>
          <w:p w14:paraId="3ACF20A0">
            <w:pPr>
              <w:pStyle w:val="59"/>
            </w:pPr>
          </w:p>
        </w:tc>
        <w:tc>
          <w:tcPr>
            <w:tcW w:w="2835" w:type="dxa"/>
            <w:vAlign w:val="center"/>
          </w:tcPr>
          <w:p w14:paraId="17B1B19A">
            <w:pPr>
              <w:pStyle w:val="59"/>
            </w:pPr>
            <w:r>
              <w:rPr>
                <w:rFonts w:hint="eastAsia"/>
              </w:rPr>
              <w:t>N</w:t>
            </w:r>
            <w:r>
              <w:t>H</w:t>
            </w:r>
            <w:r>
              <w:rPr>
                <w:vertAlign w:val="subscript"/>
              </w:rPr>
              <w:t>3</w:t>
            </w:r>
            <w:r>
              <w:t>-N</w:t>
            </w:r>
            <w:r>
              <w:rPr>
                <w:rFonts w:hint="eastAsia"/>
              </w:rPr>
              <w:t>排放量</w:t>
            </w:r>
          </w:p>
        </w:tc>
        <w:tc>
          <w:tcPr>
            <w:tcW w:w="1417" w:type="dxa"/>
            <w:vAlign w:val="center"/>
          </w:tcPr>
          <w:p w14:paraId="2755AFE1">
            <w:pPr>
              <w:pStyle w:val="59"/>
            </w:pPr>
            <w:r>
              <w:rPr>
                <w:rFonts w:hint="eastAsia"/>
              </w:rPr>
              <w:t>约束性指标</w:t>
            </w:r>
          </w:p>
        </w:tc>
        <w:tc>
          <w:tcPr>
            <w:tcW w:w="1559" w:type="dxa"/>
            <w:vAlign w:val="center"/>
          </w:tcPr>
          <w:p w14:paraId="6CD1C569">
            <w:pPr>
              <w:pStyle w:val="59"/>
            </w:pPr>
            <w:r>
              <w:rPr>
                <w:rFonts w:hint="eastAsia"/>
              </w:rPr>
              <w:t>区生态环境局</w:t>
            </w:r>
          </w:p>
        </w:tc>
        <w:tc>
          <w:tcPr>
            <w:tcW w:w="5954" w:type="dxa"/>
          </w:tcPr>
          <w:p w14:paraId="2221B111">
            <w:pPr>
              <w:pStyle w:val="59"/>
            </w:pPr>
            <w:r>
              <w:rPr>
                <w:rFonts w:hint="eastAsia"/>
              </w:rPr>
              <w:t>各镇街、开发区，区发改委、工信局、水务局、农委等相关部门。</w:t>
            </w:r>
          </w:p>
        </w:tc>
      </w:tr>
      <w:tr w14:paraId="6542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7E502EF">
            <w:pPr>
              <w:pStyle w:val="59"/>
              <w:rPr>
                <w:rFonts w:ascii="黑体" w:hAnsi="黑体" w:eastAsia="黑体"/>
              </w:rPr>
            </w:pPr>
            <w:r>
              <w:rPr>
                <w:rFonts w:hint="eastAsia" w:ascii="黑体" w:hAnsi="黑体" w:eastAsia="黑体"/>
              </w:rPr>
              <w:t>3</w:t>
            </w:r>
          </w:p>
        </w:tc>
        <w:tc>
          <w:tcPr>
            <w:tcW w:w="1276" w:type="dxa"/>
            <w:vMerge w:val="continue"/>
            <w:vAlign w:val="center"/>
          </w:tcPr>
          <w:p w14:paraId="075BEDB0">
            <w:pPr>
              <w:pStyle w:val="59"/>
            </w:pPr>
          </w:p>
        </w:tc>
        <w:tc>
          <w:tcPr>
            <w:tcW w:w="2835" w:type="dxa"/>
            <w:vAlign w:val="center"/>
          </w:tcPr>
          <w:p w14:paraId="70768396">
            <w:pPr>
              <w:pStyle w:val="59"/>
            </w:pPr>
            <w:r>
              <w:rPr>
                <w:rFonts w:hint="eastAsia"/>
              </w:rPr>
              <w:t>SO</w:t>
            </w:r>
            <w:r>
              <w:rPr>
                <w:rFonts w:hint="eastAsia"/>
                <w:vertAlign w:val="subscript"/>
              </w:rPr>
              <w:t>2</w:t>
            </w:r>
            <w:r>
              <w:rPr>
                <w:rFonts w:hint="eastAsia"/>
              </w:rPr>
              <w:t>排放量</w:t>
            </w:r>
          </w:p>
        </w:tc>
        <w:tc>
          <w:tcPr>
            <w:tcW w:w="1417" w:type="dxa"/>
            <w:vAlign w:val="center"/>
          </w:tcPr>
          <w:p w14:paraId="53767FEC">
            <w:pPr>
              <w:pStyle w:val="59"/>
            </w:pPr>
            <w:r>
              <w:rPr>
                <w:rFonts w:hint="eastAsia"/>
              </w:rPr>
              <w:t>约束性指标</w:t>
            </w:r>
          </w:p>
        </w:tc>
        <w:tc>
          <w:tcPr>
            <w:tcW w:w="1559" w:type="dxa"/>
            <w:vAlign w:val="center"/>
          </w:tcPr>
          <w:p w14:paraId="4581C936">
            <w:pPr>
              <w:pStyle w:val="59"/>
            </w:pPr>
            <w:r>
              <w:rPr>
                <w:rFonts w:hint="eastAsia"/>
              </w:rPr>
              <w:t>区生态环境局</w:t>
            </w:r>
          </w:p>
        </w:tc>
        <w:tc>
          <w:tcPr>
            <w:tcW w:w="5954" w:type="dxa"/>
          </w:tcPr>
          <w:p w14:paraId="18B97810">
            <w:pPr>
              <w:pStyle w:val="59"/>
            </w:pPr>
            <w:r>
              <w:rPr>
                <w:rFonts w:hint="eastAsia"/>
              </w:rPr>
              <w:t>各镇街、开发区，区发改委、工信局、水务局等相关部门。</w:t>
            </w:r>
          </w:p>
        </w:tc>
      </w:tr>
      <w:tr w14:paraId="76CE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0A36C08">
            <w:pPr>
              <w:pStyle w:val="59"/>
              <w:rPr>
                <w:rFonts w:ascii="黑体" w:hAnsi="黑体" w:eastAsia="黑体"/>
              </w:rPr>
            </w:pPr>
            <w:r>
              <w:rPr>
                <w:rFonts w:hint="eastAsia" w:ascii="黑体" w:hAnsi="黑体" w:eastAsia="黑体"/>
              </w:rPr>
              <w:t>4</w:t>
            </w:r>
          </w:p>
        </w:tc>
        <w:tc>
          <w:tcPr>
            <w:tcW w:w="1276" w:type="dxa"/>
            <w:vMerge w:val="continue"/>
            <w:vAlign w:val="center"/>
          </w:tcPr>
          <w:p w14:paraId="26671B57">
            <w:pPr>
              <w:pStyle w:val="59"/>
            </w:pPr>
          </w:p>
        </w:tc>
        <w:tc>
          <w:tcPr>
            <w:tcW w:w="2835" w:type="dxa"/>
            <w:vAlign w:val="center"/>
          </w:tcPr>
          <w:p w14:paraId="67D76F06">
            <w:pPr>
              <w:pStyle w:val="59"/>
            </w:pPr>
            <w:r>
              <w:rPr>
                <w:rFonts w:hint="eastAsia"/>
              </w:rPr>
              <w:t>NOx排放量</w:t>
            </w:r>
          </w:p>
        </w:tc>
        <w:tc>
          <w:tcPr>
            <w:tcW w:w="1417" w:type="dxa"/>
          </w:tcPr>
          <w:p w14:paraId="2718AD1D">
            <w:pPr>
              <w:pStyle w:val="59"/>
            </w:pPr>
            <w:r>
              <w:rPr>
                <w:rFonts w:hint="eastAsia"/>
              </w:rPr>
              <w:t>约束性指标</w:t>
            </w:r>
          </w:p>
        </w:tc>
        <w:tc>
          <w:tcPr>
            <w:tcW w:w="1559" w:type="dxa"/>
            <w:vAlign w:val="center"/>
          </w:tcPr>
          <w:p w14:paraId="6CC37CD1">
            <w:pPr>
              <w:pStyle w:val="59"/>
            </w:pPr>
            <w:r>
              <w:rPr>
                <w:rFonts w:hint="eastAsia"/>
              </w:rPr>
              <w:t>区生态环境局</w:t>
            </w:r>
          </w:p>
        </w:tc>
        <w:tc>
          <w:tcPr>
            <w:tcW w:w="5954" w:type="dxa"/>
          </w:tcPr>
          <w:p w14:paraId="798C4D8A">
            <w:pPr>
              <w:pStyle w:val="59"/>
            </w:pPr>
            <w:r>
              <w:rPr>
                <w:rFonts w:hint="eastAsia"/>
              </w:rPr>
              <w:t>各镇街、开发区，区发改委、工信局、水务局等相关部门。</w:t>
            </w:r>
          </w:p>
        </w:tc>
      </w:tr>
      <w:tr w14:paraId="05B1F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846" w:type="dxa"/>
            <w:vMerge w:val="restart"/>
            <w:vAlign w:val="center"/>
          </w:tcPr>
          <w:p w14:paraId="24D01DF6">
            <w:pPr>
              <w:pStyle w:val="59"/>
              <w:rPr>
                <w:rFonts w:ascii="黑体" w:hAnsi="黑体" w:eastAsia="黑体"/>
              </w:rPr>
            </w:pPr>
            <w:r>
              <w:rPr>
                <w:rFonts w:hint="eastAsia" w:ascii="黑体" w:hAnsi="黑体" w:eastAsia="黑体"/>
              </w:rPr>
              <w:t>5</w:t>
            </w:r>
          </w:p>
        </w:tc>
        <w:tc>
          <w:tcPr>
            <w:tcW w:w="1276" w:type="dxa"/>
            <w:vMerge w:val="restart"/>
            <w:vAlign w:val="center"/>
          </w:tcPr>
          <w:p w14:paraId="44BBFADA">
            <w:pPr>
              <w:pStyle w:val="59"/>
            </w:pPr>
            <w:r>
              <w:rPr>
                <w:rFonts w:hint="eastAsia"/>
              </w:rPr>
              <w:t>环境质量目标</w:t>
            </w:r>
          </w:p>
        </w:tc>
        <w:tc>
          <w:tcPr>
            <w:tcW w:w="2835" w:type="dxa"/>
            <w:vAlign w:val="center"/>
          </w:tcPr>
          <w:p w14:paraId="63991860">
            <w:pPr>
              <w:pStyle w:val="59"/>
            </w:pPr>
            <w:r>
              <w:rPr>
                <w:rFonts w:hint="eastAsia"/>
              </w:rPr>
              <w:t>县级以上城市环境空气质量指数（AQI）达到优良天数占比</w:t>
            </w:r>
          </w:p>
        </w:tc>
        <w:tc>
          <w:tcPr>
            <w:tcW w:w="1417" w:type="dxa"/>
          </w:tcPr>
          <w:p w14:paraId="0933B935">
            <w:pPr>
              <w:pStyle w:val="59"/>
            </w:pPr>
            <w:r>
              <w:rPr>
                <w:rFonts w:hint="eastAsia"/>
              </w:rPr>
              <w:t>约束性指标</w:t>
            </w:r>
          </w:p>
        </w:tc>
        <w:tc>
          <w:tcPr>
            <w:tcW w:w="1559" w:type="dxa"/>
            <w:vAlign w:val="center"/>
          </w:tcPr>
          <w:p w14:paraId="40328575">
            <w:pPr>
              <w:pStyle w:val="59"/>
            </w:pPr>
            <w:r>
              <w:rPr>
                <w:rFonts w:hint="eastAsia"/>
              </w:rPr>
              <w:t>区生态环境局</w:t>
            </w:r>
          </w:p>
        </w:tc>
        <w:tc>
          <w:tcPr>
            <w:tcW w:w="5954" w:type="dxa"/>
            <w:vAlign w:val="center"/>
          </w:tcPr>
          <w:p w14:paraId="40BA4834">
            <w:pPr>
              <w:pStyle w:val="59"/>
            </w:pPr>
            <w:r>
              <w:rPr>
                <w:rFonts w:hint="eastAsia"/>
              </w:rPr>
              <w:t>各镇街、开发区，区发改委、工信局、公安分局、运管局等相关部门。</w:t>
            </w:r>
          </w:p>
        </w:tc>
      </w:tr>
      <w:tr w14:paraId="2084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46" w:type="dxa"/>
            <w:vMerge w:val="continue"/>
            <w:vAlign w:val="center"/>
          </w:tcPr>
          <w:p w14:paraId="0AA785E0">
            <w:pPr>
              <w:pStyle w:val="59"/>
              <w:rPr>
                <w:rFonts w:ascii="黑体" w:hAnsi="黑体" w:eastAsia="黑体"/>
              </w:rPr>
            </w:pPr>
          </w:p>
        </w:tc>
        <w:tc>
          <w:tcPr>
            <w:tcW w:w="1276" w:type="dxa"/>
            <w:vMerge w:val="continue"/>
            <w:vAlign w:val="center"/>
          </w:tcPr>
          <w:p w14:paraId="22E99ED9">
            <w:pPr>
              <w:pStyle w:val="59"/>
            </w:pPr>
          </w:p>
        </w:tc>
        <w:tc>
          <w:tcPr>
            <w:tcW w:w="2835" w:type="dxa"/>
            <w:vAlign w:val="center"/>
          </w:tcPr>
          <w:p w14:paraId="66A9953B">
            <w:pPr>
              <w:pStyle w:val="59"/>
            </w:pPr>
            <w:r>
              <w:rPr>
                <w:rFonts w:hint="eastAsia"/>
              </w:rPr>
              <w:t>环境空气基本项目年均浓度值达二级标准</w:t>
            </w:r>
          </w:p>
        </w:tc>
        <w:tc>
          <w:tcPr>
            <w:tcW w:w="1417" w:type="dxa"/>
          </w:tcPr>
          <w:p w14:paraId="55635A74">
            <w:pPr>
              <w:pStyle w:val="59"/>
            </w:pPr>
            <w:r>
              <w:rPr>
                <w:rFonts w:hint="eastAsia"/>
              </w:rPr>
              <w:t>参考性指标</w:t>
            </w:r>
          </w:p>
        </w:tc>
        <w:tc>
          <w:tcPr>
            <w:tcW w:w="1559" w:type="dxa"/>
            <w:vAlign w:val="center"/>
          </w:tcPr>
          <w:p w14:paraId="791C7E8A">
            <w:pPr>
              <w:pStyle w:val="59"/>
            </w:pPr>
            <w:r>
              <w:rPr>
                <w:rFonts w:hint="eastAsia"/>
              </w:rPr>
              <w:t>区生态环境局</w:t>
            </w:r>
          </w:p>
        </w:tc>
        <w:tc>
          <w:tcPr>
            <w:tcW w:w="5954" w:type="dxa"/>
            <w:vAlign w:val="center"/>
          </w:tcPr>
          <w:p w14:paraId="583A5BC9">
            <w:pPr>
              <w:pStyle w:val="59"/>
            </w:pPr>
            <w:r>
              <w:rPr>
                <w:rFonts w:hint="eastAsia"/>
              </w:rPr>
              <w:t>各镇街、开发区，区发改委、工信局、公安分局、运管局等相关部门。</w:t>
            </w:r>
          </w:p>
        </w:tc>
      </w:tr>
      <w:tr w14:paraId="1295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Merge w:val="continue"/>
            <w:vAlign w:val="center"/>
          </w:tcPr>
          <w:p w14:paraId="7A05C805">
            <w:pPr>
              <w:pStyle w:val="59"/>
              <w:rPr>
                <w:rFonts w:ascii="黑体" w:hAnsi="黑体" w:eastAsia="黑体"/>
              </w:rPr>
            </w:pPr>
          </w:p>
        </w:tc>
        <w:tc>
          <w:tcPr>
            <w:tcW w:w="1276" w:type="dxa"/>
            <w:vMerge w:val="continue"/>
            <w:vAlign w:val="center"/>
          </w:tcPr>
          <w:p w14:paraId="44B087DD">
            <w:pPr>
              <w:pStyle w:val="59"/>
            </w:pPr>
          </w:p>
        </w:tc>
        <w:tc>
          <w:tcPr>
            <w:tcW w:w="2835" w:type="dxa"/>
            <w:vAlign w:val="center"/>
          </w:tcPr>
          <w:p w14:paraId="21BEEAAF">
            <w:pPr>
              <w:pStyle w:val="59"/>
            </w:pPr>
            <w:r>
              <w:rPr>
                <w:rFonts w:hint="eastAsia"/>
              </w:rPr>
              <w:t>主要河流水质优良（达到或优于III类）比例</w:t>
            </w:r>
          </w:p>
        </w:tc>
        <w:tc>
          <w:tcPr>
            <w:tcW w:w="1417" w:type="dxa"/>
          </w:tcPr>
          <w:p w14:paraId="10F7BBBF">
            <w:pPr>
              <w:pStyle w:val="59"/>
            </w:pPr>
            <w:r>
              <w:rPr>
                <w:rFonts w:hint="eastAsia"/>
              </w:rPr>
              <w:t>约束性指标</w:t>
            </w:r>
          </w:p>
        </w:tc>
        <w:tc>
          <w:tcPr>
            <w:tcW w:w="1559" w:type="dxa"/>
            <w:vAlign w:val="center"/>
          </w:tcPr>
          <w:p w14:paraId="79B32D0A">
            <w:pPr>
              <w:pStyle w:val="59"/>
            </w:pPr>
            <w:r>
              <w:rPr>
                <w:rFonts w:hint="eastAsia"/>
              </w:rPr>
              <w:t>区生态环境局</w:t>
            </w:r>
          </w:p>
        </w:tc>
        <w:tc>
          <w:tcPr>
            <w:tcW w:w="5954" w:type="dxa"/>
            <w:vAlign w:val="center"/>
          </w:tcPr>
          <w:p w14:paraId="415A9643">
            <w:pPr>
              <w:pStyle w:val="59"/>
            </w:pPr>
            <w:r>
              <w:rPr>
                <w:rFonts w:hint="eastAsia"/>
              </w:rPr>
              <w:t>各镇街、开发区，区水务局、住建委、发改委、工信局、运管局、卫健委、农委等相关部门。</w:t>
            </w:r>
          </w:p>
        </w:tc>
      </w:tr>
      <w:tr w14:paraId="6DA6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19D3A273">
            <w:pPr>
              <w:pStyle w:val="59"/>
              <w:rPr>
                <w:rFonts w:ascii="黑体" w:hAnsi="黑体" w:eastAsia="黑体"/>
              </w:rPr>
            </w:pPr>
            <w:r>
              <w:rPr>
                <w:rFonts w:hint="eastAsia" w:ascii="黑体" w:hAnsi="黑体" w:eastAsia="黑体"/>
              </w:rPr>
              <w:t>6</w:t>
            </w:r>
          </w:p>
        </w:tc>
        <w:tc>
          <w:tcPr>
            <w:tcW w:w="1276" w:type="dxa"/>
            <w:vMerge w:val="continue"/>
            <w:vAlign w:val="center"/>
          </w:tcPr>
          <w:p w14:paraId="2D68C95E">
            <w:pPr>
              <w:pStyle w:val="59"/>
            </w:pPr>
          </w:p>
        </w:tc>
        <w:tc>
          <w:tcPr>
            <w:tcW w:w="2835" w:type="dxa"/>
            <w:vAlign w:val="center"/>
          </w:tcPr>
          <w:p w14:paraId="05C47EAA">
            <w:pPr>
              <w:pStyle w:val="59"/>
            </w:pPr>
            <w:r>
              <w:rPr>
                <w:rFonts w:hint="eastAsia"/>
              </w:rPr>
              <w:t>出境断面水质优良比例</w:t>
            </w:r>
          </w:p>
        </w:tc>
        <w:tc>
          <w:tcPr>
            <w:tcW w:w="1417" w:type="dxa"/>
          </w:tcPr>
          <w:p w14:paraId="09605D9D">
            <w:pPr>
              <w:pStyle w:val="59"/>
            </w:pPr>
            <w:r>
              <w:rPr>
                <w:rFonts w:hint="eastAsia"/>
              </w:rPr>
              <w:t>约束性指标</w:t>
            </w:r>
          </w:p>
        </w:tc>
        <w:tc>
          <w:tcPr>
            <w:tcW w:w="1559" w:type="dxa"/>
            <w:vAlign w:val="center"/>
          </w:tcPr>
          <w:p w14:paraId="2CED17B7">
            <w:pPr>
              <w:pStyle w:val="59"/>
            </w:pPr>
            <w:r>
              <w:rPr>
                <w:rFonts w:hint="eastAsia"/>
              </w:rPr>
              <w:t>区生态环境局</w:t>
            </w:r>
          </w:p>
        </w:tc>
        <w:tc>
          <w:tcPr>
            <w:tcW w:w="5954" w:type="dxa"/>
            <w:vAlign w:val="center"/>
          </w:tcPr>
          <w:p w14:paraId="4F4A17A2">
            <w:pPr>
              <w:pStyle w:val="59"/>
            </w:pPr>
            <w:r>
              <w:rPr>
                <w:rFonts w:hint="eastAsia"/>
              </w:rPr>
              <w:t>各镇街、开发区，区水务局、住建委、发改委、工信局、运管局、卫健委、农委等相关部门。</w:t>
            </w:r>
          </w:p>
        </w:tc>
      </w:tr>
      <w:tr w14:paraId="092A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86D5464">
            <w:pPr>
              <w:pStyle w:val="59"/>
              <w:rPr>
                <w:rFonts w:ascii="黑体" w:hAnsi="黑体" w:eastAsia="黑体"/>
              </w:rPr>
            </w:pPr>
            <w:r>
              <w:rPr>
                <w:rFonts w:hint="eastAsia" w:ascii="黑体" w:hAnsi="黑体" w:eastAsia="黑体"/>
              </w:rPr>
              <w:t>7</w:t>
            </w:r>
          </w:p>
        </w:tc>
        <w:tc>
          <w:tcPr>
            <w:tcW w:w="1276" w:type="dxa"/>
            <w:vMerge w:val="continue"/>
            <w:vAlign w:val="center"/>
          </w:tcPr>
          <w:p w14:paraId="3FF4221D">
            <w:pPr>
              <w:pStyle w:val="59"/>
            </w:pPr>
          </w:p>
        </w:tc>
        <w:tc>
          <w:tcPr>
            <w:tcW w:w="2835" w:type="dxa"/>
            <w:vAlign w:val="center"/>
          </w:tcPr>
          <w:p w14:paraId="078E6395">
            <w:pPr>
              <w:pStyle w:val="59"/>
            </w:pPr>
            <w:r>
              <w:rPr>
                <w:rFonts w:hint="eastAsia"/>
              </w:rPr>
              <w:t>集中式饮用水源地水质达标率</w:t>
            </w:r>
          </w:p>
        </w:tc>
        <w:tc>
          <w:tcPr>
            <w:tcW w:w="1417" w:type="dxa"/>
          </w:tcPr>
          <w:p w14:paraId="69C4C617">
            <w:pPr>
              <w:pStyle w:val="59"/>
            </w:pPr>
            <w:r>
              <w:rPr>
                <w:rFonts w:hint="eastAsia"/>
              </w:rPr>
              <w:t>约束性指标</w:t>
            </w:r>
          </w:p>
        </w:tc>
        <w:tc>
          <w:tcPr>
            <w:tcW w:w="1559" w:type="dxa"/>
            <w:vAlign w:val="center"/>
          </w:tcPr>
          <w:p w14:paraId="4F2AD4F5">
            <w:pPr>
              <w:pStyle w:val="59"/>
            </w:pPr>
            <w:r>
              <w:rPr>
                <w:rFonts w:hint="eastAsia"/>
              </w:rPr>
              <w:t>区生态环境局</w:t>
            </w:r>
          </w:p>
        </w:tc>
        <w:tc>
          <w:tcPr>
            <w:tcW w:w="5954" w:type="dxa"/>
            <w:vAlign w:val="center"/>
          </w:tcPr>
          <w:p w14:paraId="4A773B6A">
            <w:pPr>
              <w:pStyle w:val="59"/>
            </w:pPr>
            <w:r>
              <w:rPr>
                <w:rFonts w:hint="eastAsia"/>
              </w:rPr>
              <w:t>各镇街、开发区，区水务局、住建委、发改委、工信局、运管局、卫健委、农委等相关部门。</w:t>
            </w:r>
          </w:p>
        </w:tc>
      </w:tr>
      <w:tr w14:paraId="7B2E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FD54998">
            <w:pPr>
              <w:pStyle w:val="59"/>
              <w:rPr>
                <w:rFonts w:ascii="黑体" w:hAnsi="黑体" w:eastAsia="黑体"/>
              </w:rPr>
            </w:pPr>
            <w:r>
              <w:rPr>
                <w:rFonts w:hint="eastAsia" w:ascii="黑体" w:hAnsi="黑体" w:eastAsia="黑体"/>
              </w:rPr>
              <w:t>8</w:t>
            </w:r>
          </w:p>
        </w:tc>
        <w:tc>
          <w:tcPr>
            <w:tcW w:w="1276" w:type="dxa"/>
            <w:vMerge w:val="continue"/>
            <w:vAlign w:val="center"/>
          </w:tcPr>
          <w:p w14:paraId="29DA1FAE">
            <w:pPr>
              <w:pStyle w:val="59"/>
            </w:pPr>
          </w:p>
        </w:tc>
        <w:tc>
          <w:tcPr>
            <w:tcW w:w="2835" w:type="dxa"/>
            <w:vAlign w:val="center"/>
          </w:tcPr>
          <w:p w14:paraId="739F1DBC">
            <w:pPr>
              <w:pStyle w:val="59"/>
            </w:pPr>
            <w:r>
              <w:rPr>
                <w:rFonts w:hint="eastAsia"/>
              </w:rPr>
              <w:t>交通干线噪声平均值</w:t>
            </w:r>
          </w:p>
        </w:tc>
        <w:tc>
          <w:tcPr>
            <w:tcW w:w="1417" w:type="dxa"/>
          </w:tcPr>
          <w:p w14:paraId="7375BD4A">
            <w:pPr>
              <w:pStyle w:val="59"/>
            </w:pPr>
            <w:r>
              <w:rPr>
                <w:rFonts w:hint="eastAsia"/>
              </w:rPr>
              <w:t>约束性指标</w:t>
            </w:r>
          </w:p>
        </w:tc>
        <w:tc>
          <w:tcPr>
            <w:tcW w:w="1559" w:type="dxa"/>
            <w:vAlign w:val="center"/>
          </w:tcPr>
          <w:p w14:paraId="54387B49">
            <w:pPr>
              <w:pStyle w:val="59"/>
            </w:pPr>
            <w:r>
              <w:rPr>
                <w:rFonts w:hint="eastAsia"/>
              </w:rPr>
              <w:t>区生态环境局</w:t>
            </w:r>
          </w:p>
        </w:tc>
        <w:tc>
          <w:tcPr>
            <w:tcW w:w="5954" w:type="dxa"/>
            <w:vAlign w:val="center"/>
          </w:tcPr>
          <w:p w14:paraId="6F7A6292">
            <w:pPr>
              <w:pStyle w:val="59"/>
            </w:pPr>
            <w:r>
              <w:rPr>
                <w:rFonts w:hint="eastAsia"/>
              </w:rPr>
              <w:t>各镇街、开发区，区公安分局、运管局、住建委。</w:t>
            </w:r>
          </w:p>
        </w:tc>
      </w:tr>
      <w:tr w14:paraId="35C5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555FE564">
            <w:pPr>
              <w:pStyle w:val="59"/>
              <w:rPr>
                <w:rFonts w:ascii="黑体" w:hAnsi="黑体" w:eastAsia="黑体"/>
              </w:rPr>
            </w:pPr>
            <w:r>
              <w:rPr>
                <w:rFonts w:hint="eastAsia" w:ascii="黑体" w:hAnsi="黑体" w:eastAsia="黑体"/>
              </w:rPr>
              <w:t>9</w:t>
            </w:r>
          </w:p>
        </w:tc>
        <w:tc>
          <w:tcPr>
            <w:tcW w:w="1276" w:type="dxa"/>
            <w:vMerge w:val="continue"/>
            <w:vAlign w:val="center"/>
          </w:tcPr>
          <w:p w14:paraId="033EA0DC">
            <w:pPr>
              <w:pStyle w:val="59"/>
            </w:pPr>
          </w:p>
        </w:tc>
        <w:tc>
          <w:tcPr>
            <w:tcW w:w="2835" w:type="dxa"/>
            <w:vAlign w:val="center"/>
          </w:tcPr>
          <w:p w14:paraId="13CA7E9B">
            <w:pPr>
              <w:pStyle w:val="59"/>
            </w:pPr>
            <w:r>
              <w:rPr>
                <w:rFonts w:hint="eastAsia"/>
              </w:rPr>
              <w:t>区域环境噪声平均值</w:t>
            </w:r>
          </w:p>
        </w:tc>
        <w:tc>
          <w:tcPr>
            <w:tcW w:w="1417" w:type="dxa"/>
          </w:tcPr>
          <w:p w14:paraId="42F0E56A">
            <w:pPr>
              <w:pStyle w:val="59"/>
            </w:pPr>
            <w:r>
              <w:rPr>
                <w:rFonts w:hint="eastAsia"/>
              </w:rPr>
              <w:t>约束性指标</w:t>
            </w:r>
          </w:p>
        </w:tc>
        <w:tc>
          <w:tcPr>
            <w:tcW w:w="1559" w:type="dxa"/>
            <w:vAlign w:val="center"/>
          </w:tcPr>
          <w:p w14:paraId="0C15D92D">
            <w:pPr>
              <w:pStyle w:val="59"/>
            </w:pPr>
            <w:r>
              <w:rPr>
                <w:rFonts w:hint="eastAsia"/>
              </w:rPr>
              <w:t>区生态环境局</w:t>
            </w:r>
          </w:p>
        </w:tc>
        <w:tc>
          <w:tcPr>
            <w:tcW w:w="5954" w:type="dxa"/>
            <w:vAlign w:val="center"/>
          </w:tcPr>
          <w:p w14:paraId="157D7D3A">
            <w:pPr>
              <w:pStyle w:val="59"/>
            </w:pPr>
            <w:r>
              <w:rPr>
                <w:rFonts w:hint="eastAsia"/>
              </w:rPr>
              <w:t>各镇街、开发区，区公安分局、运管局、住建委。</w:t>
            </w:r>
          </w:p>
        </w:tc>
      </w:tr>
      <w:tr w14:paraId="530C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739CD3BA">
            <w:pPr>
              <w:pStyle w:val="59"/>
              <w:rPr>
                <w:rFonts w:ascii="黑体" w:hAnsi="黑体" w:eastAsia="黑体"/>
              </w:rPr>
            </w:pPr>
            <w:r>
              <w:rPr>
                <w:rFonts w:hint="eastAsia" w:ascii="黑体" w:hAnsi="黑体" w:eastAsia="黑体"/>
              </w:rPr>
              <w:t>10</w:t>
            </w:r>
          </w:p>
        </w:tc>
        <w:tc>
          <w:tcPr>
            <w:tcW w:w="1276" w:type="dxa"/>
            <w:vMerge w:val="restart"/>
            <w:vAlign w:val="center"/>
          </w:tcPr>
          <w:p w14:paraId="60DCA9BF">
            <w:pPr>
              <w:pStyle w:val="59"/>
            </w:pPr>
            <w:r>
              <w:rPr>
                <w:rFonts w:hint="eastAsia"/>
              </w:rPr>
              <w:t>环境建设目标</w:t>
            </w:r>
          </w:p>
        </w:tc>
        <w:tc>
          <w:tcPr>
            <w:tcW w:w="2835" w:type="dxa"/>
            <w:vAlign w:val="center"/>
          </w:tcPr>
          <w:p w14:paraId="60DA7C16">
            <w:pPr>
              <w:pStyle w:val="59"/>
            </w:pPr>
            <w:r>
              <w:rPr>
                <w:rFonts w:hint="eastAsia"/>
              </w:rPr>
              <w:t>城镇污水集中处理率</w:t>
            </w:r>
          </w:p>
        </w:tc>
        <w:tc>
          <w:tcPr>
            <w:tcW w:w="1417" w:type="dxa"/>
          </w:tcPr>
          <w:p w14:paraId="35C0EF0A">
            <w:pPr>
              <w:pStyle w:val="59"/>
            </w:pPr>
            <w:r>
              <w:rPr>
                <w:rFonts w:hint="eastAsia"/>
              </w:rPr>
              <w:t>参考性指标</w:t>
            </w:r>
          </w:p>
        </w:tc>
        <w:tc>
          <w:tcPr>
            <w:tcW w:w="1559" w:type="dxa"/>
            <w:vAlign w:val="center"/>
          </w:tcPr>
          <w:p w14:paraId="332ABC69">
            <w:pPr>
              <w:pStyle w:val="59"/>
            </w:pPr>
            <w:r>
              <w:rPr>
                <w:rFonts w:hint="eastAsia"/>
              </w:rPr>
              <w:t>区水务局</w:t>
            </w:r>
          </w:p>
        </w:tc>
        <w:tc>
          <w:tcPr>
            <w:tcW w:w="5954" w:type="dxa"/>
            <w:vAlign w:val="center"/>
          </w:tcPr>
          <w:p w14:paraId="397E4DC7">
            <w:pPr>
              <w:pStyle w:val="59"/>
            </w:pPr>
            <w:r>
              <w:rPr>
                <w:rFonts w:hint="eastAsia"/>
              </w:rPr>
              <w:t>各镇街、开发区，区发改委、财政局、住建委、土整中心。</w:t>
            </w:r>
          </w:p>
        </w:tc>
      </w:tr>
      <w:tr w14:paraId="5740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522B5407">
            <w:pPr>
              <w:pStyle w:val="59"/>
              <w:rPr>
                <w:rFonts w:ascii="黑体" w:hAnsi="黑体" w:eastAsia="黑体"/>
              </w:rPr>
            </w:pPr>
            <w:r>
              <w:rPr>
                <w:rFonts w:hint="eastAsia" w:ascii="黑体" w:hAnsi="黑体" w:eastAsia="黑体"/>
              </w:rPr>
              <w:t>11</w:t>
            </w:r>
          </w:p>
        </w:tc>
        <w:tc>
          <w:tcPr>
            <w:tcW w:w="1276" w:type="dxa"/>
            <w:vMerge w:val="continue"/>
            <w:vAlign w:val="center"/>
          </w:tcPr>
          <w:p w14:paraId="57994439">
            <w:pPr>
              <w:pStyle w:val="59"/>
            </w:pPr>
          </w:p>
        </w:tc>
        <w:tc>
          <w:tcPr>
            <w:tcW w:w="2835" w:type="dxa"/>
            <w:vAlign w:val="center"/>
          </w:tcPr>
          <w:p w14:paraId="0EAC4435">
            <w:pPr>
              <w:pStyle w:val="59"/>
            </w:pPr>
            <w:r>
              <w:rPr>
                <w:rFonts w:hint="eastAsia"/>
              </w:rPr>
              <w:t>城区污水再生利用率</w:t>
            </w:r>
          </w:p>
        </w:tc>
        <w:tc>
          <w:tcPr>
            <w:tcW w:w="1417" w:type="dxa"/>
          </w:tcPr>
          <w:p w14:paraId="6F916CF8">
            <w:pPr>
              <w:pStyle w:val="59"/>
            </w:pPr>
            <w:r>
              <w:rPr>
                <w:rFonts w:hint="eastAsia"/>
              </w:rPr>
              <w:t>参考性指标</w:t>
            </w:r>
          </w:p>
        </w:tc>
        <w:tc>
          <w:tcPr>
            <w:tcW w:w="1559" w:type="dxa"/>
            <w:vAlign w:val="center"/>
          </w:tcPr>
          <w:p w14:paraId="5F740496">
            <w:pPr>
              <w:pStyle w:val="59"/>
            </w:pPr>
            <w:r>
              <w:rPr>
                <w:rFonts w:hint="eastAsia"/>
              </w:rPr>
              <w:t>区水务局</w:t>
            </w:r>
          </w:p>
        </w:tc>
        <w:tc>
          <w:tcPr>
            <w:tcW w:w="5954" w:type="dxa"/>
            <w:vAlign w:val="center"/>
          </w:tcPr>
          <w:p w14:paraId="2A6B0D18">
            <w:pPr>
              <w:pStyle w:val="59"/>
            </w:pPr>
            <w:r>
              <w:rPr>
                <w:rFonts w:hint="eastAsia"/>
              </w:rPr>
              <w:t>各镇街、开发区，区发改委、住建委。</w:t>
            </w:r>
          </w:p>
        </w:tc>
      </w:tr>
      <w:tr w14:paraId="1FF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38CD31BD">
            <w:pPr>
              <w:pStyle w:val="59"/>
              <w:rPr>
                <w:rFonts w:ascii="黑体" w:hAnsi="黑体" w:eastAsia="黑体"/>
              </w:rPr>
            </w:pPr>
            <w:r>
              <w:rPr>
                <w:rFonts w:hint="eastAsia" w:ascii="黑体" w:hAnsi="黑体" w:eastAsia="黑体"/>
              </w:rPr>
              <w:t>12</w:t>
            </w:r>
          </w:p>
        </w:tc>
        <w:tc>
          <w:tcPr>
            <w:tcW w:w="1276" w:type="dxa"/>
            <w:vMerge w:val="continue"/>
            <w:vAlign w:val="center"/>
          </w:tcPr>
          <w:p w14:paraId="04BE9AB2">
            <w:pPr>
              <w:pStyle w:val="59"/>
            </w:pPr>
          </w:p>
        </w:tc>
        <w:tc>
          <w:tcPr>
            <w:tcW w:w="2835" w:type="dxa"/>
            <w:vAlign w:val="center"/>
          </w:tcPr>
          <w:p w14:paraId="5B3D24A8">
            <w:pPr>
              <w:pStyle w:val="59"/>
            </w:pPr>
            <w:r>
              <w:rPr>
                <w:rFonts w:hint="eastAsia"/>
              </w:rPr>
              <w:t>农村生活污水有效处置行政村覆盖率</w:t>
            </w:r>
          </w:p>
        </w:tc>
        <w:tc>
          <w:tcPr>
            <w:tcW w:w="1417" w:type="dxa"/>
          </w:tcPr>
          <w:p w14:paraId="5CE4743F">
            <w:pPr>
              <w:pStyle w:val="59"/>
            </w:pPr>
            <w:r>
              <w:rPr>
                <w:rFonts w:hint="eastAsia"/>
              </w:rPr>
              <w:t>参考性指标</w:t>
            </w:r>
          </w:p>
        </w:tc>
        <w:tc>
          <w:tcPr>
            <w:tcW w:w="1559" w:type="dxa"/>
            <w:vAlign w:val="center"/>
          </w:tcPr>
          <w:p w14:paraId="12D036C7">
            <w:pPr>
              <w:pStyle w:val="59"/>
            </w:pPr>
            <w:r>
              <w:rPr>
                <w:rFonts w:hint="eastAsia"/>
              </w:rPr>
              <w:t>区住建委</w:t>
            </w:r>
          </w:p>
        </w:tc>
        <w:tc>
          <w:tcPr>
            <w:tcW w:w="5954" w:type="dxa"/>
            <w:vAlign w:val="center"/>
          </w:tcPr>
          <w:p w14:paraId="019F8F96">
            <w:pPr>
              <w:pStyle w:val="59"/>
            </w:pPr>
            <w:r>
              <w:rPr>
                <w:rFonts w:hint="eastAsia"/>
              </w:rPr>
              <w:t>各镇街、开发区，区生态环境局、水务局、发改委。</w:t>
            </w:r>
          </w:p>
        </w:tc>
      </w:tr>
      <w:tr w14:paraId="3E34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16F267C">
            <w:pPr>
              <w:pStyle w:val="59"/>
              <w:rPr>
                <w:rFonts w:ascii="黑体" w:hAnsi="黑体" w:eastAsia="黑体"/>
              </w:rPr>
            </w:pPr>
            <w:r>
              <w:rPr>
                <w:rFonts w:hint="eastAsia" w:ascii="黑体" w:hAnsi="黑体" w:eastAsia="黑体"/>
              </w:rPr>
              <w:t>13</w:t>
            </w:r>
          </w:p>
        </w:tc>
        <w:tc>
          <w:tcPr>
            <w:tcW w:w="1276" w:type="dxa"/>
            <w:vMerge w:val="continue"/>
            <w:vAlign w:val="center"/>
          </w:tcPr>
          <w:p w14:paraId="18A99323">
            <w:pPr>
              <w:pStyle w:val="59"/>
            </w:pPr>
          </w:p>
        </w:tc>
        <w:tc>
          <w:tcPr>
            <w:tcW w:w="2835" w:type="dxa"/>
            <w:vAlign w:val="center"/>
          </w:tcPr>
          <w:p w14:paraId="3A375E82">
            <w:pPr>
              <w:pStyle w:val="59"/>
            </w:pPr>
            <w:r>
              <w:rPr>
                <w:rFonts w:hint="eastAsia"/>
              </w:rPr>
              <w:t>城镇生活垃圾无害化处理率</w:t>
            </w:r>
          </w:p>
        </w:tc>
        <w:tc>
          <w:tcPr>
            <w:tcW w:w="1417" w:type="dxa"/>
          </w:tcPr>
          <w:p w14:paraId="24EAF20D">
            <w:pPr>
              <w:pStyle w:val="59"/>
            </w:pPr>
            <w:r>
              <w:rPr>
                <w:rFonts w:hint="eastAsia"/>
              </w:rPr>
              <w:t>参考性指标</w:t>
            </w:r>
          </w:p>
        </w:tc>
        <w:tc>
          <w:tcPr>
            <w:tcW w:w="1559" w:type="dxa"/>
            <w:vAlign w:val="center"/>
          </w:tcPr>
          <w:p w14:paraId="17B88DAD">
            <w:pPr>
              <w:pStyle w:val="59"/>
            </w:pPr>
            <w:r>
              <w:rPr>
                <w:rFonts w:hint="eastAsia"/>
              </w:rPr>
              <w:t>区城管委</w:t>
            </w:r>
          </w:p>
        </w:tc>
        <w:tc>
          <w:tcPr>
            <w:tcW w:w="5954" w:type="dxa"/>
            <w:vAlign w:val="center"/>
          </w:tcPr>
          <w:p w14:paraId="2174A3E8">
            <w:pPr>
              <w:pStyle w:val="59"/>
            </w:pPr>
            <w:r>
              <w:rPr>
                <w:rFonts w:hint="eastAsia"/>
              </w:rPr>
              <w:t>各镇街、开发区，区发改委、生态环境局、住建委、水务局、等相关部门。</w:t>
            </w:r>
          </w:p>
        </w:tc>
      </w:tr>
      <w:tr w14:paraId="2CF5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02E227F">
            <w:pPr>
              <w:pStyle w:val="59"/>
              <w:rPr>
                <w:rFonts w:ascii="黑体" w:hAnsi="黑体" w:eastAsia="黑体"/>
              </w:rPr>
            </w:pPr>
            <w:r>
              <w:rPr>
                <w:rFonts w:hint="eastAsia" w:ascii="黑体" w:hAnsi="黑体" w:eastAsia="黑体"/>
              </w:rPr>
              <w:t>14</w:t>
            </w:r>
          </w:p>
        </w:tc>
        <w:tc>
          <w:tcPr>
            <w:tcW w:w="1276" w:type="dxa"/>
            <w:vMerge w:val="continue"/>
            <w:vAlign w:val="center"/>
          </w:tcPr>
          <w:p w14:paraId="282B349C">
            <w:pPr>
              <w:pStyle w:val="59"/>
            </w:pPr>
          </w:p>
        </w:tc>
        <w:tc>
          <w:tcPr>
            <w:tcW w:w="2835" w:type="dxa"/>
            <w:vAlign w:val="center"/>
          </w:tcPr>
          <w:p w14:paraId="044DF779">
            <w:pPr>
              <w:pStyle w:val="59"/>
            </w:pPr>
            <w:r>
              <w:rPr>
                <w:rFonts w:hint="eastAsia"/>
              </w:rPr>
              <w:t>农村生活垃圾有效处置行政村覆盖率</w:t>
            </w:r>
          </w:p>
        </w:tc>
        <w:tc>
          <w:tcPr>
            <w:tcW w:w="1417" w:type="dxa"/>
          </w:tcPr>
          <w:p w14:paraId="305FF96F">
            <w:pPr>
              <w:pStyle w:val="59"/>
            </w:pPr>
            <w:r>
              <w:rPr>
                <w:rFonts w:hint="eastAsia"/>
              </w:rPr>
              <w:t>参考性指标</w:t>
            </w:r>
          </w:p>
        </w:tc>
        <w:tc>
          <w:tcPr>
            <w:tcW w:w="1559" w:type="dxa"/>
            <w:vAlign w:val="center"/>
          </w:tcPr>
          <w:p w14:paraId="1721E62C">
            <w:pPr>
              <w:pStyle w:val="59"/>
            </w:pPr>
            <w:r>
              <w:rPr>
                <w:rFonts w:hint="eastAsia"/>
              </w:rPr>
              <w:t>区城管委</w:t>
            </w:r>
          </w:p>
        </w:tc>
        <w:tc>
          <w:tcPr>
            <w:tcW w:w="5954" w:type="dxa"/>
            <w:vAlign w:val="center"/>
          </w:tcPr>
          <w:p w14:paraId="23333C79">
            <w:pPr>
              <w:pStyle w:val="59"/>
            </w:pPr>
            <w:r>
              <w:rPr>
                <w:rFonts w:hint="eastAsia"/>
              </w:rPr>
              <w:t>各镇街、开发区，区发改委、生态环境局、住建委、水务局、等相关部门。</w:t>
            </w:r>
          </w:p>
        </w:tc>
      </w:tr>
      <w:tr w14:paraId="203A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C4C8D3A">
            <w:pPr>
              <w:pStyle w:val="59"/>
              <w:rPr>
                <w:rFonts w:ascii="黑体" w:hAnsi="黑体" w:eastAsia="黑体"/>
              </w:rPr>
            </w:pPr>
            <w:r>
              <w:rPr>
                <w:rFonts w:hint="eastAsia" w:ascii="黑体" w:hAnsi="黑体" w:eastAsia="黑体"/>
              </w:rPr>
              <w:t>15</w:t>
            </w:r>
          </w:p>
        </w:tc>
        <w:tc>
          <w:tcPr>
            <w:tcW w:w="1276" w:type="dxa"/>
            <w:vMerge w:val="continue"/>
            <w:vAlign w:val="center"/>
          </w:tcPr>
          <w:p w14:paraId="55E6BAA9">
            <w:pPr>
              <w:pStyle w:val="59"/>
            </w:pPr>
          </w:p>
        </w:tc>
        <w:tc>
          <w:tcPr>
            <w:tcW w:w="2835" w:type="dxa"/>
            <w:vAlign w:val="center"/>
          </w:tcPr>
          <w:p w14:paraId="124B7823">
            <w:pPr>
              <w:pStyle w:val="59"/>
            </w:pPr>
            <w:r>
              <w:rPr>
                <w:rFonts w:hint="eastAsia"/>
              </w:rPr>
              <w:t>清洁能源使用率</w:t>
            </w:r>
          </w:p>
        </w:tc>
        <w:tc>
          <w:tcPr>
            <w:tcW w:w="1417" w:type="dxa"/>
          </w:tcPr>
          <w:p w14:paraId="486C401D">
            <w:pPr>
              <w:pStyle w:val="59"/>
            </w:pPr>
            <w:r>
              <w:rPr>
                <w:rFonts w:hint="eastAsia"/>
              </w:rPr>
              <w:t>参考性指标</w:t>
            </w:r>
          </w:p>
        </w:tc>
        <w:tc>
          <w:tcPr>
            <w:tcW w:w="1559" w:type="dxa"/>
            <w:vAlign w:val="center"/>
          </w:tcPr>
          <w:p w14:paraId="2C7EE49B">
            <w:pPr>
              <w:pStyle w:val="59"/>
            </w:pPr>
            <w:r>
              <w:rPr>
                <w:rFonts w:hint="eastAsia"/>
              </w:rPr>
              <w:t>区发改委</w:t>
            </w:r>
          </w:p>
        </w:tc>
        <w:tc>
          <w:tcPr>
            <w:tcW w:w="5954" w:type="dxa"/>
            <w:vAlign w:val="center"/>
          </w:tcPr>
          <w:p w14:paraId="2F3698D9">
            <w:pPr>
              <w:pStyle w:val="59"/>
            </w:pPr>
            <w:r>
              <w:rPr>
                <w:rFonts w:hint="eastAsia"/>
              </w:rPr>
              <w:t>各镇街、开发区，区城管委、运管局、生态环境局、住建委等相关部门。</w:t>
            </w:r>
          </w:p>
        </w:tc>
      </w:tr>
      <w:tr w14:paraId="7D2C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752EE96B">
            <w:pPr>
              <w:pStyle w:val="59"/>
              <w:rPr>
                <w:rFonts w:ascii="黑体" w:hAnsi="黑体" w:eastAsia="黑体"/>
              </w:rPr>
            </w:pPr>
            <w:r>
              <w:rPr>
                <w:rFonts w:hint="eastAsia" w:ascii="黑体" w:hAnsi="黑体" w:eastAsia="黑体"/>
              </w:rPr>
              <w:t>16</w:t>
            </w:r>
          </w:p>
        </w:tc>
        <w:tc>
          <w:tcPr>
            <w:tcW w:w="1276" w:type="dxa"/>
            <w:vMerge w:val="continue"/>
            <w:vAlign w:val="center"/>
          </w:tcPr>
          <w:p w14:paraId="4BA0F290">
            <w:pPr>
              <w:pStyle w:val="59"/>
            </w:pPr>
          </w:p>
        </w:tc>
        <w:tc>
          <w:tcPr>
            <w:tcW w:w="2835" w:type="dxa"/>
            <w:vAlign w:val="center"/>
          </w:tcPr>
          <w:p w14:paraId="53916737">
            <w:pPr>
              <w:pStyle w:val="59"/>
            </w:pPr>
            <w:r>
              <w:rPr>
                <w:rFonts w:hint="eastAsia"/>
              </w:rPr>
              <w:t>危险废物集中处置率</w:t>
            </w:r>
          </w:p>
        </w:tc>
        <w:tc>
          <w:tcPr>
            <w:tcW w:w="1417" w:type="dxa"/>
          </w:tcPr>
          <w:p w14:paraId="15738EE5">
            <w:pPr>
              <w:pStyle w:val="59"/>
            </w:pPr>
            <w:r>
              <w:rPr>
                <w:rFonts w:hint="eastAsia"/>
              </w:rPr>
              <w:t>参考性指标</w:t>
            </w:r>
          </w:p>
        </w:tc>
        <w:tc>
          <w:tcPr>
            <w:tcW w:w="1559" w:type="dxa"/>
            <w:vAlign w:val="center"/>
          </w:tcPr>
          <w:p w14:paraId="53420D4A">
            <w:pPr>
              <w:pStyle w:val="59"/>
            </w:pPr>
            <w:r>
              <w:rPr>
                <w:rFonts w:hint="eastAsia"/>
              </w:rPr>
              <w:t>区生态环境局</w:t>
            </w:r>
          </w:p>
        </w:tc>
        <w:tc>
          <w:tcPr>
            <w:tcW w:w="5954" w:type="dxa"/>
            <w:vAlign w:val="center"/>
          </w:tcPr>
          <w:p w14:paraId="12C06AB6">
            <w:pPr>
              <w:pStyle w:val="59"/>
            </w:pPr>
            <w:r>
              <w:rPr>
                <w:rFonts w:hint="eastAsia"/>
              </w:rPr>
              <w:t>各镇街、开发区，区卫健委、发改委、规资分局、运管局等相关部门。</w:t>
            </w:r>
          </w:p>
        </w:tc>
      </w:tr>
      <w:tr w14:paraId="11F3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39095A98">
            <w:pPr>
              <w:pStyle w:val="59"/>
              <w:rPr>
                <w:rFonts w:ascii="黑体" w:hAnsi="黑体" w:eastAsia="黑体"/>
              </w:rPr>
            </w:pPr>
            <w:r>
              <w:rPr>
                <w:rFonts w:hint="eastAsia" w:ascii="黑体" w:hAnsi="黑体" w:eastAsia="黑体"/>
              </w:rPr>
              <w:t>18</w:t>
            </w:r>
          </w:p>
        </w:tc>
        <w:tc>
          <w:tcPr>
            <w:tcW w:w="1276" w:type="dxa"/>
            <w:vMerge w:val="continue"/>
            <w:vAlign w:val="center"/>
          </w:tcPr>
          <w:p w14:paraId="6C45F3E1">
            <w:pPr>
              <w:pStyle w:val="59"/>
            </w:pPr>
          </w:p>
        </w:tc>
        <w:tc>
          <w:tcPr>
            <w:tcW w:w="2835" w:type="dxa"/>
            <w:vAlign w:val="center"/>
          </w:tcPr>
          <w:p w14:paraId="4E39E818">
            <w:pPr>
              <w:pStyle w:val="59"/>
            </w:pPr>
            <w:r>
              <w:rPr>
                <w:rFonts w:hint="eastAsia"/>
              </w:rPr>
              <w:t>工业污染源排放达标率</w:t>
            </w:r>
          </w:p>
        </w:tc>
        <w:tc>
          <w:tcPr>
            <w:tcW w:w="1417" w:type="dxa"/>
          </w:tcPr>
          <w:p w14:paraId="3B3FA863">
            <w:pPr>
              <w:pStyle w:val="59"/>
            </w:pPr>
            <w:r>
              <w:rPr>
                <w:rFonts w:hint="eastAsia"/>
              </w:rPr>
              <w:t>参考性指标</w:t>
            </w:r>
          </w:p>
        </w:tc>
        <w:tc>
          <w:tcPr>
            <w:tcW w:w="1559" w:type="dxa"/>
            <w:vAlign w:val="center"/>
          </w:tcPr>
          <w:p w14:paraId="12D07446">
            <w:pPr>
              <w:pStyle w:val="59"/>
            </w:pPr>
            <w:r>
              <w:rPr>
                <w:rFonts w:hint="eastAsia"/>
              </w:rPr>
              <w:t>区生态环境局</w:t>
            </w:r>
          </w:p>
        </w:tc>
        <w:tc>
          <w:tcPr>
            <w:tcW w:w="5954" w:type="dxa"/>
            <w:vAlign w:val="center"/>
          </w:tcPr>
          <w:p w14:paraId="0CD75F17">
            <w:pPr>
              <w:pStyle w:val="59"/>
            </w:pPr>
            <w:r>
              <w:rPr>
                <w:rFonts w:hint="eastAsia"/>
              </w:rPr>
              <w:t>各镇街、开发区，区发改委、工信局。</w:t>
            </w:r>
          </w:p>
        </w:tc>
      </w:tr>
      <w:tr w14:paraId="01F5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5A694844">
            <w:pPr>
              <w:pStyle w:val="59"/>
              <w:rPr>
                <w:rFonts w:ascii="黑体" w:hAnsi="黑体" w:eastAsia="黑体"/>
              </w:rPr>
            </w:pPr>
            <w:r>
              <w:rPr>
                <w:rFonts w:hint="eastAsia" w:ascii="黑体" w:hAnsi="黑体" w:eastAsia="黑体"/>
              </w:rPr>
              <w:t>19</w:t>
            </w:r>
          </w:p>
        </w:tc>
        <w:tc>
          <w:tcPr>
            <w:tcW w:w="1276" w:type="dxa"/>
            <w:vMerge w:val="continue"/>
            <w:vAlign w:val="center"/>
          </w:tcPr>
          <w:p w14:paraId="1D523CB4">
            <w:pPr>
              <w:pStyle w:val="59"/>
            </w:pPr>
          </w:p>
        </w:tc>
        <w:tc>
          <w:tcPr>
            <w:tcW w:w="2835" w:type="dxa"/>
            <w:vAlign w:val="center"/>
          </w:tcPr>
          <w:p w14:paraId="65361AB6">
            <w:pPr>
              <w:pStyle w:val="59"/>
            </w:pPr>
            <w:r>
              <w:rPr>
                <w:rFonts w:hint="eastAsia"/>
              </w:rPr>
              <w:t>工业固体废物处置利用率</w:t>
            </w:r>
          </w:p>
        </w:tc>
        <w:tc>
          <w:tcPr>
            <w:tcW w:w="1417" w:type="dxa"/>
          </w:tcPr>
          <w:p w14:paraId="156D3910">
            <w:pPr>
              <w:pStyle w:val="59"/>
            </w:pPr>
            <w:r>
              <w:rPr>
                <w:rFonts w:hint="eastAsia"/>
              </w:rPr>
              <w:t>参考性指标</w:t>
            </w:r>
          </w:p>
        </w:tc>
        <w:tc>
          <w:tcPr>
            <w:tcW w:w="1559" w:type="dxa"/>
            <w:vAlign w:val="center"/>
          </w:tcPr>
          <w:p w14:paraId="64C2B595">
            <w:pPr>
              <w:pStyle w:val="59"/>
            </w:pPr>
            <w:r>
              <w:rPr>
                <w:rFonts w:hint="eastAsia"/>
              </w:rPr>
              <w:t>区工信局</w:t>
            </w:r>
          </w:p>
        </w:tc>
        <w:tc>
          <w:tcPr>
            <w:tcW w:w="5954" w:type="dxa"/>
            <w:vAlign w:val="center"/>
          </w:tcPr>
          <w:p w14:paraId="6CD045E3">
            <w:pPr>
              <w:pStyle w:val="59"/>
            </w:pPr>
            <w:r>
              <w:rPr>
                <w:rFonts w:hint="eastAsia"/>
              </w:rPr>
              <w:t>各镇街、开发区，区规资分局、生态环境局。</w:t>
            </w:r>
          </w:p>
        </w:tc>
      </w:tr>
      <w:tr w14:paraId="368C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6" w:type="dxa"/>
            <w:vAlign w:val="center"/>
          </w:tcPr>
          <w:p w14:paraId="1E60C356">
            <w:pPr>
              <w:pStyle w:val="59"/>
              <w:rPr>
                <w:rFonts w:ascii="黑体" w:hAnsi="黑体" w:eastAsia="黑体"/>
              </w:rPr>
            </w:pPr>
            <w:r>
              <w:rPr>
                <w:rFonts w:hint="eastAsia" w:ascii="黑体" w:hAnsi="黑体" w:eastAsia="黑体"/>
              </w:rPr>
              <w:t>20</w:t>
            </w:r>
          </w:p>
        </w:tc>
        <w:tc>
          <w:tcPr>
            <w:tcW w:w="1276" w:type="dxa"/>
            <w:vMerge w:val="continue"/>
            <w:vAlign w:val="center"/>
          </w:tcPr>
          <w:p w14:paraId="01A8C3DE">
            <w:pPr>
              <w:pStyle w:val="59"/>
            </w:pPr>
          </w:p>
        </w:tc>
        <w:tc>
          <w:tcPr>
            <w:tcW w:w="2835" w:type="dxa"/>
            <w:vAlign w:val="center"/>
          </w:tcPr>
          <w:p w14:paraId="73CB25B8">
            <w:pPr>
              <w:pStyle w:val="59"/>
            </w:pPr>
            <w:r>
              <w:rPr>
                <w:rFonts w:hint="eastAsia"/>
              </w:rPr>
              <w:t>重点工业污染源企业清洁生产数量</w:t>
            </w:r>
          </w:p>
        </w:tc>
        <w:tc>
          <w:tcPr>
            <w:tcW w:w="1417" w:type="dxa"/>
          </w:tcPr>
          <w:p w14:paraId="38061072">
            <w:pPr>
              <w:pStyle w:val="59"/>
            </w:pPr>
            <w:r>
              <w:rPr>
                <w:rFonts w:hint="eastAsia"/>
              </w:rPr>
              <w:t>参考性指标</w:t>
            </w:r>
          </w:p>
        </w:tc>
        <w:tc>
          <w:tcPr>
            <w:tcW w:w="1559" w:type="dxa"/>
            <w:vAlign w:val="center"/>
          </w:tcPr>
          <w:p w14:paraId="4578BC92">
            <w:pPr>
              <w:pStyle w:val="59"/>
            </w:pPr>
            <w:r>
              <w:rPr>
                <w:rFonts w:hint="eastAsia"/>
              </w:rPr>
              <w:t>区发改委</w:t>
            </w:r>
          </w:p>
        </w:tc>
        <w:tc>
          <w:tcPr>
            <w:tcW w:w="5954" w:type="dxa"/>
            <w:vAlign w:val="center"/>
          </w:tcPr>
          <w:p w14:paraId="2AEBCD68">
            <w:pPr>
              <w:pStyle w:val="59"/>
            </w:pPr>
            <w:r>
              <w:rPr>
                <w:rFonts w:hint="eastAsia"/>
              </w:rPr>
              <w:t>各镇街、开发区，区发改委、工信局。</w:t>
            </w:r>
          </w:p>
        </w:tc>
      </w:tr>
      <w:tr w14:paraId="4A4D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666987F9">
            <w:pPr>
              <w:pStyle w:val="59"/>
              <w:rPr>
                <w:rFonts w:ascii="黑体" w:hAnsi="黑体" w:eastAsia="黑体"/>
              </w:rPr>
            </w:pPr>
            <w:r>
              <w:rPr>
                <w:rFonts w:hint="eastAsia" w:ascii="黑体" w:hAnsi="黑体" w:eastAsia="黑体"/>
              </w:rPr>
              <w:t>21</w:t>
            </w:r>
          </w:p>
        </w:tc>
        <w:tc>
          <w:tcPr>
            <w:tcW w:w="1276" w:type="dxa"/>
            <w:vMerge w:val="continue"/>
            <w:vAlign w:val="center"/>
          </w:tcPr>
          <w:p w14:paraId="28A63D5B">
            <w:pPr>
              <w:pStyle w:val="59"/>
            </w:pPr>
          </w:p>
        </w:tc>
        <w:tc>
          <w:tcPr>
            <w:tcW w:w="2835" w:type="dxa"/>
            <w:vAlign w:val="center"/>
          </w:tcPr>
          <w:p w14:paraId="285FC3B6">
            <w:pPr>
              <w:pStyle w:val="59"/>
            </w:pPr>
            <w:r>
              <w:rPr>
                <w:rFonts w:hint="eastAsia"/>
              </w:rPr>
              <w:t>重点污染源在线监控率</w:t>
            </w:r>
          </w:p>
        </w:tc>
        <w:tc>
          <w:tcPr>
            <w:tcW w:w="1417" w:type="dxa"/>
          </w:tcPr>
          <w:p w14:paraId="7A4974FD">
            <w:pPr>
              <w:pStyle w:val="59"/>
            </w:pPr>
            <w:r>
              <w:rPr>
                <w:rFonts w:hint="eastAsia"/>
              </w:rPr>
              <w:t>参考性指标</w:t>
            </w:r>
          </w:p>
        </w:tc>
        <w:tc>
          <w:tcPr>
            <w:tcW w:w="1559" w:type="dxa"/>
            <w:vAlign w:val="center"/>
          </w:tcPr>
          <w:p w14:paraId="0E772E39">
            <w:pPr>
              <w:pStyle w:val="59"/>
            </w:pPr>
            <w:r>
              <w:rPr>
                <w:rFonts w:hint="eastAsia"/>
              </w:rPr>
              <w:t>区生态环境局</w:t>
            </w:r>
          </w:p>
        </w:tc>
        <w:tc>
          <w:tcPr>
            <w:tcW w:w="5954" w:type="dxa"/>
            <w:vAlign w:val="center"/>
          </w:tcPr>
          <w:p w14:paraId="29ED5C20">
            <w:pPr>
              <w:pStyle w:val="59"/>
            </w:pPr>
            <w:r>
              <w:rPr>
                <w:rFonts w:hint="eastAsia"/>
              </w:rPr>
              <w:t>各镇街、开发区</w:t>
            </w:r>
          </w:p>
        </w:tc>
      </w:tr>
      <w:tr w14:paraId="6FE0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0886D976">
            <w:pPr>
              <w:pStyle w:val="59"/>
              <w:rPr>
                <w:rFonts w:ascii="黑体" w:hAnsi="黑体" w:eastAsia="黑体"/>
              </w:rPr>
            </w:pPr>
            <w:r>
              <w:rPr>
                <w:rFonts w:hint="eastAsia" w:ascii="黑体" w:hAnsi="黑体" w:eastAsia="黑体"/>
              </w:rPr>
              <w:t>22</w:t>
            </w:r>
          </w:p>
        </w:tc>
        <w:tc>
          <w:tcPr>
            <w:tcW w:w="1276" w:type="dxa"/>
            <w:vMerge w:val="restart"/>
            <w:vAlign w:val="center"/>
          </w:tcPr>
          <w:p w14:paraId="6A3B04E0">
            <w:pPr>
              <w:pStyle w:val="59"/>
            </w:pPr>
            <w:r>
              <w:rPr>
                <w:rFonts w:hint="eastAsia"/>
              </w:rPr>
              <w:t>环境管理目标</w:t>
            </w:r>
          </w:p>
        </w:tc>
        <w:tc>
          <w:tcPr>
            <w:tcW w:w="2835" w:type="dxa"/>
            <w:vAlign w:val="center"/>
          </w:tcPr>
          <w:p w14:paraId="28B6B4B8">
            <w:pPr>
              <w:pStyle w:val="59"/>
            </w:pPr>
            <w:r>
              <w:rPr>
                <w:rFonts w:hint="eastAsia"/>
              </w:rPr>
              <w:t>公众对城市生态环境保护的满意率</w:t>
            </w:r>
          </w:p>
        </w:tc>
        <w:tc>
          <w:tcPr>
            <w:tcW w:w="1417" w:type="dxa"/>
          </w:tcPr>
          <w:p w14:paraId="7B79D629">
            <w:pPr>
              <w:pStyle w:val="59"/>
            </w:pPr>
            <w:r>
              <w:rPr>
                <w:rFonts w:hint="eastAsia"/>
              </w:rPr>
              <w:t>参考性指标</w:t>
            </w:r>
          </w:p>
        </w:tc>
        <w:tc>
          <w:tcPr>
            <w:tcW w:w="1559" w:type="dxa"/>
            <w:vAlign w:val="center"/>
          </w:tcPr>
          <w:p w14:paraId="0469440A">
            <w:pPr>
              <w:pStyle w:val="59"/>
            </w:pPr>
            <w:r>
              <w:rPr>
                <w:rFonts w:hint="eastAsia"/>
              </w:rPr>
              <w:t>区统计局</w:t>
            </w:r>
          </w:p>
          <w:p w14:paraId="3B8D7C89">
            <w:pPr>
              <w:pStyle w:val="59"/>
            </w:pPr>
            <w:r>
              <w:rPr>
                <w:rFonts w:hint="eastAsia"/>
              </w:rPr>
              <w:t>生态环境局</w:t>
            </w:r>
          </w:p>
        </w:tc>
        <w:tc>
          <w:tcPr>
            <w:tcW w:w="5954" w:type="dxa"/>
            <w:vAlign w:val="center"/>
          </w:tcPr>
          <w:p w14:paraId="5822F0A6">
            <w:pPr>
              <w:pStyle w:val="59"/>
            </w:pPr>
            <w:r>
              <w:rPr>
                <w:rFonts w:hint="eastAsia"/>
              </w:rPr>
              <w:t>各镇街、开发区</w:t>
            </w:r>
          </w:p>
        </w:tc>
      </w:tr>
      <w:tr w14:paraId="200C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08CE3CC7">
            <w:pPr>
              <w:pStyle w:val="59"/>
              <w:rPr>
                <w:rFonts w:ascii="黑体" w:hAnsi="黑体" w:eastAsia="黑体"/>
              </w:rPr>
            </w:pPr>
            <w:r>
              <w:rPr>
                <w:rFonts w:hint="eastAsia" w:ascii="黑体" w:hAnsi="黑体" w:eastAsia="黑体"/>
              </w:rPr>
              <w:t>23</w:t>
            </w:r>
          </w:p>
        </w:tc>
        <w:tc>
          <w:tcPr>
            <w:tcW w:w="1276" w:type="dxa"/>
            <w:vMerge w:val="continue"/>
            <w:vAlign w:val="center"/>
          </w:tcPr>
          <w:p w14:paraId="3AD8B1AC">
            <w:pPr>
              <w:pStyle w:val="59"/>
            </w:pPr>
          </w:p>
        </w:tc>
        <w:tc>
          <w:tcPr>
            <w:tcW w:w="2835" w:type="dxa"/>
            <w:vAlign w:val="center"/>
          </w:tcPr>
          <w:p w14:paraId="4E3EE4B2">
            <w:pPr>
              <w:pStyle w:val="59"/>
            </w:pPr>
            <w:r>
              <w:rPr>
                <w:rFonts w:hint="eastAsia"/>
              </w:rPr>
              <w:t>中小学环境教育普及率</w:t>
            </w:r>
          </w:p>
        </w:tc>
        <w:tc>
          <w:tcPr>
            <w:tcW w:w="1417" w:type="dxa"/>
          </w:tcPr>
          <w:p w14:paraId="362F05D9">
            <w:pPr>
              <w:pStyle w:val="59"/>
            </w:pPr>
            <w:r>
              <w:rPr>
                <w:rFonts w:hint="eastAsia"/>
              </w:rPr>
              <w:t>参考性指标</w:t>
            </w:r>
          </w:p>
        </w:tc>
        <w:tc>
          <w:tcPr>
            <w:tcW w:w="1559" w:type="dxa"/>
            <w:vAlign w:val="center"/>
          </w:tcPr>
          <w:p w14:paraId="1710302D">
            <w:pPr>
              <w:pStyle w:val="59"/>
            </w:pPr>
            <w:r>
              <w:rPr>
                <w:rFonts w:hint="eastAsia"/>
              </w:rPr>
              <w:t>区生态环境局</w:t>
            </w:r>
          </w:p>
        </w:tc>
        <w:tc>
          <w:tcPr>
            <w:tcW w:w="5954" w:type="dxa"/>
            <w:vAlign w:val="center"/>
          </w:tcPr>
          <w:p w14:paraId="7696F787">
            <w:pPr>
              <w:pStyle w:val="59"/>
            </w:pPr>
            <w:r>
              <w:rPr>
                <w:rFonts w:hint="eastAsia"/>
              </w:rPr>
              <w:t>环境宣传领导小组</w:t>
            </w:r>
          </w:p>
        </w:tc>
      </w:tr>
      <w:tr w14:paraId="68E7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4C6665C1">
            <w:pPr>
              <w:pStyle w:val="59"/>
              <w:rPr>
                <w:rFonts w:ascii="黑体" w:hAnsi="黑体" w:eastAsia="黑体"/>
              </w:rPr>
            </w:pPr>
            <w:r>
              <w:rPr>
                <w:rFonts w:hint="eastAsia" w:ascii="黑体" w:hAnsi="黑体" w:eastAsia="黑体"/>
              </w:rPr>
              <w:t>24</w:t>
            </w:r>
          </w:p>
        </w:tc>
        <w:tc>
          <w:tcPr>
            <w:tcW w:w="1276" w:type="dxa"/>
            <w:vMerge w:val="continue"/>
            <w:vAlign w:val="center"/>
          </w:tcPr>
          <w:p w14:paraId="6960145B">
            <w:pPr>
              <w:pStyle w:val="59"/>
            </w:pPr>
          </w:p>
        </w:tc>
        <w:tc>
          <w:tcPr>
            <w:tcW w:w="2835" w:type="dxa"/>
            <w:vAlign w:val="center"/>
          </w:tcPr>
          <w:p w14:paraId="31AD3901">
            <w:pPr>
              <w:pStyle w:val="59"/>
            </w:pPr>
            <w:r>
              <w:rPr>
                <w:rFonts w:hint="eastAsia"/>
              </w:rPr>
              <w:t>建设项目环评、“三同时”执行率、园区规划环境影响评价执行率</w:t>
            </w:r>
          </w:p>
        </w:tc>
        <w:tc>
          <w:tcPr>
            <w:tcW w:w="1417" w:type="dxa"/>
          </w:tcPr>
          <w:p w14:paraId="5678B0D4">
            <w:pPr>
              <w:pStyle w:val="59"/>
            </w:pPr>
            <w:r>
              <w:rPr>
                <w:rFonts w:hint="eastAsia"/>
              </w:rPr>
              <w:t>参考性指标</w:t>
            </w:r>
          </w:p>
        </w:tc>
        <w:tc>
          <w:tcPr>
            <w:tcW w:w="1559" w:type="dxa"/>
            <w:vAlign w:val="center"/>
          </w:tcPr>
          <w:p w14:paraId="3F6A957C">
            <w:pPr>
              <w:pStyle w:val="59"/>
            </w:pPr>
            <w:r>
              <w:rPr>
                <w:rFonts w:hint="eastAsia"/>
              </w:rPr>
              <w:t>各镇街、开发区</w:t>
            </w:r>
          </w:p>
        </w:tc>
        <w:tc>
          <w:tcPr>
            <w:tcW w:w="5954" w:type="dxa"/>
            <w:vAlign w:val="center"/>
          </w:tcPr>
          <w:p w14:paraId="3F1580C7">
            <w:pPr>
              <w:pStyle w:val="59"/>
            </w:pPr>
            <w:r>
              <w:rPr>
                <w:rFonts w:hint="eastAsia"/>
              </w:rPr>
              <w:t>区生态环境局</w:t>
            </w:r>
          </w:p>
        </w:tc>
      </w:tr>
      <w:tr w14:paraId="55E0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2C1EBCA2">
            <w:pPr>
              <w:pStyle w:val="59"/>
              <w:rPr>
                <w:rFonts w:ascii="黑体" w:hAnsi="黑体" w:eastAsia="黑体"/>
              </w:rPr>
            </w:pPr>
            <w:r>
              <w:rPr>
                <w:rFonts w:hint="eastAsia" w:ascii="黑体" w:hAnsi="黑体" w:eastAsia="黑体"/>
              </w:rPr>
              <w:t>25</w:t>
            </w:r>
          </w:p>
        </w:tc>
        <w:tc>
          <w:tcPr>
            <w:tcW w:w="1276" w:type="dxa"/>
            <w:vMerge w:val="restart"/>
            <w:vAlign w:val="center"/>
          </w:tcPr>
          <w:p w14:paraId="72278F63">
            <w:pPr>
              <w:pStyle w:val="59"/>
            </w:pPr>
            <w:r>
              <w:rPr>
                <w:rFonts w:hint="eastAsia"/>
              </w:rPr>
              <w:t>生态建设目标</w:t>
            </w:r>
          </w:p>
        </w:tc>
        <w:tc>
          <w:tcPr>
            <w:tcW w:w="2835" w:type="dxa"/>
            <w:vAlign w:val="center"/>
          </w:tcPr>
          <w:p w14:paraId="7EA6EA60">
            <w:pPr>
              <w:pStyle w:val="59"/>
            </w:pPr>
            <w:r>
              <w:rPr>
                <w:rFonts w:hint="eastAsia"/>
              </w:rPr>
              <w:t>生态环境状况指数变化幅度ΔEI</w:t>
            </w:r>
          </w:p>
        </w:tc>
        <w:tc>
          <w:tcPr>
            <w:tcW w:w="1417" w:type="dxa"/>
          </w:tcPr>
          <w:p w14:paraId="3964F9BD">
            <w:pPr>
              <w:pStyle w:val="59"/>
            </w:pPr>
            <w:r>
              <w:rPr>
                <w:rFonts w:hint="eastAsia"/>
              </w:rPr>
              <w:t>参考性指标</w:t>
            </w:r>
          </w:p>
        </w:tc>
        <w:tc>
          <w:tcPr>
            <w:tcW w:w="1559" w:type="dxa"/>
            <w:vAlign w:val="center"/>
          </w:tcPr>
          <w:p w14:paraId="7A00F026">
            <w:pPr>
              <w:pStyle w:val="59"/>
            </w:pPr>
            <w:r>
              <w:rPr>
                <w:rFonts w:hint="eastAsia"/>
              </w:rPr>
              <w:t>区生态环境局</w:t>
            </w:r>
          </w:p>
        </w:tc>
        <w:tc>
          <w:tcPr>
            <w:tcW w:w="5954" w:type="dxa"/>
            <w:vAlign w:val="center"/>
          </w:tcPr>
          <w:p w14:paraId="363D3D8E">
            <w:pPr>
              <w:pStyle w:val="59"/>
            </w:pPr>
            <w:r>
              <w:rPr>
                <w:rFonts w:hint="eastAsia"/>
              </w:rPr>
              <w:t>各镇街、开发区，区水务局、农委、国土委等相关部门。</w:t>
            </w:r>
          </w:p>
        </w:tc>
      </w:tr>
      <w:tr w14:paraId="4F23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139C1616">
            <w:pPr>
              <w:pStyle w:val="59"/>
              <w:rPr>
                <w:rFonts w:ascii="黑体" w:hAnsi="黑体" w:eastAsia="黑体"/>
              </w:rPr>
            </w:pPr>
            <w:r>
              <w:rPr>
                <w:rFonts w:hint="eastAsia" w:ascii="黑体" w:hAnsi="黑体" w:eastAsia="黑体"/>
              </w:rPr>
              <w:t>26</w:t>
            </w:r>
          </w:p>
        </w:tc>
        <w:tc>
          <w:tcPr>
            <w:tcW w:w="1276" w:type="dxa"/>
            <w:vMerge w:val="continue"/>
            <w:vAlign w:val="center"/>
          </w:tcPr>
          <w:p w14:paraId="11FF5353">
            <w:pPr>
              <w:pStyle w:val="59"/>
            </w:pPr>
          </w:p>
        </w:tc>
        <w:tc>
          <w:tcPr>
            <w:tcW w:w="2835" w:type="dxa"/>
            <w:vAlign w:val="center"/>
          </w:tcPr>
          <w:p w14:paraId="5B3C9895">
            <w:pPr>
              <w:pStyle w:val="59"/>
            </w:pPr>
            <w:r>
              <w:rPr>
                <w:rFonts w:hint="eastAsia"/>
              </w:rPr>
              <w:t>建成区绿化覆盖率</w:t>
            </w:r>
          </w:p>
        </w:tc>
        <w:tc>
          <w:tcPr>
            <w:tcW w:w="1417" w:type="dxa"/>
          </w:tcPr>
          <w:p w14:paraId="4BA62CA6">
            <w:pPr>
              <w:pStyle w:val="59"/>
            </w:pPr>
            <w:r>
              <w:rPr>
                <w:rFonts w:hint="eastAsia"/>
              </w:rPr>
              <w:t>参考性指标</w:t>
            </w:r>
          </w:p>
        </w:tc>
        <w:tc>
          <w:tcPr>
            <w:tcW w:w="1559" w:type="dxa"/>
            <w:vAlign w:val="center"/>
          </w:tcPr>
          <w:p w14:paraId="348F7C30">
            <w:pPr>
              <w:pStyle w:val="59"/>
            </w:pPr>
            <w:r>
              <w:rPr>
                <w:rFonts w:hint="eastAsia"/>
              </w:rPr>
              <w:t>区城管委</w:t>
            </w:r>
          </w:p>
        </w:tc>
        <w:tc>
          <w:tcPr>
            <w:tcW w:w="5954" w:type="dxa"/>
            <w:vAlign w:val="center"/>
          </w:tcPr>
          <w:p w14:paraId="331791E2">
            <w:pPr>
              <w:pStyle w:val="59"/>
            </w:pPr>
            <w:r>
              <w:rPr>
                <w:rFonts w:hint="eastAsia"/>
              </w:rPr>
              <w:t>各镇街、开发区，区规资分局</w:t>
            </w:r>
          </w:p>
        </w:tc>
      </w:tr>
      <w:tr w14:paraId="4344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46" w:type="dxa"/>
            <w:vAlign w:val="center"/>
          </w:tcPr>
          <w:p w14:paraId="77BAC256">
            <w:pPr>
              <w:pStyle w:val="59"/>
              <w:rPr>
                <w:rFonts w:ascii="黑体" w:hAnsi="黑体" w:eastAsia="黑体"/>
              </w:rPr>
            </w:pPr>
            <w:r>
              <w:rPr>
                <w:rFonts w:hint="eastAsia" w:ascii="黑体" w:hAnsi="黑体" w:eastAsia="黑体"/>
              </w:rPr>
              <w:t>27</w:t>
            </w:r>
          </w:p>
        </w:tc>
        <w:tc>
          <w:tcPr>
            <w:tcW w:w="1276" w:type="dxa"/>
            <w:vMerge w:val="continue"/>
            <w:vAlign w:val="center"/>
          </w:tcPr>
          <w:p w14:paraId="66AE481F">
            <w:pPr>
              <w:pStyle w:val="59"/>
            </w:pPr>
          </w:p>
        </w:tc>
        <w:tc>
          <w:tcPr>
            <w:tcW w:w="2835" w:type="dxa"/>
            <w:vAlign w:val="center"/>
          </w:tcPr>
          <w:p w14:paraId="05DAD6AA">
            <w:pPr>
              <w:pStyle w:val="59"/>
            </w:pPr>
            <w:r>
              <w:rPr>
                <w:rFonts w:hint="eastAsia"/>
              </w:rPr>
              <w:t>全区森林覆盖率</w:t>
            </w:r>
          </w:p>
        </w:tc>
        <w:tc>
          <w:tcPr>
            <w:tcW w:w="1417" w:type="dxa"/>
          </w:tcPr>
          <w:p w14:paraId="2ABC1294">
            <w:pPr>
              <w:pStyle w:val="59"/>
            </w:pPr>
            <w:r>
              <w:rPr>
                <w:rFonts w:hint="eastAsia"/>
              </w:rPr>
              <w:t>参考性指标</w:t>
            </w:r>
          </w:p>
        </w:tc>
        <w:tc>
          <w:tcPr>
            <w:tcW w:w="1559" w:type="dxa"/>
            <w:vAlign w:val="center"/>
          </w:tcPr>
          <w:p w14:paraId="20DABF77">
            <w:pPr>
              <w:pStyle w:val="59"/>
            </w:pPr>
            <w:r>
              <w:rPr>
                <w:rFonts w:hint="eastAsia"/>
              </w:rPr>
              <w:t>区规资分局</w:t>
            </w:r>
          </w:p>
        </w:tc>
        <w:tc>
          <w:tcPr>
            <w:tcW w:w="5954" w:type="dxa"/>
            <w:vAlign w:val="center"/>
          </w:tcPr>
          <w:p w14:paraId="5F045F9B">
            <w:pPr>
              <w:pStyle w:val="59"/>
            </w:pPr>
            <w:r>
              <w:rPr>
                <w:rFonts w:hint="eastAsia"/>
              </w:rPr>
              <w:t>各镇街、开发区</w:t>
            </w:r>
          </w:p>
        </w:tc>
      </w:tr>
      <w:tr w14:paraId="3C3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46" w:type="dxa"/>
            <w:vAlign w:val="center"/>
          </w:tcPr>
          <w:p w14:paraId="1C195E47">
            <w:pPr>
              <w:pStyle w:val="59"/>
              <w:rPr>
                <w:rFonts w:ascii="黑体" w:hAnsi="黑体" w:eastAsia="黑体"/>
              </w:rPr>
            </w:pPr>
            <w:r>
              <w:rPr>
                <w:rFonts w:hint="eastAsia" w:ascii="黑体" w:hAnsi="黑体" w:eastAsia="黑体"/>
              </w:rPr>
              <w:t>28</w:t>
            </w:r>
          </w:p>
        </w:tc>
        <w:tc>
          <w:tcPr>
            <w:tcW w:w="1276" w:type="dxa"/>
            <w:vMerge w:val="restart"/>
            <w:vAlign w:val="center"/>
          </w:tcPr>
          <w:p w14:paraId="54E4D39F">
            <w:pPr>
              <w:pStyle w:val="59"/>
            </w:pPr>
            <w:r>
              <w:rPr>
                <w:rFonts w:hint="eastAsia"/>
              </w:rPr>
              <w:t>监管能力建设目标</w:t>
            </w:r>
          </w:p>
        </w:tc>
        <w:tc>
          <w:tcPr>
            <w:tcW w:w="2835" w:type="dxa"/>
            <w:vAlign w:val="center"/>
          </w:tcPr>
          <w:p w14:paraId="62FBB51E">
            <w:pPr>
              <w:pStyle w:val="59"/>
            </w:pPr>
            <w:r>
              <w:rPr>
                <w:rFonts w:hint="eastAsia"/>
              </w:rPr>
              <w:t>环境监测、监察执行情况绩效评价</w:t>
            </w:r>
          </w:p>
        </w:tc>
        <w:tc>
          <w:tcPr>
            <w:tcW w:w="1417" w:type="dxa"/>
          </w:tcPr>
          <w:p w14:paraId="043934B5">
            <w:pPr>
              <w:pStyle w:val="59"/>
            </w:pPr>
            <w:r>
              <w:rPr>
                <w:rFonts w:hint="eastAsia"/>
              </w:rPr>
              <w:t>参考性指标</w:t>
            </w:r>
          </w:p>
        </w:tc>
        <w:tc>
          <w:tcPr>
            <w:tcW w:w="1559" w:type="dxa"/>
            <w:vAlign w:val="center"/>
          </w:tcPr>
          <w:p w14:paraId="13605728">
            <w:pPr>
              <w:pStyle w:val="59"/>
            </w:pPr>
            <w:r>
              <w:rPr>
                <w:rFonts w:hint="eastAsia"/>
              </w:rPr>
              <w:t>区生态环境局</w:t>
            </w:r>
          </w:p>
        </w:tc>
        <w:tc>
          <w:tcPr>
            <w:tcW w:w="5954" w:type="dxa"/>
            <w:vAlign w:val="center"/>
          </w:tcPr>
          <w:p w14:paraId="7FA01E61">
            <w:pPr>
              <w:pStyle w:val="59"/>
            </w:pPr>
            <w:r>
              <w:rPr>
                <w:rFonts w:hint="eastAsia"/>
              </w:rPr>
              <w:t>各镇街、开发区，区编委办、财政局。</w:t>
            </w:r>
          </w:p>
        </w:tc>
      </w:tr>
      <w:tr w14:paraId="76F9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4EFDD436">
            <w:pPr>
              <w:pStyle w:val="59"/>
              <w:rPr>
                <w:rFonts w:ascii="黑体" w:hAnsi="黑体" w:eastAsia="黑体"/>
              </w:rPr>
            </w:pPr>
            <w:r>
              <w:rPr>
                <w:rFonts w:hint="eastAsia" w:ascii="黑体" w:hAnsi="黑体" w:eastAsia="黑体"/>
              </w:rPr>
              <w:t>30</w:t>
            </w:r>
          </w:p>
        </w:tc>
        <w:tc>
          <w:tcPr>
            <w:tcW w:w="1276" w:type="dxa"/>
            <w:vMerge w:val="continue"/>
            <w:vAlign w:val="center"/>
          </w:tcPr>
          <w:p w14:paraId="4E81083C">
            <w:pPr>
              <w:pStyle w:val="59"/>
            </w:pPr>
          </w:p>
        </w:tc>
        <w:tc>
          <w:tcPr>
            <w:tcW w:w="2835" w:type="dxa"/>
            <w:vAlign w:val="center"/>
          </w:tcPr>
          <w:p w14:paraId="40D5EE41">
            <w:pPr>
              <w:pStyle w:val="59"/>
            </w:pPr>
            <w:r>
              <w:rPr>
                <w:rFonts w:hint="eastAsia"/>
              </w:rPr>
              <w:t>辐射环境监管、环境宣传教育</w:t>
            </w:r>
          </w:p>
        </w:tc>
        <w:tc>
          <w:tcPr>
            <w:tcW w:w="1417" w:type="dxa"/>
          </w:tcPr>
          <w:p w14:paraId="63522BA4">
            <w:pPr>
              <w:pStyle w:val="59"/>
            </w:pPr>
            <w:r>
              <w:rPr>
                <w:rFonts w:hint="eastAsia"/>
              </w:rPr>
              <w:t>参考性指标</w:t>
            </w:r>
          </w:p>
        </w:tc>
        <w:tc>
          <w:tcPr>
            <w:tcW w:w="1559" w:type="dxa"/>
            <w:vAlign w:val="center"/>
          </w:tcPr>
          <w:p w14:paraId="300A0F57">
            <w:pPr>
              <w:pStyle w:val="59"/>
            </w:pPr>
            <w:r>
              <w:rPr>
                <w:rFonts w:hint="eastAsia"/>
              </w:rPr>
              <w:t>区生态环境局</w:t>
            </w:r>
          </w:p>
        </w:tc>
        <w:tc>
          <w:tcPr>
            <w:tcW w:w="5954" w:type="dxa"/>
            <w:vAlign w:val="center"/>
          </w:tcPr>
          <w:p w14:paraId="592E80D6">
            <w:pPr>
              <w:pStyle w:val="59"/>
            </w:pPr>
            <w:r>
              <w:rPr>
                <w:rFonts w:hint="eastAsia"/>
              </w:rPr>
              <w:t>各镇街、开发区，区编委办、财政局。</w:t>
            </w:r>
          </w:p>
        </w:tc>
      </w:tr>
      <w:tr w14:paraId="0127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7EEEA3">
            <w:pPr>
              <w:pStyle w:val="59"/>
              <w:rPr>
                <w:rFonts w:ascii="黑体" w:hAnsi="黑体" w:eastAsia="黑体"/>
              </w:rPr>
            </w:pPr>
            <w:r>
              <w:rPr>
                <w:rFonts w:hint="eastAsia" w:ascii="黑体" w:hAnsi="黑体" w:eastAsia="黑体"/>
              </w:rPr>
              <w:t>31</w:t>
            </w:r>
          </w:p>
        </w:tc>
        <w:tc>
          <w:tcPr>
            <w:tcW w:w="1276" w:type="dxa"/>
            <w:vMerge w:val="continue"/>
            <w:vAlign w:val="center"/>
          </w:tcPr>
          <w:p w14:paraId="77C924F5">
            <w:pPr>
              <w:pStyle w:val="59"/>
            </w:pPr>
          </w:p>
        </w:tc>
        <w:tc>
          <w:tcPr>
            <w:tcW w:w="2835" w:type="dxa"/>
            <w:vAlign w:val="center"/>
          </w:tcPr>
          <w:p w14:paraId="358A96B8">
            <w:pPr>
              <w:pStyle w:val="59"/>
            </w:pPr>
            <w:r>
              <w:rPr>
                <w:rFonts w:hint="eastAsia"/>
              </w:rPr>
              <w:t>搭建环保大数据平台</w:t>
            </w:r>
          </w:p>
        </w:tc>
        <w:tc>
          <w:tcPr>
            <w:tcW w:w="1417" w:type="dxa"/>
          </w:tcPr>
          <w:p w14:paraId="7A1DF00D">
            <w:pPr>
              <w:pStyle w:val="59"/>
            </w:pPr>
            <w:r>
              <w:rPr>
                <w:rFonts w:hint="eastAsia"/>
              </w:rPr>
              <w:t>参考性指标</w:t>
            </w:r>
          </w:p>
        </w:tc>
        <w:tc>
          <w:tcPr>
            <w:tcW w:w="1559" w:type="dxa"/>
            <w:vAlign w:val="center"/>
          </w:tcPr>
          <w:p w14:paraId="2968398A">
            <w:pPr>
              <w:pStyle w:val="59"/>
            </w:pPr>
            <w:r>
              <w:rPr>
                <w:rFonts w:hint="eastAsia"/>
              </w:rPr>
              <w:t>区生态环境局</w:t>
            </w:r>
          </w:p>
        </w:tc>
        <w:tc>
          <w:tcPr>
            <w:tcW w:w="5954" w:type="dxa"/>
            <w:vAlign w:val="center"/>
          </w:tcPr>
          <w:p w14:paraId="0A23B88E">
            <w:pPr>
              <w:pStyle w:val="59"/>
            </w:pPr>
            <w:r>
              <w:rPr>
                <w:rFonts w:hint="eastAsia"/>
              </w:rPr>
              <w:t>各镇街、开发区，区工信局、财政局。</w:t>
            </w:r>
          </w:p>
        </w:tc>
      </w:tr>
    </w:tbl>
    <w:p w14:paraId="771E94FD">
      <w:pPr>
        <w:sectPr>
          <w:pgSz w:w="16838" w:h="11906" w:orient="landscape"/>
          <w:pgMar w:top="1800" w:right="1440" w:bottom="1800" w:left="1440" w:header="851" w:footer="992" w:gutter="0"/>
          <w:cols w:space="425" w:num="1"/>
          <w:docGrid w:type="lines" w:linePitch="462" w:charSpace="0"/>
        </w:sectPr>
      </w:pPr>
    </w:p>
    <w:p w14:paraId="12E4CC50">
      <w:pPr>
        <w:pStyle w:val="27"/>
        <w:ind w:firstLine="723"/>
        <w:rPr>
          <w:sz w:val="21"/>
        </w:rPr>
      </w:pPr>
      <w:bookmarkStart w:id="308" w:name="_Toc72504276"/>
      <w:bookmarkStart w:id="309" w:name="_Hlk59119605"/>
      <w:r>
        <w:rPr>
          <w:rFonts w:hint="eastAsia"/>
        </w:rPr>
        <w:t>附表</w:t>
      </w:r>
      <w:r>
        <w:t xml:space="preserve">2 </w:t>
      </w:r>
      <w:r>
        <w:rPr>
          <w:rFonts w:hint="eastAsia"/>
        </w:rPr>
        <w:t>北辰区“十四五”环境保护规划重大工程项目列表</w:t>
      </w:r>
      <w:bookmarkEnd w:id="308"/>
    </w:p>
    <w:bookmarkEnd w:id="309"/>
    <w:tbl>
      <w:tblPr>
        <w:tblStyle w:val="29"/>
        <w:tblpPr w:leftFromText="180" w:rightFromText="180" w:vertAnchor="text" w:tblpX="-34" w:tblpY="1"/>
        <w:tblOverlap w:val="never"/>
        <w:tblW w:w="14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316"/>
        <w:gridCol w:w="2688"/>
        <w:gridCol w:w="6508"/>
        <w:gridCol w:w="1154"/>
        <w:gridCol w:w="1650"/>
      </w:tblGrid>
      <w:tr w14:paraId="1415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blHeader/>
        </w:trPr>
        <w:tc>
          <w:tcPr>
            <w:tcW w:w="1163" w:type="dxa"/>
            <w:vAlign w:val="center"/>
          </w:tcPr>
          <w:p w14:paraId="4E47C0B1">
            <w:pPr>
              <w:pStyle w:val="59"/>
              <w:rPr>
                <w:rFonts w:ascii="黑体" w:hAnsi="黑体" w:eastAsia="黑体"/>
              </w:rPr>
            </w:pPr>
            <w:r>
              <w:rPr>
                <w:rFonts w:hint="eastAsia" w:ascii="黑体" w:hAnsi="黑体" w:eastAsia="黑体"/>
              </w:rPr>
              <w:t>项目类型</w:t>
            </w:r>
          </w:p>
        </w:tc>
        <w:tc>
          <w:tcPr>
            <w:tcW w:w="1316" w:type="dxa"/>
            <w:vAlign w:val="center"/>
          </w:tcPr>
          <w:p w14:paraId="21DC9A12">
            <w:pPr>
              <w:pStyle w:val="59"/>
              <w:rPr>
                <w:rFonts w:ascii="黑体" w:hAnsi="黑体" w:eastAsia="黑体"/>
              </w:rPr>
            </w:pPr>
            <w:r>
              <w:rPr>
                <w:rFonts w:hint="eastAsia" w:ascii="黑体" w:hAnsi="黑体" w:eastAsia="黑体"/>
              </w:rPr>
              <w:t>项目子类别</w:t>
            </w:r>
          </w:p>
        </w:tc>
        <w:tc>
          <w:tcPr>
            <w:tcW w:w="2688" w:type="dxa"/>
            <w:vAlign w:val="center"/>
          </w:tcPr>
          <w:p w14:paraId="728E9D60">
            <w:pPr>
              <w:pStyle w:val="59"/>
              <w:rPr>
                <w:rFonts w:ascii="黑体" w:hAnsi="黑体" w:eastAsia="黑体"/>
              </w:rPr>
            </w:pPr>
            <w:r>
              <w:rPr>
                <w:rFonts w:hint="eastAsia" w:ascii="黑体" w:hAnsi="黑体" w:eastAsia="黑体"/>
              </w:rPr>
              <w:t>项目名称</w:t>
            </w:r>
          </w:p>
        </w:tc>
        <w:tc>
          <w:tcPr>
            <w:tcW w:w="6508" w:type="dxa"/>
            <w:vAlign w:val="center"/>
          </w:tcPr>
          <w:p w14:paraId="54C49EA9">
            <w:pPr>
              <w:pStyle w:val="59"/>
              <w:rPr>
                <w:rFonts w:ascii="黑体" w:hAnsi="黑体" w:eastAsia="黑体"/>
              </w:rPr>
            </w:pPr>
            <w:r>
              <w:rPr>
                <w:rFonts w:hint="eastAsia" w:ascii="黑体" w:hAnsi="黑体" w:eastAsia="黑体"/>
              </w:rPr>
              <w:t>主要建设内容及建设规模</w:t>
            </w:r>
          </w:p>
        </w:tc>
        <w:tc>
          <w:tcPr>
            <w:tcW w:w="1154" w:type="dxa"/>
            <w:vAlign w:val="center"/>
          </w:tcPr>
          <w:p w14:paraId="25BE3166">
            <w:pPr>
              <w:pStyle w:val="59"/>
              <w:rPr>
                <w:rFonts w:ascii="黑体" w:hAnsi="黑体" w:eastAsia="黑体"/>
              </w:rPr>
            </w:pPr>
            <w:r>
              <w:rPr>
                <w:rFonts w:hint="eastAsia" w:ascii="黑体" w:hAnsi="黑体" w:eastAsia="黑体"/>
              </w:rPr>
              <w:t>完成时间</w:t>
            </w:r>
          </w:p>
        </w:tc>
        <w:tc>
          <w:tcPr>
            <w:tcW w:w="1650" w:type="dxa"/>
            <w:vAlign w:val="center"/>
          </w:tcPr>
          <w:p w14:paraId="0841A946">
            <w:pPr>
              <w:pStyle w:val="59"/>
              <w:rPr>
                <w:rFonts w:ascii="黑体" w:hAnsi="黑体" w:eastAsia="黑体"/>
              </w:rPr>
            </w:pPr>
            <w:r>
              <w:rPr>
                <w:rFonts w:hint="eastAsia" w:ascii="黑体" w:hAnsi="黑体" w:eastAsia="黑体"/>
              </w:rPr>
              <w:t>牵头部门</w:t>
            </w:r>
          </w:p>
        </w:tc>
      </w:tr>
      <w:tr w14:paraId="41F4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63" w:type="dxa"/>
            <w:vMerge w:val="restart"/>
            <w:vAlign w:val="center"/>
          </w:tcPr>
          <w:p w14:paraId="60B394DF">
            <w:pPr>
              <w:pStyle w:val="59"/>
              <w:rPr>
                <w:rFonts w:ascii="黑体" w:hAnsi="黑体" w:eastAsia="黑体"/>
              </w:rPr>
            </w:pPr>
            <w:r>
              <w:rPr>
                <w:rFonts w:hint="eastAsia" w:ascii="黑体" w:hAnsi="黑体" w:eastAsia="黑体"/>
              </w:rPr>
              <w:t>一、绿色发展重点工程</w:t>
            </w:r>
          </w:p>
        </w:tc>
        <w:tc>
          <w:tcPr>
            <w:tcW w:w="1316" w:type="dxa"/>
            <w:vMerge w:val="restart"/>
            <w:vAlign w:val="center"/>
          </w:tcPr>
          <w:p w14:paraId="13D67A5C">
            <w:pPr>
              <w:pStyle w:val="59"/>
            </w:pPr>
            <w:r>
              <w:rPr>
                <w:rFonts w:hint="eastAsia"/>
              </w:rPr>
              <w:t>产业结构调整重点工程</w:t>
            </w:r>
          </w:p>
        </w:tc>
        <w:tc>
          <w:tcPr>
            <w:tcW w:w="2688" w:type="dxa"/>
            <w:vAlign w:val="center"/>
          </w:tcPr>
          <w:p w14:paraId="127AD516">
            <w:pPr>
              <w:pStyle w:val="59"/>
            </w:pPr>
            <w:r>
              <w:rPr>
                <w:rFonts w:hint="eastAsia"/>
              </w:rPr>
              <w:t>违法违规企业长效监管</w:t>
            </w:r>
          </w:p>
        </w:tc>
        <w:tc>
          <w:tcPr>
            <w:tcW w:w="6508" w:type="dxa"/>
            <w:vAlign w:val="center"/>
          </w:tcPr>
          <w:p w14:paraId="01899DDC">
            <w:pPr>
              <w:pStyle w:val="59"/>
            </w:pPr>
            <w:r>
              <w:rPr>
                <w:rFonts w:hint="eastAsia"/>
              </w:rPr>
              <w:t>建立健全长效机制，持续用力，标本兼治，一抓到底，不断巩固提升整改成果。</w:t>
            </w:r>
          </w:p>
        </w:tc>
        <w:tc>
          <w:tcPr>
            <w:tcW w:w="1154" w:type="dxa"/>
            <w:vAlign w:val="center"/>
          </w:tcPr>
          <w:p w14:paraId="72DDC40E">
            <w:pPr>
              <w:pStyle w:val="59"/>
            </w:pPr>
            <w:r>
              <w:rPr>
                <w:rFonts w:hint="eastAsia"/>
              </w:rPr>
              <w:t>长期坚持</w:t>
            </w:r>
          </w:p>
        </w:tc>
        <w:tc>
          <w:tcPr>
            <w:tcW w:w="1650" w:type="dxa"/>
            <w:vAlign w:val="center"/>
          </w:tcPr>
          <w:p w14:paraId="647BBA5C">
            <w:pPr>
              <w:pStyle w:val="59"/>
            </w:pPr>
            <w:r>
              <w:rPr>
                <w:rFonts w:hint="eastAsia"/>
              </w:rPr>
              <w:t>区生态环境局</w:t>
            </w:r>
          </w:p>
        </w:tc>
      </w:tr>
      <w:tr w14:paraId="04D6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0A7DAC58">
            <w:pPr>
              <w:pStyle w:val="59"/>
              <w:rPr>
                <w:rFonts w:ascii="黑体" w:hAnsi="黑体" w:eastAsia="黑体"/>
              </w:rPr>
            </w:pPr>
          </w:p>
        </w:tc>
        <w:tc>
          <w:tcPr>
            <w:tcW w:w="1316" w:type="dxa"/>
            <w:vMerge w:val="continue"/>
            <w:vAlign w:val="center"/>
          </w:tcPr>
          <w:p w14:paraId="1C241BB3">
            <w:pPr>
              <w:pStyle w:val="59"/>
            </w:pPr>
          </w:p>
        </w:tc>
        <w:tc>
          <w:tcPr>
            <w:tcW w:w="2688" w:type="dxa"/>
            <w:vAlign w:val="center"/>
          </w:tcPr>
          <w:p w14:paraId="0449CC88">
            <w:pPr>
              <w:pStyle w:val="59"/>
            </w:pPr>
            <w:r>
              <w:rPr>
                <w:rFonts w:hint="eastAsia"/>
              </w:rPr>
              <w:t>危化企业搬迁</w:t>
            </w:r>
          </w:p>
        </w:tc>
        <w:tc>
          <w:tcPr>
            <w:tcW w:w="6508" w:type="dxa"/>
            <w:vAlign w:val="center"/>
          </w:tcPr>
          <w:p w14:paraId="64726441">
            <w:pPr>
              <w:pStyle w:val="59"/>
            </w:pPr>
            <w:r>
              <w:rPr>
                <w:rFonts w:hint="eastAsia"/>
              </w:rPr>
              <w:t>持续推进辰光化工等企业搬迁，并完成相关验收工作。</w:t>
            </w:r>
          </w:p>
        </w:tc>
        <w:tc>
          <w:tcPr>
            <w:tcW w:w="1154" w:type="dxa"/>
            <w:vAlign w:val="center"/>
          </w:tcPr>
          <w:p w14:paraId="6D3BC112">
            <w:pPr>
              <w:pStyle w:val="59"/>
            </w:pPr>
            <w:r>
              <w:rPr>
                <w:rFonts w:hint="eastAsia"/>
              </w:rPr>
              <w:t>2024年底</w:t>
            </w:r>
          </w:p>
        </w:tc>
        <w:tc>
          <w:tcPr>
            <w:tcW w:w="1650" w:type="dxa"/>
            <w:vAlign w:val="center"/>
          </w:tcPr>
          <w:p w14:paraId="5C03BB81">
            <w:pPr>
              <w:pStyle w:val="59"/>
            </w:pPr>
            <w:r>
              <w:rPr>
                <w:rFonts w:hint="eastAsia"/>
              </w:rPr>
              <w:t>区生态环境局</w:t>
            </w:r>
          </w:p>
        </w:tc>
      </w:tr>
      <w:tr w14:paraId="0451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2EB763AE">
            <w:pPr>
              <w:pStyle w:val="59"/>
              <w:rPr>
                <w:rFonts w:ascii="黑体" w:hAnsi="黑体" w:eastAsia="黑体"/>
              </w:rPr>
            </w:pPr>
          </w:p>
        </w:tc>
        <w:tc>
          <w:tcPr>
            <w:tcW w:w="1316" w:type="dxa"/>
            <w:vMerge w:val="continue"/>
            <w:vAlign w:val="center"/>
          </w:tcPr>
          <w:p w14:paraId="109AB770">
            <w:pPr>
              <w:pStyle w:val="59"/>
            </w:pPr>
          </w:p>
        </w:tc>
        <w:tc>
          <w:tcPr>
            <w:tcW w:w="2688" w:type="dxa"/>
            <w:vAlign w:val="center"/>
          </w:tcPr>
          <w:p w14:paraId="45C3D9B6">
            <w:pPr>
              <w:pStyle w:val="59"/>
            </w:pPr>
            <w:r>
              <w:rPr>
                <w:rFonts w:hint="eastAsia"/>
              </w:rPr>
              <w:t>绿色制造体系建设</w:t>
            </w:r>
          </w:p>
        </w:tc>
        <w:tc>
          <w:tcPr>
            <w:tcW w:w="6508" w:type="dxa"/>
            <w:vAlign w:val="center"/>
          </w:tcPr>
          <w:p w14:paraId="5FD2B6E4">
            <w:pPr>
              <w:pStyle w:val="59"/>
            </w:pPr>
            <w:r>
              <w:rPr>
                <w:rFonts w:hint="eastAsia"/>
              </w:rPr>
              <w:t>积极组织申报绿色工厂和园区，</w:t>
            </w:r>
            <w:bookmarkStart w:id="310" w:name="_Hlk60232081"/>
            <w:r>
              <w:rPr>
                <w:rFonts w:hint="eastAsia"/>
              </w:rPr>
              <w:t>邀请国家绿色制造评审专家对北辰区企业和第三方的创建工作提供专业指导</w:t>
            </w:r>
            <w:bookmarkEnd w:id="310"/>
            <w:r>
              <w:rPr>
                <w:rFonts w:hint="eastAsia"/>
              </w:rPr>
              <w:t>，积极组织创建市级、国家级绿色工厂和园区。</w:t>
            </w:r>
          </w:p>
        </w:tc>
        <w:tc>
          <w:tcPr>
            <w:tcW w:w="1154" w:type="dxa"/>
            <w:vAlign w:val="center"/>
          </w:tcPr>
          <w:p w14:paraId="3775C1F7">
            <w:pPr>
              <w:pStyle w:val="59"/>
            </w:pPr>
            <w:r>
              <w:rPr>
                <w:rFonts w:hint="eastAsia"/>
              </w:rPr>
              <w:t>长期坚持</w:t>
            </w:r>
          </w:p>
        </w:tc>
        <w:tc>
          <w:tcPr>
            <w:tcW w:w="1650" w:type="dxa"/>
            <w:vAlign w:val="center"/>
          </w:tcPr>
          <w:p w14:paraId="0ECCD372">
            <w:pPr>
              <w:pStyle w:val="59"/>
            </w:pPr>
            <w:r>
              <w:rPr>
                <w:rFonts w:hint="eastAsia"/>
              </w:rPr>
              <w:t>区工信局</w:t>
            </w:r>
          </w:p>
        </w:tc>
      </w:tr>
      <w:tr w14:paraId="105F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5F68F1AB">
            <w:pPr>
              <w:pStyle w:val="59"/>
              <w:rPr>
                <w:rFonts w:ascii="黑体" w:hAnsi="黑体" w:eastAsia="黑体"/>
              </w:rPr>
            </w:pPr>
          </w:p>
        </w:tc>
        <w:tc>
          <w:tcPr>
            <w:tcW w:w="1316" w:type="dxa"/>
            <w:vMerge w:val="continue"/>
            <w:vAlign w:val="center"/>
          </w:tcPr>
          <w:p w14:paraId="3147710D">
            <w:pPr>
              <w:pStyle w:val="59"/>
            </w:pPr>
          </w:p>
        </w:tc>
        <w:tc>
          <w:tcPr>
            <w:tcW w:w="2688" w:type="dxa"/>
            <w:vAlign w:val="center"/>
          </w:tcPr>
          <w:p w14:paraId="6E9AA98C">
            <w:pPr>
              <w:pStyle w:val="59"/>
            </w:pPr>
            <w:r>
              <w:rPr>
                <w:rFonts w:hint="eastAsia"/>
              </w:rPr>
              <w:t>企业生产工艺提升项目</w:t>
            </w:r>
          </w:p>
        </w:tc>
        <w:tc>
          <w:tcPr>
            <w:tcW w:w="6508" w:type="dxa"/>
            <w:vAlign w:val="center"/>
          </w:tcPr>
          <w:p w14:paraId="7C175DF9">
            <w:pPr>
              <w:pStyle w:val="59"/>
            </w:pPr>
            <w:r>
              <w:rPr>
                <w:rFonts w:hint="eastAsia"/>
              </w:rPr>
              <w:t>推进北辰区重污染企业生产工艺提升，完成相关企业生产工艺改进，鼓励企业采用源头替代的方式，降低VOCs排放。</w:t>
            </w:r>
          </w:p>
        </w:tc>
        <w:tc>
          <w:tcPr>
            <w:tcW w:w="1154" w:type="dxa"/>
            <w:vAlign w:val="center"/>
          </w:tcPr>
          <w:p w14:paraId="12D8A760">
            <w:pPr>
              <w:pStyle w:val="59"/>
            </w:pPr>
            <w:r>
              <w:rPr>
                <w:rFonts w:hint="eastAsia"/>
              </w:rPr>
              <w:t>长期坚持</w:t>
            </w:r>
          </w:p>
        </w:tc>
        <w:tc>
          <w:tcPr>
            <w:tcW w:w="1650" w:type="dxa"/>
            <w:vAlign w:val="center"/>
          </w:tcPr>
          <w:p w14:paraId="031C7110">
            <w:pPr>
              <w:pStyle w:val="59"/>
            </w:pPr>
            <w:r>
              <w:rPr>
                <w:rFonts w:hint="eastAsia"/>
              </w:rPr>
              <w:t>区生态环境局</w:t>
            </w:r>
          </w:p>
        </w:tc>
      </w:tr>
      <w:tr w14:paraId="12A5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16FBF154">
            <w:pPr>
              <w:pStyle w:val="59"/>
              <w:rPr>
                <w:rFonts w:ascii="黑体" w:hAnsi="黑体" w:eastAsia="黑体"/>
              </w:rPr>
            </w:pPr>
          </w:p>
        </w:tc>
        <w:tc>
          <w:tcPr>
            <w:tcW w:w="1316" w:type="dxa"/>
            <w:vMerge w:val="continue"/>
            <w:vAlign w:val="center"/>
          </w:tcPr>
          <w:p w14:paraId="075AF56C">
            <w:pPr>
              <w:pStyle w:val="59"/>
            </w:pPr>
          </w:p>
        </w:tc>
        <w:tc>
          <w:tcPr>
            <w:tcW w:w="2688" w:type="dxa"/>
            <w:vAlign w:val="center"/>
          </w:tcPr>
          <w:p w14:paraId="625A7968">
            <w:pPr>
              <w:pStyle w:val="59"/>
            </w:pPr>
            <w:r>
              <w:rPr>
                <w:rFonts w:hint="eastAsia"/>
              </w:rPr>
              <w:t>发展新材料新能源企业</w:t>
            </w:r>
          </w:p>
        </w:tc>
        <w:tc>
          <w:tcPr>
            <w:tcW w:w="6508" w:type="dxa"/>
            <w:vAlign w:val="center"/>
          </w:tcPr>
          <w:p w14:paraId="742BBB4E">
            <w:pPr>
              <w:pStyle w:val="59"/>
            </w:pPr>
            <w:r>
              <w:rPr>
                <w:rFonts w:hint="eastAsia"/>
              </w:rPr>
              <w:t>大力发展引进装备制造产业、生物医药产业、新能源新材料、电子信息等优势产业。</w:t>
            </w:r>
          </w:p>
        </w:tc>
        <w:tc>
          <w:tcPr>
            <w:tcW w:w="1154" w:type="dxa"/>
            <w:vAlign w:val="center"/>
          </w:tcPr>
          <w:p w14:paraId="242C165D">
            <w:pPr>
              <w:pStyle w:val="59"/>
            </w:pPr>
            <w:r>
              <w:rPr>
                <w:rFonts w:hint="eastAsia"/>
              </w:rPr>
              <w:t>长期坚持</w:t>
            </w:r>
          </w:p>
        </w:tc>
        <w:tc>
          <w:tcPr>
            <w:tcW w:w="1650" w:type="dxa"/>
            <w:vAlign w:val="center"/>
          </w:tcPr>
          <w:p w14:paraId="618AB6F2">
            <w:pPr>
              <w:pStyle w:val="59"/>
            </w:pPr>
            <w:r>
              <w:rPr>
                <w:rFonts w:hint="eastAsia"/>
              </w:rPr>
              <w:t>区工信局</w:t>
            </w:r>
          </w:p>
        </w:tc>
      </w:tr>
      <w:tr w14:paraId="6716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163" w:type="dxa"/>
            <w:vMerge w:val="continue"/>
            <w:vAlign w:val="center"/>
          </w:tcPr>
          <w:p w14:paraId="00146BC4">
            <w:pPr>
              <w:pStyle w:val="59"/>
              <w:rPr>
                <w:rFonts w:ascii="黑体" w:hAnsi="黑体" w:eastAsia="黑体"/>
              </w:rPr>
            </w:pPr>
          </w:p>
        </w:tc>
        <w:tc>
          <w:tcPr>
            <w:tcW w:w="1316" w:type="dxa"/>
            <w:vMerge w:val="restart"/>
            <w:vAlign w:val="center"/>
          </w:tcPr>
          <w:p w14:paraId="74BB677D">
            <w:pPr>
              <w:pStyle w:val="59"/>
            </w:pPr>
            <w:r>
              <w:rPr>
                <w:rFonts w:hint="eastAsia"/>
              </w:rPr>
              <w:t>能源结构调整重点工程</w:t>
            </w:r>
          </w:p>
        </w:tc>
        <w:tc>
          <w:tcPr>
            <w:tcW w:w="2688" w:type="dxa"/>
            <w:vAlign w:val="center"/>
          </w:tcPr>
          <w:p w14:paraId="06FBB425">
            <w:pPr>
              <w:pStyle w:val="59"/>
            </w:pPr>
            <w:r>
              <w:rPr>
                <w:rFonts w:hint="eastAsia"/>
              </w:rPr>
              <w:t>农村居民清洁取暖工程</w:t>
            </w:r>
          </w:p>
        </w:tc>
        <w:tc>
          <w:tcPr>
            <w:tcW w:w="6508" w:type="dxa"/>
            <w:vAlign w:val="center"/>
          </w:tcPr>
          <w:p w14:paraId="0E87E0DB">
            <w:pPr>
              <w:pStyle w:val="59"/>
            </w:pPr>
            <w:r>
              <w:rPr>
                <w:rFonts w:hint="eastAsia"/>
              </w:rPr>
              <w:t>巩固清洁取暖工程成效，并加强煤改电相关工程后期运行维护，保证居民冬季取暖。</w:t>
            </w:r>
          </w:p>
        </w:tc>
        <w:tc>
          <w:tcPr>
            <w:tcW w:w="1154" w:type="dxa"/>
            <w:vAlign w:val="center"/>
          </w:tcPr>
          <w:p w14:paraId="7B1C2EB6">
            <w:pPr>
              <w:pStyle w:val="59"/>
            </w:pPr>
            <w:r>
              <w:rPr>
                <w:rFonts w:hint="eastAsia"/>
              </w:rPr>
              <w:t>长期坚持</w:t>
            </w:r>
          </w:p>
        </w:tc>
        <w:tc>
          <w:tcPr>
            <w:tcW w:w="1650" w:type="dxa"/>
            <w:vAlign w:val="center"/>
          </w:tcPr>
          <w:p w14:paraId="74A7B8DF">
            <w:pPr>
              <w:pStyle w:val="59"/>
            </w:pPr>
            <w:r>
              <w:rPr>
                <w:rFonts w:hint="eastAsia"/>
              </w:rPr>
              <w:t>区发改委</w:t>
            </w:r>
          </w:p>
        </w:tc>
      </w:tr>
      <w:tr w14:paraId="5CD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63" w:type="dxa"/>
            <w:vMerge w:val="continue"/>
            <w:vAlign w:val="center"/>
          </w:tcPr>
          <w:p w14:paraId="266A3527">
            <w:pPr>
              <w:pStyle w:val="59"/>
              <w:rPr>
                <w:rFonts w:ascii="黑体" w:hAnsi="黑体" w:eastAsia="黑体"/>
              </w:rPr>
            </w:pPr>
          </w:p>
        </w:tc>
        <w:tc>
          <w:tcPr>
            <w:tcW w:w="1316" w:type="dxa"/>
            <w:vMerge w:val="continue"/>
            <w:vAlign w:val="center"/>
          </w:tcPr>
          <w:p w14:paraId="2CA3F4F1">
            <w:pPr>
              <w:pStyle w:val="59"/>
            </w:pPr>
          </w:p>
        </w:tc>
        <w:tc>
          <w:tcPr>
            <w:tcW w:w="2688" w:type="dxa"/>
            <w:vAlign w:val="center"/>
          </w:tcPr>
          <w:p w14:paraId="65B605EA">
            <w:pPr>
              <w:pStyle w:val="59"/>
            </w:pPr>
            <w:r>
              <w:rPr>
                <w:rFonts w:hint="eastAsia"/>
              </w:rPr>
              <w:t>燃煤锅炉改燃气工程或并网工程</w:t>
            </w:r>
          </w:p>
        </w:tc>
        <w:tc>
          <w:tcPr>
            <w:tcW w:w="6508" w:type="dxa"/>
            <w:vAlign w:val="center"/>
          </w:tcPr>
          <w:p w14:paraId="1701C2A4">
            <w:pPr>
              <w:pStyle w:val="59"/>
            </w:pPr>
            <w:r>
              <w:rPr>
                <w:rFonts w:hint="eastAsia"/>
              </w:rPr>
              <w:t>天津银辰热力有限责任公司、天津万源供热有限公司供热等8台半径15公里并网工程和天津淀发供热中心燃煤锅炉改燃气工程。</w:t>
            </w:r>
          </w:p>
        </w:tc>
        <w:tc>
          <w:tcPr>
            <w:tcW w:w="1154" w:type="dxa"/>
            <w:vAlign w:val="center"/>
          </w:tcPr>
          <w:p w14:paraId="3B754E84">
            <w:pPr>
              <w:pStyle w:val="59"/>
            </w:pPr>
            <w:r>
              <w:rPr>
                <w:rFonts w:hint="eastAsia"/>
              </w:rPr>
              <w:t>2022年</w:t>
            </w:r>
          </w:p>
        </w:tc>
        <w:tc>
          <w:tcPr>
            <w:tcW w:w="1650" w:type="dxa"/>
            <w:vAlign w:val="center"/>
          </w:tcPr>
          <w:p w14:paraId="778A8A7A">
            <w:pPr>
              <w:pStyle w:val="59"/>
            </w:pPr>
            <w:r>
              <w:rPr>
                <w:rFonts w:hint="eastAsia"/>
              </w:rPr>
              <w:t>区城管委</w:t>
            </w:r>
          </w:p>
        </w:tc>
      </w:tr>
      <w:tr w14:paraId="703E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63" w:type="dxa"/>
            <w:vMerge w:val="continue"/>
            <w:vAlign w:val="center"/>
          </w:tcPr>
          <w:p w14:paraId="3BDD1E53">
            <w:pPr>
              <w:pStyle w:val="59"/>
              <w:rPr>
                <w:rFonts w:ascii="黑体" w:hAnsi="黑体" w:eastAsia="黑体"/>
              </w:rPr>
            </w:pPr>
          </w:p>
        </w:tc>
        <w:tc>
          <w:tcPr>
            <w:tcW w:w="1316" w:type="dxa"/>
            <w:vMerge w:val="continue"/>
            <w:vAlign w:val="center"/>
          </w:tcPr>
          <w:p w14:paraId="768223BD">
            <w:pPr>
              <w:pStyle w:val="59"/>
            </w:pPr>
          </w:p>
        </w:tc>
        <w:tc>
          <w:tcPr>
            <w:tcW w:w="2688" w:type="dxa"/>
            <w:vAlign w:val="center"/>
          </w:tcPr>
          <w:p w14:paraId="6A13FE98">
            <w:pPr>
              <w:pStyle w:val="59"/>
            </w:pPr>
            <w:r>
              <w:rPr>
                <w:rFonts w:hint="eastAsia"/>
              </w:rPr>
              <w:t>协调推动天然气管道建设工程</w:t>
            </w:r>
          </w:p>
        </w:tc>
        <w:tc>
          <w:tcPr>
            <w:tcW w:w="6508" w:type="dxa"/>
            <w:vAlign w:val="center"/>
          </w:tcPr>
          <w:p w14:paraId="37CFBD19">
            <w:pPr>
              <w:pStyle w:val="59"/>
            </w:pPr>
            <w:r>
              <w:rPr>
                <w:rFonts w:hint="eastAsia"/>
              </w:rPr>
              <w:t>推进北辰区辖6个街道、9个镇天然气管道建设，并加强后期运行维护。</w:t>
            </w:r>
          </w:p>
        </w:tc>
        <w:tc>
          <w:tcPr>
            <w:tcW w:w="1154" w:type="dxa"/>
            <w:vAlign w:val="center"/>
          </w:tcPr>
          <w:p w14:paraId="253FD17D">
            <w:pPr>
              <w:pStyle w:val="59"/>
            </w:pPr>
            <w:r>
              <w:rPr>
                <w:rFonts w:hint="eastAsia"/>
              </w:rPr>
              <w:t>长期坚持</w:t>
            </w:r>
          </w:p>
        </w:tc>
        <w:tc>
          <w:tcPr>
            <w:tcW w:w="1650" w:type="dxa"/>
            <w:vAlign w:val="center"/>
          </w:tcPr>
          <w:p w14:paraId="1617AEEC">
            <w:pPr>
              <w:pStyle w:val="59"/>
            </w:pPr>
            <w:r>
              <w:rPr>
                <w:rFonts w:hint="eastAsia"/>
              </w:rPr>
              <w:t>区城管委</w:t>
            </w:r>
          </w:p>
        </w:tc>
      </w:tr>
      <w:tr w14:paraId="37FC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296707C1">
            <w:pPr>
              <w:pStyle w:val="59"/>
              <w:rPr>
                <w:rFonts w:ascii="黑体" w:hAnsi="黑体" w:eastAsia="黑体"/>
              </w:rPr>
            </w:pPr>
          </w:p>
        </w:tc>
        <w:tc>
          <w:tcPr>
            <w:tcW w:w="1316" w:type="dxa"/>
            <w:vMerge w:val="continue"/>
            <w:vAlign w:val="center"/>
          </w:tcPr>
          <w:p w14:paraId="1001333F">
            <w:pPr>
              <w:pStyle w:val="59"/>
            </w:pPr>
          </w:p>
        </w:tc>
        <w:tc>
          <w:tcPr>
            <w:tcW w:w="2688" w:type="dxa"/>
            <w:vAlign w:val="center"/>
          </w:tcPr>
          <w:p w14:paraId="1031A8E2">
            <w:pPr>
              <w:pStyle w:val="59"/>
            </w:pPr>
            <w:r>
              <w:rPr>
                <w:rFonts w:hint="eastAsia"/>
              </w:rPr>
              <w:t>输电通道建设工程</w:t>
            </w:r>
          </w:p>
        </w:tc>
        <w:tc>
          <w:tcPr>
            <w:tcW w:w="6508" w:type="dxa"/>
            <w:vAlign w:val="center"/>
          </w:tcPr>
          <w:p w14:paraId="70DCDC8B">
            <w:pPr>
              <w:pStyle w:val="59"/>
            </w:pPr>
            <w:r>
              <w:rPr>
                <w:rFonts w:hint="eastAsia"/>
              </w:rPr>
              <w:t>配合天津市规划，推动京津冀电力基层设施互联互通。</w:t>
            </w:r>
          </w:p>
        </w:tc>
        <w:tc>
          <w:tcPr>
            <w:tcW w:w="1154" w:type="dxa"/>
            <w:vAlign w:val="center"/>
          </w:tcPr>
          <w:p w14:paraId="05DEF16F">
            <w:pPr>
              <w:pStyle w:val="59"/>
            </w:pPr>
            <w:r>
              <w:rPr>
                <w:rFonts w:hint="eastAsia"/>
              </w:rPr>
              <w:t>长期坚持</w:t>
            </w:r>
          </w:p>
        </w:tc>
        <w:tc>
          <w:tcPr>
            <w:tcW w:w="1650" w:type="dxa"/>
            <w:vAlign w:val="center"/>
          </w:tcPr>
          <w:p w14:paraId="281E07D4">
            <w:pPr>
              <w:pStyle w:val="59"/>
            </w:pPr>
            <w:r>
              <w:rPr>
                <w:rFonts w:hint="eastAsia"/>
              </w:rPr>
              <w:t>区工信局</w:t>
            </w:r>
          </w:p>
        </w:tc>
      </w:tr>
      <w:tr w14:paraId="7722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314A5533">
            <w:pPr>
              <w:pStyle w:val="59"/>
              <w:rPr>
                <w:rFonts w:ascii="黑体" w:hAnsi="黑体" w:eastAsia="黑体"/>
              </w:rPr>
            </w:pPr>
          </w:p>
        </w:tc>
        <w:tc>
          <w:tcPr>
            <w:tcW w:w="1316" w:type="dxa"/>
            <w:vMerge w:val="continue"/>
            <w:vAlign w:val="center"/>
          </w:tcPr>
          <w:p w14:paraId="6635A515">
            <w:pPr>
              <w:pStyle w:val="59"/>
            </w:pPr>
          </w:p>
        </w:tc>
        <w:tc>
          <w:tcPr>
            <w:tcW w:w="2688" w:type="dxa"/>
            <w:vAlign w:val="center"/>
          </w:tcPr>
          <w:p w14:paraId="03216E9C">
            <w:pPr>
              <w:pStyle w:val="59"/>
            </w:pPr>
            <w:r>
              <w:rPr>
                <w:rFonts w:hint="eastAsia"/>
              </w:rPr>
              <w:t>“互联网+智慧能源”建设</w:t>
            </w:r>
          </w:p>
        </w:tc>
        <w:tc>
          <w:tcPr>
            <w:tcW w:w="6508" w:type="dxa"/>
            <w:vAlign w:val="center"/>
          </w:tcPr>
          <w:p w14:paraId="44AF5466">
            <w:pPr>
              <w:pStyle w:val="59"/>
            </w:pPr>
            <w:r>
              <w:rPr>
                <w:rFonts w:hint="eastAsia"/>
              </w:rPr>
              <w:t>综合利用区内太阳能、风能和地热能等分布式清洁能源，构建以“网、数、服务、消纳”为架构的城市能源互联网，向区内欧盟产业园、SMC、栖凤小镇智慧小区等企业推广。</w:t>
            </w:r>
          </w:p>
        </w:tc>
        <w:tc>
          <w:tcPr>
            <w:tcW w:w="1154" w:type="dxa"/>
            <w:vAlign w:val="center"/>
          </w:tcPr>
          <w:p w14:paraId="6A86B629">
            <w:pPr>
              <w:pStyle w:val="59"/>
            </w:pPr>
            <w:r>
              <w:rPr>
                <w:rFonts w:hint="eastAsia"/>
              </w:rPr>
              <w:t>长期坚持</w:t>
            </w:r>
          </w:p>
        </w:tc>
        <w:tc>
          <w:tcPr>
            <w:tcW w:w="1650" w:type="dxa"/>
            <w:vAlign w:val="center"/>
          </w:tcPr>
          <w:p w14:paraId="5E545084">
            <w:pPr>
              <w:pStyle w:val="59"/>
            </w:pPr>
            <w:r>
              <w:rPr>
                <w:rFonts w:hint="eastAsia"/>
              </w:rPr>
              <w:t>区工信局</w:t>
            </w:r>
          </w:p>
        </w:tc>
      </w:tr>
      <w:tr w14:paraId="32F4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24CB59D8">
            <w:pPr>
              <w:pStyle w:val="59"/>
              <w:rPr>
                <w:rFonts w:ascii="黑体" w:hAnsi="黑体" w:eastAsia="黑体"/>
              </w:rPr>
            </w:pPr>
          </w:p>
        </w:tc>
        <w:tc>
          <w:tcPr>
            <w:tcW w:w="1316" w:type="dxa"/>
            <w:vMerge w:val="restart"/>
            <w:vAlign w:val="center"/>
          </w:tcPr>
          <w:p w14:paraId="76729454">
            <w:pPr>
              <w:pStyle w:val="59"/>
            </w:pPr>
            <w:r>
              <w:rPr>
                <w:rFonts w:hint="eastAsia"/>
              </w:rPr>
              <w:t>空间结构调整重点工程</w:t>
            </w:r>
          </w:p>
        </w:tc>
        <w:tc>
          <w:tcPr>
            <w:tcW w:w="2688" w:type="dxa"/>
            <w:vAlign w:val="center"/>
          </w:tcPr>
          <w:p w14:paraId="4580F78E">
            <w:pPr>
              <w:pStyle w:val="59"/>
            </w:pPr>
            <w:r>
              <w:rPr>
                <w:rFonts w:hint="eastAsia"/>
              </w:rPr>
              <w:t>工业园区整合工程</w:t>
            </w:r>
          </w:p>
        </w:tc>
        <w:tc>
          <w:tcPr>
            <w:tcW w:w="6508" w:type="dxa"/>
            <w:vAlign w:val="center"/>
          </w:tcPr>
          <w:p w14:paraId="4D41C695">
            <w:pPr>
              <w:pStyle w:val="59"/>
            </w:pPr>
            <w:r>
              <w:rPr>
                <w:rFonts w:hint="eastAsia"/>
              </w:rPr>
              <w:t>通过“一区多园”等模式，建立“区级管理机构+专业化运营企业”园区整合提升机制，持续推进工业园区整合。</w:t>
            </w:r>
          </w:p>
        </w:tc>
        <w:tc>
          <w:tcPr>
            <w:tcW w:w="1154" w:type="dxa"/>
            <w:vAlign w:val="center"/>
          </w:tcPr>
          <w:p w14:paraId="41650981">
            <w:pPr>
              <w:pStyle w:val="59"/>
            </w:pPr>
            <w:r>
              <w:rPr>
                <w:rFonts w:hint="eastAsia"/>
              </w:rPr>
              <w:t>2025年</w:t>
            </w:r>
          </w:p>
        </w:tc>
        <w:tc>
          <w:tcPr>
            <w:tcW w:w="1650" w:type="dxa"/>
            <w:vAlign w:val="center"/>
          </w:tcPr>
          <w:p w14:paraId="60982CA8">
            <w:pPr>
              <w:pStyle w:val="59"/>
            </w:pPr>
            <w:r>
              <w:rPr>
                <w:rFonts w:hint="eastAsia"/>
              </w:rPr>
              <w:t>区工信局</w:t>
            </w:r>
          </w:p>
        </w:tc>
      </w:tr>
      <w:tr w14:paraId="6E26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163" w:type="dxa"/>
            <w:vMerge w:val="continue"/>
            <w:shd w:val="clear" w:color="auto" w:fill="auto"/>
            <w:vAlign w:val="center"/>
          </w:tcPr>
          <w:p w14:paraId="54205F91">
            <w:pPr>
              <w:pStyle w:val="59"/>
              <w:rPr>
                <w:rFonts w:ascii="黑体" w:hAnsi="黑体" w:eastAsia="黑体"/>
              </w:rPr>
            </w:pPr>
          </w:p>
        </w:tc>
        <w:tc>
          <w:tcPr>
            <w:tcW w:w="1316" w:type="dxa"/>
            <w:vMerge w:val="continue"/>
            <w:shd w:val="clear" w:color="auto" w:fill="auto"/>
            <w:vAlign w:val="center"/>
          </w:tcPr>
          <w:p w14:paraId="4E58BB75">
            <w:pPr>
              <w:pStyle w:val="59"/>
            </w:pPr>
          </w:p>
        </w:tc>
        <w:tc>
          <w:tcPr>
            <w:tcW w:w="2688" w:type="dxa"/>
            <w:shd w:val="clear" w:color="000000" w:fill="FFFFFF"/>
            <w:vAlign w:val="center"/>
          </w:tcPr>
          <w:p w14:paraId="0B44676B">
            <w:pPr>
              <w:pStyle w:val="59"/>
            </w:pPr>
            <w:r>
              <w:rPr>
                <w:rFonts w:hint="eastAsia"/>
              </w:rPr>
              <w:t>特色农业产业园建设</w:t>
            </w:r>
          </w:p>
        </w:tc>
        <w:tc>
          <w:tcPr>
            <w:tcW w:w="6508" w:type="dxa"/>
            <w:shd w:val="clear" w:color="000000" w:fill="FFFFFF"/>
            <w:vAlign w:val="center"/>
          </w:tcPr>
          <w:p w14:paraId="3A792282">
            <w:pPr>
              <w:pStyle w:val="59"/>
            </w:pPr>
            <w:r>
              <w:rPr>
                <w:rFonts w:hint="eastAsia"/>
              </w:rPr>
              <w:t>以红光农场片区为主体，联合小五堡、奶牛小镇、曙光水镇等农业特色片区，共同创建国家级现代农业示范园，努力打造天津农垦农业结构调整的先行区、天津生态旅游农业发展的样板区、京津冀农业休闲旅游目的地和特色农业主题公园。加快推进双街现代农业产业园、益多利来高端渔业产业园等特色产业集群发展。</w:t>
            </w:r>
          </w:p>
        </w:tc>
        <w:tc>
          <w:tcPr>
            <w:tcW w:w="1154" w:type="dxa"/>
            <w:shd w:val="clear" w:color="000000" w:fill="FFFFFF"/>
            <w:vAlign w:val="center"/>
          </w:tcPr>
          <w:p w14:paraId="292CC633">
            <w:pPr>
              <w:pStyle w:val="59"/>
            </w:pPr>
            <w:r>
              <w:rPr>
                <w:rFonts w:hint="eastAsia"/>
              </w:rPr>
              <w:t>2025年</w:t>
            </w:r>
          </w:p>
        </w:tc>
        <w:tc>
          <w:tcPr>
            <w:tcW w:w="1650" w:type="dxa"/>
            <w:shd w:val="clear" w:color="000000" w:fill="FFFFFF"/>
            <w:vAlign w:val="center"/>
          </w:tcPr>
          <w:p w14:paraId="40134841">
            <w:pPr>
              <w:pStyle w:val="59"/>
            </w:pPr>
            <w:r>
              <w:rPr>
                <w:rFonts w:hint="eastAsia"/>
              </w:rPr>
              <w:t>区农业农村委</w:t>
            </w:r>
          </w:p>
        </w:tc>
      </w:tr>
      <w:tr w14:paraId="4F20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63" w:type="dxa"/>
            <w:vMerge w:val="continue"/>
            <w:shd w:val="clear" w:color="auto" w:fill="auto"/>
            <w:vAlign w:val="center"/>
          </w:tcPr>
          <w:p w14:paraId="77E1BAB0">
            <w:pPr>
              <w:pStyle w:val="59"/>
              <w:rPr>
                <w:rFonts w:ascii="黑体" w:hAnsi="黑体" w:eastAsia="黑体"/>
              </w:rPr>
            </w:pPr>
          </w:p>
        </w:tc>
        <w:tc>
          <w:tcPr>
            <w:tcW w:w="1316" w:type="dxa"/>
            <w:vMerge w:val="restart"/>
            <w:shd w:val="clear" w:color="auto" w:fill="auto"/>
            <w:vAlign w:val="center"/>
          </w:tcPr>
          <w:p w14:paraId="4ABD1B75">
            <w:pPr>
              <w:pStyle w:val="59"/>
            </w:pPr>
            <w:r>
              <w:rPr>
                <w:rFonts w:hint="eastAsia"/>
              </w:rPr>
              <w:t>减污降碳重点工程</w:t>
            </w:r>
          </w:p>
        </w:tc>
        <w:tc>
          <w:tcPr>
            <w:tcW w:w="2688" w:type="dxa"/>
            <w:shd w:val="clear" w:color="000000" w:fill="FFFFFF"/>
            <w:vAlign w:val="center"/>
          </w:tcPr>
          <w:p w14:paraId="210A703E">
            <w:pPr>
              <w:pStyle w:val="59"/>
            </w:pPr>
            <w:r>
              <w:rPr>
                <w:rFonts w:hint="eastAsia"/>
              </w:rPr>
              <w:t>制定实施碳达峰行动方案</w:t>
            </w:r>
          </w:p>
        </w:tc>
        <w:tc>
          <w:tcPr>
            <w:tcW w:w="6508" w:type="dxa"/>
            <w:shd w:val="clear" w:color="000000" w:fill="FFFFFF"/>
            <w:vAlign w:val="center"/>
          </w:tcPr>
          <w:p w14:paraId="49011F29">
            <w:pPr>
              <w:pStyle w:val="59"/>
            </w:pPr>
            <w:r>
              <w:rPr>
                <w:szCs w:val="24"/>
              </w:rPr>
              <w:t>编制实施全</w:t>
            </w:r>
            <w:r>
              <w:rPr>
                <w:rFonts w:hint="eastAsia"/>
                <w:szCs w:val="24"/>
              </w:rPr>
              <w:t>区</w:t>
            </w:r>
            <w:r>
              <w:rPr>
                <w:szCs w:val="24"/>
              </w:rPr>
              <w:t>碳排放达峰行动方案及各区碳排放达峰行动方案。</w:t>
            </w:r>
          </w:p>
        </w:tc>
        <w:tc>
          <w:tcPr>
            <w:tcW w:w="1154" w:type="dxa"/>
            <w:shd w:val="clear" w:color="000000" w:fill="FFFFFF"/>
            <w:vAlign w:val="center"/>
          </w:tcPr>
          <w:p w14:paraId="531BBAF5">
            <w:pPr>
              <w:pStyle w:val="59"/>
            </w:pPr>
            <w:r>
              <w:rPr>
                <w:rFonts w:hint="eastAsia"/>
              </w:rPr>
              <w:t>2021底前长期坚持</w:t>
            </w:r>
          </w:p>
        </w:tc>
        <w:tc>
          <w:tcPr>
            <w:tcW w:w="1650" w:type="dxa"/>
            <w:shd w:val="clear" w:color="000000" w:fill="FFFFFF"/>
            <w:vAlign w:val="center"/>
          </w:tcPr>
          <w:p w14:paraId="5E33FE81">
            <w:pPr>
              <w:pStyle w:val="59"/>
            </w:pPr>
            <w:r>
              <w:rPr>
                <w:rFonts w:hint="eastAsia"/>
              </w:rPr>
              <w:t>区发改委</w:t>
            </w:r>
          </w:p>
        </w:tc>
      </w:tr>
      <w:tr w14:paraId="504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63" w:type="dxa"/>
            <w:vMerge w:val="continue"/>
            <w:shd w:val="clear" w:color="auto" w:fill="auto"/>
            <w:vAlign w:val="center"/>
          </w:tcPr>
          <w:p w14:paraId="21D2FAA5">
            <w:pPr>
              <w:pStyle w:val="59"/>
              <w:rPr>
                <w:rFonts w:ascii="黑体" w:hAnsi="黑体" w:eastAsia="黑体"/>
              </w:rPr>
            </w:pPr>
          </w:p>
        </w:tc>
        <w:tc>
          <w:tcPr>
            <w:tcW w:w="1316" w:type="dxa"/>
            <w:vMerge w:val="continue"/>
            <w:shd w:val="clear" w:color="auto" w:fill="auto"/>
            <w:vAlign w:val="center"/>
          </w:tcPr>
          <w:p w14:paraId="172D3BAC">
            <w:pPr>
              <w:pStyle w:val="59"/>
            </w:pPr>
          </w:p>
        </w:tc>
        <w:tc>
          <w:tcPr>
            <w:tcW w:w="2688" w:type="dxa"/>
            <w:shd w:val="clear" w:color="000000" w:fill="FFFFFF"/>
            <w:vAlign w:val="center"/>
          </w:tcPr>
          <w:p w14:paraId="33E797D6">
            <w:pPr>
              <w:pStyle w:val="59"/>
            </w:pPr>
            <w:r>
              <w:rPr>
                <w:rFonts w:hint="eastAsia"/>
              </w:rPr>
              <w:t>建立低碳经济体系</w:t>
            </w:r>
          </w:p>
        </w:tc>
        <w:tc>
          <w:tcPr>
            <w:tcW w:w="6508" w:type="dxa"/>
            <w:shd w:val="clear" w:color="000000" w:fill="FFFFFF"/>
            <w:vAlign w:val="center"/>
          </w:tcPr>
          <w:p w14:paraId="6904966F">
            <w:pPr>
              <w:pStyle w:val="59"/>
            </w:pPr>
            <w:r>
              <w:rPr>
                <w:rFonts w:hint="eastAsia"/>
              </w:rPr>
              <w:t>探索构建碳交易市场，建立低碳经济体系，着力培育绿色低碳新兴产业。</w:t>
            </w:r>
          </w:p>
        </w:tc>
        <w:tc>
          <w:tcPr>
            <w:tcW w:w="1154" w:type="dxa"/>
            <w:shd w:val="clear" w:color="000000" w:fill="FFFFFF"/>
            <w:vAlign w:val="center"/>
          </w:tcPr>
          <w:p w14:paraId="2AEEF11C">
            <w:pPr>
              <w:pStyle w:val="59"/>
            </w:pPr>
            <w:r>
              <w:rPr>
                <w:rFonts w:hint="eastAsia"/>
              </w:rPr>
              <w:t>长期坚持</w:t>
            </w:r>
          </w:p>
        </w:tc>
        <w:tc>
          <w:tcPr>
            <w:tcW w:w="1650" w:type="dxa"/>
            <w:shd w:val="clear" w:color="000000" w:fill="FFFFFF"/>
            <w:vAlign w:val="center"/>
          </w:tcPr>
          <w:p w14:paraId="4959F15C">
            <w:pPr>
              <w:pStyle w:val="59"/>
            </w:pPr>
            <w:r>
              <w:rPr>
                <w:rFonts w:hint="eastAsia"/>
              </w:rPr>
              <w:t>区发改委</w:t>
            </w:r>
          </w:p>
        </w:tc>
      </w:tr>
      <w:tr w14:paraId="2713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63" w:type="dxa"/>
            <w:vMerge w:val="continue"/>
            <w:shd w:val="clear" w:color="auto" w:fill="auto"/>
            <w:vAlign w:val="center"/>
          </w:tcPr>
          <w:p w14:paraId="1DD40A10">
            <w:pPr>
              <w:pStyle w:val="59"/>
              <w:rPr>
                <w:rFonts w:ascii="黑体" w:hAnsi="黑体" w:eastAsia="黑体"/>
              </w:rPr>
            </w:pPr>
          </w:p>
        </w:tc>
        <w:tc>
          <w:tcPr>
            <w:tcW w:w="1316" w:type="dxa"/>
            <w:vMerge w:val="continue"/>
            <w:shd w:val="clear" w:color="auto" w:fill="auto"/>
            <w:vAlign w:val="center"/>
          </w:tcPr>
          <w:p w14:paraId="63E335C7">
            <w:pPr>
              <w:pStyle w:val="59"/>
            </w:pPr>
          </w:p>
        </w:tc>
        <w:tc>
          <w:tcPr>
            <w:tcW w:w="2688" w:type="dxa"/>
            <w:shd w:val="clear" w:color="000000" w:fill="FFFFFF"/>
            <w:vAlign w:val="center"/>
          </w:tcPr>
          <w:p w14:paraId="0DB799C8">
            <w:pPr>
              <w:pStyle w:val="59"/>
            </w:pPr>
            <w:r>
              <w:rPr>
                <w:rFonts w:hint="eastAsia"/>
              </w:rPr>
              <w:t>创新建设低碳示范试点</w:t>
            </w:r>
          </w:p>
        </w:tc>
        <w:tc>
          <w:tcPr>
            <w:tcW w:w="6508" w:type="dxa"/>
            <w:shd w:val="clear" w:color="000000" w:fill="FFFFFF"/>
            <w:vAlign w:val="center"/>
          </w:tcPr>
          <w:p w14:paraId="401A9F43">
            <w:pPr>
              <w:pStyle w:val="59"/>
            </w:pPr>
            <w:r>
              <w:rPr>
                <w:rFonts w:hint="eastAsia"/>
              </w:rPr>
              <w:t>开展近零碳排放示范工程建设。探索开展面向碳中和的零碳或碳中和技术产品研发、综合示范、应用推广等相关试点工作。</w:t>
            </w:r>
          </w:p>
        </w:tc>
        <w:tc>
          <w:tcPr>
            <w:tcW w:w="1154" w:type="dxa"/>
            <w:shd w:val="clear" w:color="000000" w:fill="FFFFFF"/>
            <w:vAlign w:val="center"/>
          </w:tcPr>
          <w:p w14:paraId="0B619AF3">
            <w:pPr>
              <w:pStyle w:val="59"/>
            </w:pPr>
            <w:r>
              <w:rPr>
                <w:rFonts w:hint="eastAsia"/>
              </w:rPr>
              <w:t>2025年</w:t>
            </w:r>
          </w:p>
        </w:tc>
        <w:tc>
          <w:tcPr>
            <w:tcW w:w="1650" w:type="dxa"/>
            <w:shd w:val="clear" w:color="000000" w:fill="FFFFFF"/>
            <w:vAlign w:val="center"/>
          </w:tcPr>
          <w:p w14:paraId="307B8B79">
            <w:pPr>
              <w:pStyle w:val="59"/>
            </w:pPr>
            <w:r>
              <w:rPr>
                <w:rFonts w:hint="eastAsia"/>
              </w:rPr>
              <w:t>区发改委</w:t>
            </w:r>
          </w:p>
        </w:tc>
      </w:tr>
      <w:tr w14:paraId="519B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shd w:val="clear" w:color="auto" w:fill="auto"/>
            <w:vAlign w:val="center"/>
          </w:tcPr>
          <w:p w14:paraId="47DFC8DC">
            <w:pPr>
              <w:pStyle w:val="59"/>
              <w:rPr>
                <w:rFonts w:ascii="黑体" w:hAnsi="黑体" w:eastAsia="黑体"/>
              </w:rPr>
            </w:pPr>
          </w:p>
        </w:tc>
        <w:tc>
          <w:tcPr>
            <w:tcW w:w="1316" w:type="dxa"/>
            <w:vMerge w:val="restart"/>
            <w:shd w:val="clear" w:color="auto" w:fill="auto"/>
            <w:vAlign w:val="center"/>
          </w:tcPr>
          <w:p w14:paraId="0840F09E">
            <w:pPr>
              <w:pStyle w:val="59"/>
            </w:pPr>
            <w:r>
              <w:rPr>
                <w:rFonts w:hint="eastAsia"/>
              </w:rPr>
              <w:t>低碳绿色生活重点工程</w:t>
            </w:r>
          </w:p>
        </w:tc>
        <w:tc>
          <w:tcPr>
            <w:tcW w:w="2688" w:type="dxa"/>
            <w:shd w:val="clear" w:color="000000" w:fill="FFFFFF"/>
            <w:vAlign w:val="center"/>
          </w:tcPr>
          <w:p w14:paraId="6F5A5F27">
            <w:pPr>
              <w:pStyle w:val="59"/>
            </w:pPr>
            <w:r>
              <w:rPr>
                <w:rFonts w:hint="eastAsia"/>
              </w:rPr>
              <w:t>绿色交通建设</w:t>
            </w:r>
          </w:p>
        </w:tc>
        <w:tc>
          <w:tcPr>
            <w:tcW w:w="6508" w:type="dxa"/>
            <w:shd w:val="clear" w:color="000000" w:fill="FFFFFF"/>
            <w:vAlign w:val="center"/>
          </w:tcPr>
          <w:p w14:paraId="179C259E">
            <w:pPr>
              <w:pStyle w:val="59"/>
            </w:pPr>
            <w:r>
              <w:rPr>
                <w:rFonts w:hint="eastAsia"/>
              </w:rPr>
              <w:t>推进园区公务、公交车辆全电驱动。新建充电桩等新能源汽车配套基础设施，配合市级部门实现建成区公交车全部更换为新能源汽车。</w:t>
            </w:r>
          </w:p>
        </w:tc>
        <w:tc>
          <w:tcPr>
            <w:tcW w:w="1154" w:type="dxa"/>
            <w:shd w:val="clear" w:color="000000" w:fill="FFFFFF"/>
            <w:vAlign w:val="center"/>
          </w:tcPr>
          <w:p w14:paraId="5DBA04C2">
            <w:pPr>
              <w:pStyle w:val="59"/>
            </w:pPr>
            <w:r>
              <w:rPr>
                <w:rFonts w:hint="eastAsia"/>
              </w:rPr>
              <w:t>2025年</w:t>
            </w:r>
          </w:p>
        </w:tc>
        <w:tc>
          <w:tcPr>
            <w:tcW w:w="1650" w:type="dxa"/>
            <w:shd w:val="clear" w:color="000000" w:fill="FFFFFF"/>
            <w:vAlign w:val="center"/>
          </w:tcPr>
          <w:p w14:paraId="03F690E7">
            <w:pPr>
              <w:pStyle w:val="59"/>
            </w:pPr>
            <w:r>
              <w:rPr>
                <w:rFonts w:hint="eastAsia"/>
              </w:rPr>
              <w:t>区运管局</w:t>
            </w:r>
          </w:p>
        </w:tc>
      </w:tr>
      <w:tr w14:paraId="464D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shd w:val="clear" w:color="auto" w:fill="auto"/>
            <w:vAlign w:val="center"/>
          </w:tcPr>
          <w:p w14:paraId="0F5F002F">
            <w:pPr>
              <w:pStyle w:val="59"/>
              <w:rPr>
                <w:rFonts w:ascii="黑体" w:hAnsi="黑体" w:eastAsia="黑体"/>
              </w:rPr>
            </w:pPr>
          </w:p>
        </w:tc>
        <w:tc>
          <w:tcPr>
            <w:tcW w:w="1316" w:type="dxa"/>
            <w:vMerge w:val="continue"/>
            <w:shd w:val="clear" w:color="auto" w:fill="auto"/>
            <w:vAlign w:val="center"/>
          </w:tcPr>
          <w:p w14:paraId="559E59CB">
            <w:pPr>
              <w:pStyle w:val="59"/>
            </w:pPr>
          </w:p>
        </w:tc>
        <w:tc>
          <w:tcPr>
            <w:tcW w:w="2688" w:type="dxa"/>
            <w:shd w:val="clear" w:color="000000" w:fill="FFFFFF"/>
            <w:vAlign w:val="center"/>
          </w:tcPr>
          <w:p w14:paraId="4E07F5C9">
            <w:pPr>
              <w:pStyle w:val="59"/>
            </w:pPr>
            <w:r>
              <w:rPr>
                <w:rFonts w:hint="eastAsia"/>
              </w:rPr>
              <w:t>低碳生产、生活建设</w:t>
            </w:r>
          </w:p>
        </w:tc>
        <w:tc>
          <w:tcPr>
            <w:tcW w:w="6508" w:type="dxa"/>
            <w:shd w:val="clear" w:color="000000" w:fill="FFFFFF"/>
            <w:vAlign w:val="center"/>
          </w:tcPr>
          <w:p w14:paraId="122DD08C">
            <w:pPr>
              <w:pStyle w:val="59"/>
            </w:pPr>
            <w:r>
              <w:rPr>
                <w:rFonts w:hint="eastAsia"/>
              </w:rPr>
              <w:t>完善上下游产业链关系，综合考虑产品设计、采购、生产、包装、物流、销售、服务、回收和再利用等多个环节的节能环保因素，达到节约能源和循环利用资源的目的。</w:t>
            </w:r>
          </w:p>
        </w:tc>
        <w:tc>
          <w:tcPr>
            <w:tcW w:w="1154" w:type="dxa"/>
            <w:shd w:val="clear" w:color="000000" w:fill="FFFFFF"/>
            <w:vAlign w:val="center"/>
          </w:tcPr>
          <w:p w14:paraId="69743EE1">
            <w:pPr>
              <w:pStyle w:val="59"/>
            </w:pPr>
            <w:r>
              <w:rPr>
                <w:rFonts w:hint="eastAsia"/>
              </w:rPr>
              <w:t>长期坚持</w:t>
            </w:r>
          </w:p>
        </w:tc>
        <w:tc>
          <w:tcPr>
            <w:tcW w:w="1650" w:type="dxa"/>
            <w:shd w:val="clear" w:color="000000" w:fill="FFFFFF"/>
            <w:vAlign w:val="center"/>
          </w:tcPr>
          <w:p w14:paraId="18AD8F7E">
            <w:pPr>
              <w:pStyle w:val="59"/>
            </w:pPr>
            <w:r>
              <w:rPr>
                <w:rFonts w:hint="eastAsia"/>
              </w:rPr>
              <w:t>区发改委</w:t>
            </w:r>
          </w:p>
        </w:tc>
      </w:tr>
      <w:tr w14:paraId="7E4D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63" w:type="dxa"/>
            <w:vMerge w:val="restart"/>
            <w:vAlign w:val="center"/>
          </w:tcPr>
          <w:p w14:paraId="1B9ACED3">
            <w:pPr>
              <w:pStyle w:val="59"/>
              <w:rPr>
                <w:rFonts w:ascii="黑体" w:hAnsi="黑体" w:eastAsia="黑体"/>
              </w:rPr>
            </w:pPr>
            <w:r>
              <w:rPr>
                <w:rFonts w:hint="eastAsia" w:ascii="黑体" w:hAnsi="黑体" w:eastAsia="黑体"/>
              </w:rPr>
              <w:t>二、清新空气重点工程</w:t>
            </w:r>
          </w:p>
        </w:tc>
        <w:tc>
          <w:tcPr>
            <w:tcW w:w="1316" w:type="dxa"/>
            <w:vMerge w:val="restart"/>
            <w:vAlign w:val="center"/>
          </w:tcPr>
          <w:p w14:paraId="70575D74">
            <w:pPr>
              <w:pStyle w:val="59"/>
            </w:pPr>
            <w:r>
              <w:rPr>
                <w:rFonts w:hint="eastAsia"/>
              </w:rPr>
              <w:t>大气污染物减排工程</w:t>
            </w:r>
          </w:p>
        </w:tc>
        <w:tc>
          <w:tcPr>
            <w:tcW w:w="2688" w:type="dxa"/>
            <w:vMerge w:val="restart"/>
            <w:vAlign w:val="center"/>
          </w:tcPr>
          <w:p w14:paraId="3E77DD3E">
            <w:pPr>
              <w:pStyle w:val="59"/>
            </w:pPr>
            <w:r>
              <w:rPr>
                <w:rFonts w:hint="eastAsia"/>
              </w:rPr>
              <w:t>重点行业提标改造</w:t>
            </w:r>
          </w:p>
        </w:tc>
        <w:tc>
          <w:tcPr>
            <w:tcW w:w="6508" w:type="dxa"/>
            <w:vAlign w:val="center"/>
          </w:tcPr>
          <w:p w14:paraId="3198BEB4">
            <w:pPr>
              <w:pStyle w:val="59"/>
            </w:pPr>
            <w:r>
              <w:rPr>
                <w:rFonts w:hint="eastAsia"/>
              </w:rPr>
              <w:t>铸造行业全面实施深度治理。</w:t>
            </w:r>
          </w:p>
        </w:tc>
        <w:tc>
          <w:tcPr>
            <w:tcW w:w="1154" w:type="dxa"/>
            <w:vAlign w:val="center"/>
          </w:tcPr>
          <w:p w14:paraId="3CFC37EE">
            <w:pPr>
              <w:pStyle w:val="59"/>
            </w:pPr>
            <w:r>
              <w:rPr>
                <w:rFonts w:hint="eastAsia"/>
              </w:rPr>
              <w:t>2025年</w:t>
            </w:r>
          </w:p>
        </w:tc>
        <w:tc>
          <w:tcPr>
            <w:tcW w:w="1650" w:type="dxa"/>
            <w:vAlign w:val="center"/>
          </w:tcPr>
          <w:p w14:paraId="756EC18D">
            <w:pPr>
              <w:pStyle w:val="59"/>
            </w:pPr>
            <w:r>
              <w:rPr>
                <w:rFonts w:hint="eastAsia"/>
              </w:rPr>
              <w:t>区生态环境局</w:t>
            </w:r>
          </w:p>
        </w:tc>
      </w:tr>
      <w:tr w14:paraId="76A6AF97">
        <w:tblPrEx>
          <w:tblCellMar>
            <w:top w:w="0" w:type="dxa"/>
            <w:left w:w="108" w:type="dxa"/>
            <w:bottom w:w="0" w:type="dxa"/>
            <w:right w:w="108" w:type="dxa"/>
          </w:tblCellMar>
        </w:tblPrEx>
        <w:trPr>
          <w:trHeight w:val="752" w:hRule="atLeast"/>
        </w:trPr>
        <w:tc>
          <w:tcPr>
            <w:tcW w:w="1163" w:type="dxa"/>
            <w:vMerge w:val="continue"/>
            <w:vAlign w:val="center"/>
          </w:tcPr>
          <w:p w14:paraId="472F6287">
            <w:pPr>
              <w:pStyle w:val="59"/>
              <w:rPr>
                <w:rFonts w:ascii="黑体" w:hAnsi="黑体" w:eastAsia="黑体"/>
              </w:rPr>
            </w:pPr>
          </w:p>
        </w:tc>
        <w:tc>
          <w:tcPr>
            <w:tcW w:w="1316" w:type="dxa"/>
            <w:vMerge w:val="continue"/>
            <w:vAlign w:val="center"/>
          </w:tcPr>
          <w:p w14:paraId="7190290F">
            <w:pPr>
              <w:pStyle w:val="59"/>
            </w:pPr>
          </w:p>
        </w:tc>
        <w:tc>
          <w:tcPr>
            <w:tcW w:w="2688" w:type="dxa"/>
            <w:vMerge w:val="continue"/>
            <w:vAlign w:val="center"/>
          </w:tcPr>
          <w:p w14:paraId="71F1FB5D">
            <w:pPr>
              <w:pStyle w:val="59"/>
            </w:pPr>
          </w:p>
        </w:tc>
        <w:tc>
          <w:tcPr>
            <w:tcW w:w="6508" w:type="dxa"/>
            <w:vAlign w:val="center"/>
          </w:tcPr>
          <w:p w14:paraId="2293184B">
            <w:pPr>
              <w:pStyle w:val="59"/>
            </w:pPr>
            <w:r>
              <w:rPr>
                <w:rFonts w:hint="eastAsia"/>
              </w:rPr>
              <w:t>生活垃圾焚烧行业实施提标改造。</w:t>
            </w:r>
          </w:p>
        </w:tc>
        <w:tc>
          <w:tcPr>
            <w:tcW w:w="1154" w:type="dxa"/>
            <w:vAlign w:val="center"/>
          </w:tcPr>
          <w:p w14:paraId="1256016C">
            <w:pPr>
              <w:pStyle w:val="59"/>
            </w:pPr>
            <w:r>
              <w:rPr>
                <w:rFonts w:hint="eastAsia"/>
              </w:rPr>
              <w:t>2023年</w:t>
            </w:r>
          </w:p>
        </w:tc>
        <w:tc>
          <w:tcPr>
            <w:tcW w:w="1650" w:type="dxa"/>
            <w:vAlign w:val="center"/>
          </w:tcPr>
          <w:p w14:paraId="74DC0F49">
            <w:pPr>
              <w:pStyle w:val="59"/>
            </w:pPr>
            <w:r>
              <w:rPr>
                <w:rFonts w:hint="eastAsia"/>
              </w:rPr>
              <w:t>区城管委</w:t>
            </w:r>
          </w:p>
        </w:tc>
      </w:tr>
      <w:tr w14:paraId="3A2E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63" w:type="dxa"/>
            <w:vMerge w:val="continue"/>
            <w:vAlign w:val="center"/>
          </w:tcPr>
          <w:p w14:paraId="5617B157">
            <w:pPr>
              <w:pStyle w:val="59"/>
              <w:rPr>
                <w:rFonts w:ascii="黑体" w:hAnsi="黑体" w:eastAsia="黑体"/>
              </w:rPr>
            </w:pPr>
          </w:p>
        </w:tc>
        <w:tc>
          <w:tcPr>
            <w:tcW w:w="1316" w:type="dxa"/>
            <w:vMerge w:val="continue"/>
            <w:vAlign w:val="center"/>
          </w:tcPr>
          <w:p w14:paraId="07FBD7E5">
            <w:pPr>
              <w:pStyle w:val="59"/>
            </w:pPr>
          </w:p>
        </w:tc>
        <w:tc>
          <w:tcPr>
            <w:tcW w:w="2688" w:type="dxa"/>
            <w:vMerge w:val="continue"/>
            <w:vAlign w:val="center"/>
          </w:tcPr>
          <w:p w14:paraId="76F11A65">
            <w:pPr>
              <w:pStyle w:val="59"/>
            </w:pPr>
          </w:p>
        </w:tc>
        <w:tc>
          <w:tcPr>
            <w:tcW w:w="6508" w:type="dxa"/>
            <w:vAlign w:val="center"/>
          </w:tcPr>
          <w:p w14:paraId="672D1DB4">
            <w:pPr>
              <w:pStyle w:val="59"/>
            </w:pPr>
            <w:bookmarkStart w:id="311" w:name="_Hlk72484145"/>
            <w:r>
              <w:rPr>
                <w:rFonts w:hint="eastAsia"/>
              </w:rPr>
              <w:t>金隅振兴2条水泥熟料生产线超低排放改造，NOx排放浓度不超过100毫克/立方米。</w:t>
            </w:r>
            <w:bookmarkEnd w:id="311"/>
          </w:p>
        </w:tc>
        <w:tc>
          <w:tcPr>
            <w:tcW w:w="1154" w:type="dxa"/>
            <w:vAlign w:val="center"/>
          </w:tcPr>
          <w:p w14:paraId="02EA2F51">
            <w:pPr>
              <w:pStyle w:val="59"/>
            </w:pPr>
            <w:r>
              <w:rPr>
                <w:rFonts w:hint="eastAsia"/>
              </w:rPr>
              <w:t>2022年</w:t>
            </w:r>
          </w:p>
        </w:tc>
        <w:tc>
          <w:tcPr>
            <w:tcW w:w="1650" w:type="dxa"/>
            <w:vAlign w:val="center"/>
          </w:tcPr>
          <w:p w14:paraId="440B0A19">
            <w:pPr>
              <w:pStyle w:val="59"/>
            </w:pPr>
            <w:r>
              <w:rPr>
                <w:rFonts w:hint="eastAsia"/>
              </w:rPr>
              <w:t>区生态环境局</w:t>
            </w:r>
          </w:p>
        </w:tc>
      </w:tr>
      <w:tr w14:paraId="132B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163" w:type="dxa"/>
            <w:vMerge w:val="continue"/>
            <w:vAlign w:val="center"/>
          </w:tcPr>
          <w:p w14:paraId="73B8E79C">
            <w:pPr>
              <w:pStyle w:val="59"/>
              <w:rPr>
                <w:rFonts w:ascii="黑体" w:hAnsi="黑体" w:eastAsia="黑体"/>
              </w:rPr>
            </w:pPr>
          </w:p>
        </w:tc>
        <w:tc>
          <w:tcPr>
            <w:tcW w:w="1316" w:type="dxa"/>
            <w:vMerge w:val="continue"/>
            <w:vAlign w:val="center"/>
          </w:tcPr>
          <w:p w14:paraId="660DC5D2">
            <w:pPr>
              <w:pStyle w:val="59"/>
            </w:pPr>
          </w:p>
        </w:tc>
        <w:tc>
          <w:tcPr>
            <w:tcW w:w="2688" w:type="dxa"/>
            <w:vMerge w:val="continue"/>
            <w:vAlign w:val="center"/>
          </w:tcPr>
          <w:p w14:paraId="50969058">
            <w:pPr>
              <w:pStyle w:val="59"/>
            </w:pPr>
          </w:p>
        </w:tc>
        <w:tc>
          <w:tcPr>
            <w:tcW w:w="6508" w:type="dxa"/>
            <w:vAlign w:val="center"/>
          </w:tcPr>
          <w:p w14:paraId="7393C239">
            <w:pPr>
              <w:pStyle w:val="59"/>
            </w:pPr>
            <w:r>
              <w:rPr>
                <w:rFonts w:hint="eastAsia"/>
              </w:rPr>
              <w:t>指导涉及战略新兴产业等纳入重污染天气的重点行业企业按照《重污染天气应急减排措施实施制定技术指南（2020年修订版）》B级企业标准，制定改造方案，完成提升改造。</w:t>
            </w:r>
          </w:p>
        </w:tc>
        <w:tc>
          <w:tcPr>
            <w:tcW w:w="1154" w:type="dxa"/>
            <w:vAlign w:val="center"/>
          </w:tcPr>
          <w:p w14:paraId="069CC18C">
            <w:pPr>
              <w:pStyle w:val="59"/>
            </w:pPr>
            <w:r>
              <w:rPr>
                <w:rFonts w:hint="eastAsia"/>
              </w:rPr>
              <w:t>2025年</w:t>
            </w:r>
          </w:p>
        </w:tc>
        <w:tc>
          <w:tcPr>
            <w:tcW w:w="1650" w:type="dxa"/>
            <w:vAlign w:val="center"/>
          </w:tcPr>
          <w:p w14:paraId="45AC6E19">
            <w:pPr>
              <w:pStyle w:val="59"/>
            </w:pPr>
            <w:r>
              <w:rPr>
                <w:rFonts w:hint="eastAsia"/>
              </w:rPr>
              <w:t>区生态环境局</w:t>
            </w:r>
          </w:p>
        </w:tc>
      </w:tr>
      <w:tr w14:paraId="6F3A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63" w:type="dxa"/>
            <w:vMerge w:val="continue"/>
            <w:vAlign w:val="center"/>
          </w:tcPr>
          <w:p w14:paraId="3BB43653">
            <w:pPr>
              <w:pStyle w:val="59"/>
              <w:rPr>
                <w:rFonts w:ascii="黑体" w:hAnsi="黑体" w:eastAsia="黑体"/>
              </w:rPr>
            </w:pPr>
          </w:p>
        </w:tc>
        <w:tc>
          <w:tcPr>
            <w:tcW w:w="1316" w:type="dxa"/>
            <w:vMerge w:val="continue"/>
            <w:vAlign w:val="center"/>
          </w:tcPr>
          <w:p w14:paraId="2D1A7E34">
            <w:pPr>
              <w:pStyle w:val="59"/>
            </w:pPr>
          </w:p>
        </w:tc>
        <w:tc>
          <w:tcPr>
            <w:tcW w:w="2688" w:type="dxa"/>
            <w:vMerge w:val="restart"/>
            <w:vAlign w:val="center"/>
          </w:tcPr>
          <w:p w14:paraId="6BD5E0A0">
            <w:pPr>
              <w:pStyle w:val="59"/>
            </w:pPr>
            <w:r>
              <w:rPr>
                <w:rFonts w:hint="eastAsia"/>
              </w:rPr>
              <w:t>锅炉深度治理</w:t>
            </w:r>
          </w:p>
        </w:tc>
        <w:tc>
          <w:tcPr>
            <w:tcW w:w="6508" w:type="dxa"/>
            <w:vAlign w:val="center"/>
          </w:tcPr>
          <w:p w14:paraId="08037E5F">
            <w:pPr>
              <w:pStyle w:val="59"/>
            </w:pPr>
            <w:r>
              <w:rPr>
                <w:rFonts w:hint="eastAsia"/>
              </w:rPr>
              <w:t>开展生物质锅炉燃料品质及排放管控，禁止使用列支燃料或掺烧垃圾、工业固废，对污染物排放不符合要求的生物质锅炉进行整改或淘汰。</w:t>
            </w:r>
          </w:p>
        </w:tc>
        <w:tc>
          <w:tcPr>
            <w:tcW w:w="1154" w:type="dxa"/>
            <w:vAlign w:val="center"/>
          </w:tcPr>
          <w:p w14:paraId="2572C0B4">
            <w:pPr>
              <w:pStyle w:val="59"/>
            </w:pPr>
            <w:r>
              <w:rPr>
                <w:rFonts w:hint="eastAsia"/>
              </w:rPr>
              <w:t>2022年</w:t>
            </w:r>
          </w:p>
        </w:tc>
        <w:tc>
          <w:tcPr>
            <w:tcW w:w="1650" w:type="dxa"/>
            <w:vAlign w:val="center"/>
          </w:tcPr>
          <w:p w14:paraId="6522B31B">
            <w:pPr>
              <w:pStyle w:val="59"/>
            </w:pPr>
            <w:r>
              <w:rPr>
                <w:rFonts w:hint="eastAsia"/>
              </w:rPr>
              <w:t>区生态环境局</w:t>
            </w:r>
          </w:p>
        </w:tc>
      </w:tr>
      <w:tr w14:paraId="6836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63" w:type="dxa"/>
            <w:vMerge w:val="continue"/>
            <w:vAlign w:val="center"/>
          </w:tcPr>
          <w:p w14:paraId="40F5B792">
            <w:pPr>
              <w:pStyle w:val="59"/>
              <w:rPr>
                <w:rFonts w:ascii="黑体" w:hAnsi="黑体" w:eastAsia="黑体"/>
              </w:rPr>
            </w:pPr>
          </w:p>
        </w:tc>
        <w:tc>
          <w:tcPr>
            <w:tcW w:w="1316" w:type="dxa"/>
            <w:vMerge w:val="continue"/>
            <w:vAlign w:val="center"/>
          </w:tcPr>
          <w:p w14:paraId="62CCD530">
            <w:pPr>
              <w:pStyle w:val="59"/>
            </w:pPr>
          </w:p>
        </w:tc>
        <w:tc>
          <w:tcPr>
            <w:tcW w:w="2688" w:type="dxa"/>
            <w:vMerge w:val="continue"/>
            <w:vAlign w:val="center"/>
          </w:tcPr>
          <w:p w14:paraId="7D5C7E86">
            <w:pPr>
              <w:pStyle w:val="59"/>
            </w:pPr>
          </w:p>
        </w:tc>
        <w:tc>
          <w:tcPr>
            <w:tcW w:w="6508" w:type="dxa"/>
            <w:vAlign w:val="center"/>
          </w:tcPr>
          <w:p w14:paraId="4DFCA197">
            <w:pPr>
              <w:pStyle w:val="59"/>
            </w:pPr>
            <w:r>
              <w:rPr>
                <w:rFonts w:hint="eastAsia"/>
              </w:rPr>
              <w:t>持续推进燃气锅炉进行低氮改造工程，NO</w:t>
            </w:r>
            <w:r>
              <w:rPr>
                <w:rFonts w:hint="eastAsia"/>
                <w:vertAlign w:val="subscript"/>
              </w:rPr>
              <w:t>X</w:t>
            </w:r>
            <w:r>
              <w:rPr>
                <w:rFonts w:hint="eastAsia"/>
              </w:rPr>
              <w:t>浓度达到50微克/立方米</w:t>
            </w:r>
          </w:p>
        </w:tc>
        <w:tc>
          <w:tcPr>
            <w:tcW w:w="1154" w:type="dxa"/>
            <w:vAlign w:val="center"/>
          </w:tcPr>
          <w:p w14:paraId="2417EC30">
            <w:pPr>
              <w:pStyle w:val="59"/>
            </w:pPr>
            <w:r>
              <w:rPr>
                <w:rFonts w:hint="eastAsia"/>
              </w:rPr>
              <w:t>2025年</w:t>
            </w:r>
          </w:p>
        </w:tc>
        <w:tc>
          <w:tcPr>
            <w:tcW w:w="1650" w:type="dxa"/>
            <w:vAlign w:val="center"/>
          </w:tcPr>
          <w:p w14:paraId="007E3294">
            <w:pPr>
              <w:pStyle w:val="59"/>
            </w:pPr>
            <w:r>
              <w:rPr>
                <w:rFonts w:hint="eastAsia"/>
              </w:rPr>
              <w:t>区生态环境局</w:t>
            </w:r>
          </w:p>
        </w:tc>
      </w:tr>
      <w:tr w14:paraId="6C16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163" w:type="dxa"/>
            <w:vMerge w:val="continue"/>
            <w:vAlign w:val="center"/>
          </w:tcPr>
          <w:p w14:paraId="2F5742B6">
            <w:pPr>
              <w:pStyle w:val="59"/>
              <w:rPr>
                <w:rFonts w:ascii="黑体" w:hAnsi="黑体" w:eastAsia="黑体"/>
              </w:rPr>
            </w:pPr>
          </w:p>
        </w:tc>
        <w:tc>
          <w:tcPr>
            <w:tcW w:w="1316" w:type="dxa"/>
            <w:vMerge w:val="continue"/>
            <w:vAlign w:val="center"/>
          </w:tcPr>
          <w:p w14:paraId="18F24068">
            <w:pPr>
              <w:pStyle w:val="59"/>
            </w:pPr>
          </w:p>
        </w:tc>
        <w:tc>
          <w:tcPr>
            <w:tcW w:w="2688" w:type="dxa"/>
            <w:vAlign w:val="center"/>
          </w:tcPr>
          <w:p w14:paraId="7CE44B5B">
            <w:pPr>
              <w:pStyle w:val="59"/>
            </w:pPr>
            <w:r>
              <w:rPr>
                <w:rFonts w:hint="eastAsia"/>
              </w:rPr>
              <w:t>低VOCs原辅料替代</w:t>
            </w:r>
          </w:p>
        </w:tc>
        <w:tc>
          <w:tcPr>
            <w:tcW w:w="6508" w:type="dxa"/>
            <w:vAlign w:val="center"/>
          </w:tcPr>
          <w:p w14:paraId="3E858E0C">
            <w:pPr>
              <w:pStyle w:val="59"/>
            </w:pPr>
            <w:r>
              <w:rPr>
                <w:rFonts w:hint="eastAsia"/>
              </w:rPr>
              <w:t>对使用涂料、油墨、光油和胶粘剂的工业涂装、包装印刷等企业开展低VOCs原辅料替代。</w:t>
            </w:r>
          </w:p>
        </w:tc>
        <w:tc>
          <w:tcPr>
            <w:tcW w:w="1154" w:type="dxa"/>
            <w:vAlign w:val="center"/>
          </w:tcPr>
          <w:p w14:paraId="52B668C6">
            <w:pPr>
              <w:pStyle w:val="59"/>
            </w:pPr>
            <w:r>
              <w:rPr>
                <w:rFonts w:hint="eastAsia"/>
              </w:rPr>
              <w:t>2025年</w:t>
            </w:r>
          </w:p>
        </w:tc>
        <w:tc>
          <w:tcPr>
            <w:tcW w:w="1650" w:type="dxa"/>
            <w:vAlign w:val="center"/>
          </w:tcPr>
          <w:p w14:paraId="0875F48F">
            <w:pPr>
              <w:pStyle w:val="59"/>
            </w:pPr>
            <w:r>
              <w:rPr>
                <w:rFonts w:hint="eastAsia"/>
              </w:rPr>
              <w:t>区工信局</w:t>
            </w:r>
          </w:p>
          <w:p w14:paraId="7F13B164">
            <w:pPr>
              <w:pStyle w:val="59"/>
            </w:pPr>
            <w:r>
              <w:rPr>
                <w:rFonts w:hint="eastAsia"/>
              </w:rPr>
              <w:t>区生态环境局</w:t>
            </w:r>
          </w:p>
        </w:tc>
      </w:tr>
      <w:tr w14:paraId="2DBB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163" w:type="dxa"/>
            <w:vMerge w:val="continue"/>
            <w:vAlign w:val="center"/>
          </w:tcPr>
          <w:p w14:paraId="6C909C12">
            <w:pPr>
              <w:pStyle w:val="59"/>
              <w:rPr>
                <w:rFonts w:ascii="黑体" w:hAnsi="黑体" w:eastAsia="黑体"/>
              </w:rPr>
            </w:pPr>
          </w:p>
        </w:tc>
        <w:tc>
          <w:tcPr>
            <w:tcW w:w="1316" w:type="dxa"/>
            <w:vMerge w:val="continue"/>
            <w:vAlign w:val="center"/>
          </w:tcPr>
          <w:p w14:paraId="5345DB2D">
            <w:pPr>
              <w:pStyle w:val="59"/>
            </w:pPr>
          </w:p>
        </w:tc>
        <w:tc>
          <w:tcPr>
            <w:tcW w:w="2688" w:type="dxa"/>
            <w:vAlign w:val="center"/>
          </w:tcPr>
          <w:p w14:paraId="11FFAE70">
            <w:pPr>
              <w:pStyle w:val="59"/>
            </w:pPr>
            <w:r>
              <w:rPr>
                <w:rFonts w:hint="eastAsia"/>
              </w:rPr>
              <w:t>VOCs低效治理设施提升改造</w:t>
            </w:r>
          </w:p>
        </w:tc>
        <w:tc>
          <w:tcPr>
            <w:tcW w:w="6508" w:type="dxa"/>
            <w:vAlign w:val="center"/>
          </w:tcPr>
          <w:p w14:paraId="54068A47">
            <w:pPr>
              <w:pStyle w:val="59"/>
            </w:pPr>
            <w:r>
              <w:rPr>
                <w:rFonts w:hint="eastAsia"/>
              </w:rPr>
              <w:t>对全区VOCs治理设施进行排查，对41家VOCs抵消治理设施进行提升改造。</w:t>
            </w:r>
          </w:p>
        </w:tc>
        <w:tc>
          <w:tcPr>
            <w:tcW w:w="1154" w:type="dxa"/>
            <w:vAlign w:val="center"/>
          </w:tcPr>
          <w:p w14:paraId="185A2158">
            <w:pPr>
              <w:pStyle w:val="59"/>
            </w:pPr>
            <w:r>
              <w:rPr>
                <w:rFonts w:hint="eastAsia"/>
              </w:rPr>
              <w:t>2021年</w:t>
            </w:r>
          </w:p>
        </w:tc>
        <w:tc>
          <w:tcPr>
            <w:tcW w:w="1650" w:type="dxa"/>
            <w:vAlign w:val="center"/>
          </w:tcPr>
          <w:p w14:paraId="51756CEF">
            <w:pPr>
              <w:pStyle w:val="59"/>
            </w:pPr>
            <w:r>
              <w:rPr>
                <w:rFonts w:hint="eastAsia"/>
              </w:rPr>
              <w:t>区生态环境局</w:t>
            </w:r>
          </w:p>
        </w:tc>
      </w:tr>
      <w:tr w14:paraId="3AA9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163" w:type="dxa"/>
            <w:vMerge w:val="continue"/>
            <w:vAlign w:val="center"/>
          </w:tcPr>
          <w:p w14:paraId="09AECA75">
            <w:pPr>
              <w:pStyle w:val="59"/>
              <w:rPr>
                <w:rFonts w:ascii="黑体" w:hAnsi="黑体" w:eastAsia="黑体"/>
              </w:rPr>
            </w:pPr>
          </w:p>
        </w:tc>
        <w:tc>
          <w:tcPr>
            <w:tcW w:w="1316" w:type="dxa"/>
            <w:vMerge w:val="continue"/>
            <w:vAlign w:val="center"/>
          </w:tcPr>
          <w:p w14:paraId="61895563">
            <w:pPr>
              <w:pStyle w:val="59"/>
            </w:pPr>
          </w:p>
        </w:tc>
        <w:tc>
          <w:tcPr>
            <w:tcW w:w="2688" w:type="dxa"/>
            <w:vAlign w:val="center"/>
          </w:tcPr>
          <w:p w14:paraId="43B01B30">
            <w:pPr>
              <w:pStyle w:val="59"/>
            </w:pPr>
            <w:r>
              <w:rPr>
                <w:rFonts w:hint="eastAsia"/>
              </w:rPr>
              <w:t>PM</w:t>
            </w:r>
            <w:r>
              <w:rPr>
                <w:rFonts w:hint="eastAsia"/>
                <w:vertAlign w:val="subscript"/>
              </w:rPr>
              <w:t>2.5</w:t>
            </w:r>
            <w:r>
              <w:rPr>
                <w:rFonts w:hint="eastAsia"/>
              </w:rPr>
              <w:t>和O</w:t>
            </w:r>
            <w:r>
              <w:rPr>
                <w:rFonts w:hint="eastAsia"/>
                <w:vertAlign w:val="subscript"/>
              </w:rPr>
              <w:t>3</w:t>
            </w:r>
            <w:r>
              <w:rPr>
                <w:rFonts w:hint="eastAsia"/>
              </w:rPr>
              <w:t>协同控制技术</w:t>
            </w:r>
          </w:p>
        </w:tc>
        <w:tc>
          <w:tcPr>
            <w:tcW w:w="6508" w:type="dxa"/>
            <w:vAlign w:val="center"/>
          </w:tcPr>
          <w:p w14:paraId="636D5138">
            <w:pPr>
              <w:pStyle w:val="59"/>
            </w:pPr>
            <w:r>
              <w:rPr>
                <w:rFonts w:hint="eastAsia"/>
              </w:rPr>
              <w:t>探索加强PM</w:t>
            </w:r>
            <w:r>
              <w:rPr>
                <w:rFonts w:hint="eastAsia"/>
                <w:vertAlign w:val="subscript"/>
              </w:rPr>
              <w:t>2.5</w:t>
            </w:r>
            <w:r>
              <w:rPr>
                <w:rFonts w:hint="eastAsia"/>
              </w:rPr>
              <w:t>和O</w:t>
            </w:r>
            <w:r>
              <w:rPr>
                <w:rFonts w:hint="eastAsia"/>
                <w:vertAlign w:val="subscript"/>
              </w:rPr>
              <w:t>3</w:t>
            </w:r>
            <w:r>
              <w:rPr>
                <w:rFonts w:hint="eastAsia"/>
              </w:rPr>
              <w:t>协同控制持续改善空气质量行动计划。科学确定PM</w:t>
            </w:r>
            <w:r>
              <w:rPr>
                <w:rFonts w:hint="eastAsia"/>
                <w:vertAlign w:val="subscript"/>
              </w:rPr>
              <w:t>2.5</w:t>
            </w:r>
            <w:r>
              <w:rPr>
                <w:rFonts w:hint="eastAsia"/>
              </w:rPr>
              <w:t>和O</w:t>
            </w:r>
            <w:r>
              <w:rPr>
                <w:rFonts w:hint="eastAsia"/>
                <w:vertAlign w:val="subscript"/>
              </w:rPr>
              <w:t>3</w:t>
            </w:r>
            <w:r>
              <w:rPr>
                <w:rFonts w:hint="eastAsia"/>
              </w:rPr>
              <w:t>减排目标和比例，实施重大减排工程，大力削减NOx、VOCs排放量，努力实现协同效应。</w:t>
            </w:r>
          </w:p>
        </w:tc>
        <w:tc>
          <w:tcPr>
            <w:tcW w:w="1154" w:type="dxa"/>
            <w:vAlign w:val="center"/>
          </w:tcPr>
          <w:p w14:paraId="4F6DADFB">
            <w:pPr>
              <w:pStyle w:val="59"/>
            </w:pPr>
            <w:r>
              <w:rPr>
                <w:rFonts w:hint="eastAsia"/>
              </w:rPr>
              <w:t>长期坚持</w:t>
            </w:r>
          </w:p>
        </w:tc>
        <w:tc>
          <w:tcPr>
            <w:tcW w:w="1650" w:type="dxa"/>
            <w:vAlign w:val="center"/>
          </w:tcPr>
          <w:p w14:paraId="74607A94">
            <w:pPr>
              <w:pStyle w:val="59"/>
            </w:pPr>
            <w:r>
              <w:rPr>
                <w:rFonts w:hint="eastAsia"/>
              </w:rPr>
              <w:t>区生态环境局</w:t>
            </w:r>
          </w:p>
        </w:tc>
      </w:tr>
      <w:tr w14:paraId="1985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670C7EB6">
            <w:pPr>
              <w:pStyle w:val="59"/>
              <w:rPr>
                <w:rFonts w:ascii="黑体" w:hAnsi="黑体" w:eastAsia="黑体"/>
              </w:rPr>
            </w:pPr>
          </w:p>
        </w:tc>
        <w:tc>
          <w:tcPr>
            <w:tcW w:w="1316" w:type="dxa"/>
            <w:vMerge w:val="restart"/>
            <w:vAlign w:val="center"/>
          </w:tcPr>
          <w:p w14:paraId="4B7C479E">
            <w:pPr>
              <w:pStyle w:val="59"/>
            </w:pPr>
            <w:r>
              <w:rPr>
                <w:rFonts w:hint="eastAsia"/>
              </w:rPr>
              <w:t>大气环境综合治理工程</w:t>
            </w:r>
          </w:p>
        </w:tc>
        <w:tc>
          <w:tcPr>
            <w:tcW w:w="2688" w:type="dxa"/>
            <w:vAlign w:val="center"/>
          </w:tcPr>
          <w:p w14:paraId="5AB7571F">
            <w:pPr>
              <w:pStyle w:val="59"/>
            </w:pPr>
            <w:r>
              <w:rPr>
                <w:rFonts w:hint="eastAsia"/>
              </w:rPr>
              <w:t>巩固35蒸吨以下燃煤锅炉改造工程成效</w:t>
            </w:r>
          </w:p>
        </w:tc>
        <w:tc>
          <w:tcPr>
            <w:tcW w:w="6508" w:type="dxa"/>
            <w:vAlign w:val="center"/>
          </w:tcPr>
          <w:p w14:paraId="554986D3">
            <w:pPr>
              <w:pStyle w:val="59"/>
            </w:pPr>
            <w:r>
              <w:rPr>
                <w:rFonts w:hint="eastAsia"/>
              </w:rPr>
              <w:t>巩固淘汰或改造高污染燃料禁燃区35蒸吨以下燃煤锅炉改造工程成效，加强后期维护。</w:t>
            </w:r>
          </w:p>
        </w:tc>
        <w:tc>
          <w:tcPr>
            <w:tcW w:w="1154" w:type="dxa"/>
            <w:vAlign w:val="center"/>
          </w:tcPr>
          <w:p w14:paraId="334E96E9">
            <w:pPr>
              <w:pStyle w:val="59"/>
            </w:pPr>
            <w:r>
              <w:rPr>
                <w:rFonts w:hint="eastAsia"/>
              </w:rPr>
              <w:t>202</w:t>
            </w:r>
            <w:r>
              <w:t>5</w:t>
            </w:r>
            <w:r>
              <w:rPr>
                <w:rFonts w:hint="eastAsia"/>
              </w:rPr>
              <w:t>年</w:t>
            </w:r>
          </w:p>
        </w:tc>
        <w:tc>
          <w:tcPr>
            <w:tcW w:w="1650" w:type="dxa"/>
            <w:vAlign w:val="center"/>
          </w:tcPr>
          <w:p w14:paraId="32AA960F">
            <w:pPr>
              <w:pStyle w:val="59"/>
            </w:pPr>
            <w:r>
              <w:rPr>
                <w:rFonts w:hint="eastAsia"/>
              </w:rPr>
              <w:t>区生态环境局</w:t>
            </w:r>
          </w:p>
        </w:tc>
      </w:tr>
      <w:tr w14:paraId="3ADA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78267BD8">
            <w:pPr>
              <w:pStyle w:val="59"/>
              <w:rPr>
                <w:rFonts w:ascii="黑体" w:hAnsi="黑体" w:eastAsia="黑体"/>
              </w:rPr>
            </w:pPr>
          </w:p>
        </w:tc>
        <w:tc>
          <w:tcPr>
            <w:tcW w:w="1316" w:type="dxa"/>
            <w:vMerge w:val="continue"/>
            <w:vAlign w:val="center"/>
          </w:tcPr>
          <w:p w14:paraId="2361F99C">
            <w:pPr>
              <w:pStyle w:val="59"/>
            </w:pPr>
          </w:p>
        </w:tc>
        <w:tc>
          <w:tcPr>
            <w:tcW w:w="2688" w:type="dxa"/>
            <w:vAlign w:val="center"/>
          </w:tcPr>
          <w:p w14:paraId="57D6D3D2">
            <w:pPr>
              <w:pStyle w:val="59"/>
            </w:pPr>
            <w:r>
              <w:rPr>
                <w:rFonts w:hint="eastAsia"/>
              </w:rPr>
              <w:t>加油站油气回收提升改造</w:t>
            </w:r>
          </w:p>
        </w:tc>
        <w:tc>
          <w:tcPr>
            <w:tcW w:w="6508" w:type="dxa"/>
            <w:vAlign w:val="center"/>
          </w:tcPr>
          <w:p w14:paraId="3E4BE795">
            <w:pPr>
              <w:pStyle w:val="59"/>
            </w:pPr>
            <w:r>
              <w:rPr>
                <w:rFonts w:hint="eastAsia"/>
              </w:rPr>
              <w:t>结合国家新出台的加油站油气回收标准，进一步对油气回收进行提升改造。</w:t>
            </w:r>
          </w:p>
        </w:tc>
        <w:tc>
          <w:tcPr>
            <w:tcW w:w="1154" w:type="dxa"/>
            <w:vAlign w:val="center"/>
          </w:tcPr>
          <w:p w14:paraId="078F9928">
            <w:pPr>
              <w:pStyle w:val="59"/>
            </w:pPr>
            <w:r>
              <w:rPr>
                <w:rFonts w:hint="eastAsia"/>
              </w:rPr>
              <w:t>2022年</w:t>
            </w:r>
          </w:p>
        </w:tc>
        <w:tc>
          <w:tcPr>
            <w:tcW w:w="1650" w:type="dxa"/>
            <w:vAlign w:val="center"/>
          </w:tcPr>
          <w:p w14:paraId="6A30EC28">
            <w:pPr>
              <w:pStyle w:val="59"/>
            </w:pPr>
            <w:r>
              <w:rPr>
                <w:rFonts w:hint="eastAsia"/>
              </w:rPr>
              <w:t>区生态环境局</w:t>
            </w:r>
          </w:p>
        </w:tc>
      </w:tr>
      <w:tr w14:paraId="6A0A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163" w:type="dxa"/>
            <w:vMerge w:val="continue"/>
            <w:vAlign w:val="center"/>
          </w:tcPr>
          <w:p w14:paraId="6A67D6D8">
            <w:pPr>
              <w:pStyle w:val="59"/>
              <w:rPr>
                <w:rFonts w:ascii="黑体" w:hAnsi="黑体" w:eastAsia="黑体"/>
              </w:rPr>
            </w:pPr>
          </w:p>
        </w:tc>
        <w:tc>
          <w:tcPr>
            <w:tcW w:w="1316" w:type="dxa"/>
            <w:vMerge w:val="continue"/>
            <w:vAlign w:val="center"/>
          </w:tcPr>
          <w:p w14:paraId="08C994FC">
            <w:pPr>
              <w:pStyle w:val="59"/>
            </w:pPr>
          </w:p>
        </w:tc>
        <w:tc>
          <w:tcPr>
            <w:tcW w:w="2688" w:type="dxa"/>
            <w:vAlign w:val="center"/>
          </w:tcPr>
          <w:p w14:paraId="05626E1F">
            <w:pPr>
              <w:pStyle w:val="59"/>
            </w:pPr>
            <w:r>
              <w:rPr>
                <w:rFonts w:hint="eastAsia"/>
              </w:rPr>
              <w:t>工地、道路扬尘污染治理工程</w:t>
            </w:r>
          </w:p>
        </w:tc>
        <w:tc>
          <w:tcPr>
            <w:tcW w:w="6508" w:type="dxa"/>
            <w:vAlign w:val="center"/>
          </w:tcPr>
          <w:p w14:paraId="686CB9C9">
            <w:pPr>
              <w:pStyle w:val="59"/>
            </w:pPr>
            <w:r>
              <w:rPr>
                <w:rFonts w:hint="eastAsia"/>
              </w:rPr>
              <w:t>对建筑工地全部实现围挡、地面硬化、裸露土方覆盖、建筑垃圾清运、出入车辆冲洗，道路保洁采取吸尘、洒水、清扫一体化作业，鼓励洗扫，加强雨后淤泥沙土洗扫。及时清运道路两侧积土，做好渣土运输扬尘控制，确保渣土运输无遗洒。</w:t>
            </w:r>
          </w:p>
        </w:tc>
        <w:tc>
          <w:tcPr>
            <w:tcW w:w="1154" w:type="dxa"/>
            <w:vAlign w:val="center"/>
          </w:tcPr>
          <w:p w14:paraId="38EE2A8D">
            <w:pPr>
              <w:pStyle w:val="59"/>
            </w:pPr>
            <w:r>
              <w:rPr>
                <w:rFonts w:hint="eastAsia"/>
              </w:rPr>
              <w:t>长期坚持</w:t>
            </w:r>
          </w:p>
        </w:tc>
        <w:tc>
          <w:tcPr>
            <w:tcW w:w="1650" w:type="dxa"/>
            <w:vAlign w:val="center"/>
          </w:tcPr>
          <w:p w14:paraId="5B8E862B">
            <w:pPr>
              <w:pStyle w:val="59"/>
            </w:pPr>
            <w:r>
              <w:rPr>
                <w:rFonts w:hint="eastAsia"/>
              </w:rPr>
              <w:t>区住建委</w:t>
            </w:r>
          </w:p>
          <w:p w14:paraId="7947D84A">
            <w:pPr>
              <w:pStyle w:val="59"/>
            </w:pPr>
            <w:r>
              <w:rPr>
                <w:rFonts w:hint="eastAsia"/>
              </w:rPr>
              <w:t>区城管委</w:t>
            </w:r>
          </w:p>
        </w:tc>
      </w:tr>
      <w:tr w14:paraId="4FC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56E6111C">
            <w:pPr>
              <w:pStyle w:val="59"/>
              <w:rPr>
                <w:rFonts w:ascii="黑体" w:hAnsi="黑体" w:eastAsia="黑体"/>
              </w:rPr>
            </w:pPr>
          </w:p>
        </w:tc>
        <w:tc>
          <w:tcPr>
            <w:tcW w:w="1316" w:type="dxa"/>
            <w:vMerge w:val="continue"/>
            <w:vAlign w:val="center"/>
          </w:tcPr>
          <w:p w14:paraId="69AAE601">
            <w:pPr>
              <w:pStyle w:val="59"/>
            </w:pPr>
          </w:p>
        </w:tc>
        <w:tc>
          <w:tcPr>
            <w:tcW w:w="2688" w:type="dxa"/>
            <w:vAlign w:val="center"/>
          </w:tcPr>
          <w:p w14:paraId="6CBCF190">
            <w:pPr>
              <w:pStyle w:val="59"/>
            </w:pPr>
            <w:r>
              <w:rPr>
                <w:rFonts w:hint="eastAsia"/>
              </w:rPr>
              <w:t>强化渣土车运输全过程监管</w:t>
            </w:r>
          </w:p>
        </w:tc>
        <w:tc>
          <w:tcPr>
            <w:tcW w:w="6508" w:type="dxa"/>
            <w:vAlign w:val="center"/>
          </w:tcPr>
          <w:p w14:paraId="2873C4AF">
            <w:pPr>
              <w:pStyle w:val="59"/>
            </w:pPr>
            <w:r>
              <w:rPr>
                <w:rFonts w:hint="eastAsia"/>
              </w:rPr>
              <w:t>不断强化渣土运输车辆管理，对辖区内的渣土运输车实施全过程监管。</w:t>
            </w:r>
          </w:p>
        </w:tc>
        <w:tc>
          <w:tcPr>
            <w:tcW w:w="1154" w:type="dxa"/>
            <w:vAlign w:val="center"/>
          </w:tcPr>
          <w:p w14:paraId="330973EC">
            <w:pPr>
              <w:pStyle w:val="59"/>
            </w:pPr>
            <w:r>
              <w:rPr>
                <w:rFonts w:hint="eastAsia"/>
              </w:rPr>
              <w:t>长期坚持</w:t>
            </w:r>
          </w:p>
        </w:tc>
        <w:tc>
          <w:tcPr>
            <w:tcW w:w="1650" w:type="dxa"/>
            <w:vAlign w:val="center"/>
          </w:tcPr>
          <w:p w14:paraId="7580C59C">
            <w:pPr>
              <w:pStyle w:val="59"/>
            </w:pPr>
            <w:r>
              <w:rPr>
                <w:rFonts w:hint="eastAsia"/>
              </w:rPr>
              <w:t>区城管委</w:t>
            </w:r>
          </w:p>
          <w:p w14:paraId="59B058D5">
            <w:pPr>
              <w:pStyle w:val="59"/>
            </w:pPr>
            <w:r>
              <w:rPr>
                <w:rFonts w:hint="eastAsia"/>
              </w:rPr>
              <w:t>公安北辰分局</w:t>
            </w:r>
          </w:p>
        </w:tc>
      </w:tr>
      <w:tr w14:paraId="0F2AD874">
        <w:tblPrEx>
          <w:tblCellMar>
            <w:top w:w="0" w:type="dxa"/>
            <w:left w:w="108" w:type="dxa"/>
            <w:bottom w:w="0" w:type="dxa"/>
            <w:right w:w="108" w:type="dxa"/>
          </w:tblCellMar>
        </w:tblPrEx>
        <w:trPr>
          <w:trHeight w:val="495" w:hRule="atLeast"/>
        </w:trPr>
        <w:tc>
          <w:tcPr>
            <w:tcW w:w="1163" w:type="dxa"/>
            <w:vMerge w:val="continue"/>
            <w:vAlign w:val="center"/>
          </w:tcPr>
          <w:p w14:paraId="72AB504C">
            <w:pPr>
              <w:pStyle w:val="59"/>
              <w:rPr>
                <w:rFonts w:ascii="黑体" w:hAnsi="黑体" w:eastAsia="黑体"/>
              </w:rPr>
            </w:pPr>
          </w:p>
        </w:tc>
        <w:tc>
          <w:tcPr>
            <w:tcW w:w="1316" w:type="dxa"/>
            <w:vMerge w:val="continue"/>
            <w:vAlign w:val="center"/>
          </w:tcPr>
          <w:p w14:paraId="43A5CCED">
            <w:pPr>
              <w:pStyle w:val="59"/>
            </w:pPr>
          </w:p>
        </w:tc>
        <w:tc>
          <w:tcPr>
            <w:tcW w:w="2688" w:type="dxa"/>
            <w:vAlign w:val="center"/>
          </w:tcPr>
          <w:p w14:paraId="02DFEC10">
            <w:pPr>
              <w:pStyle w:val="59"/>
            </w:pPr>
            <w:r>
              <w:rPr>
                <w:rFonts w:hint="eastAsia"/>
              </w:rPr>
              <w:t>国二及以下非道路移动机械淘汰或治理</w:t>
            </w:r>
          </w:p>
        </w:tc>
        <w:tc>
          <w:tcPr>
            <w:tcW w:w="6508" w:type="dxa"/>
            <w:vAlign w:val="center"/>
          </w:tcPr>
          <w:p w14:paraId="16492DDB">
            <w:pPr>
              <w:pStyle w:val="59"/>
            </w:pPr>
            <w:r>
              <w:rPr>
                <w:rFonts w:hint="eastAsia"/>
              </w:rPr>
              <w:t>按照国家要求对国二及以下非道路移动机械进行淘汰或治理。</w:t>
            </w:r>
          </w:p>
        </w:tc>
        <w:tc>
          <w:tcPr>
            <w:tcW w:w="1154" w:type="dxa"/>
            <w:vAlign w:val="center"/>
          </w:tcPr>
          <w:p w14:paraId="32C9AF7F">
            <w:pPr>
              <w:pStyle w:val="59"/>
            </w:pPr>
            <w:r>
              <w:rPr>
                <w:rFonts w:hint="eastAsia"/>
              </w:rPr>
              <w:t>2025年</w:t>
            </w:r>
          </w:p>
        </w:tc>
        <w:tc>
          <w:tcPr>
            <w:tcW w:w="1650" w:type="dxa"/>
            <w:vAlign w:val="center"/>
          </w:tcPr>
          <w:p w14:paraId="793462AB">
            <w:pPr>
              <w:pStyle w:val="59"/>
            </w:pPr>
            <w:r>
              <w:rPr>
                <w:rFonts w:hint="eastAsia"/>
              </w:rPr>
              <w:t>区住建委</w:t>
            </w:r>
          </w:p>
          <w:p w14:paraId="288B8B1D">
            <w:pPr>
              <w:pStyle w:val="59"/>
            </w:pPr>
            <w:r>
              <w:rPr>
                <w:rFonts w:hint="eastAsia"/>
              </w:rPr>
              <w:t>区水务局</w:t>
            </w:r>
          </w:p>
          <w:p w14:paraId="1B5EB24A">
            <w:pPr>
              <w:pStyle w:val="59"/>
            </w:pPr>
            <w:r>
              <w:rPr>
                <w:rFonts w:hint="eastAsia"/>
              </w:rPr>
              <w:t>区农业农村委</w:t>
            </w:r>
          </w:p>
          <w:p w14:paraId="0A134360">
            <w:pPr>
              <w:pStyle w:val="59"/>
            </w:pPr>
            <w:r>
              <w:rPr>
                <w:rFonts w:hint="eastAsia"/>
              </w:rPr>
              <w:t>区生态环境局</w:t>
            </w:r>
          </w:p>
          <w:p w14:paraId="52FA840A">
            <w:pPr>
              <w:pStyle w:val="59"/>
            </w:pPr>
            <w:r>
              <w:rPr>
                <w:rFonts w:hint="eastAsia"/>
              </w:rPr>
              <w:t>公安北辰分局</w:t>
            </w:r>
          </w:p>
        </w:tc>
      </w:tr>
      <w:tr w14:paraId="13E7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63" w:type="dxa"/>
            <w:vMerge w:val="continue"/>
            <w:vAlign w:val="center"/>
          </w:tcPr>
          <w:p w14:paraId="72CFD3F6">
            <w:pPr>
              <w:pStyle w:val="59"/>
              <w:rPr>
                <w:rFonts w:ascii="黑体" w:hAnsi="黑体" w:eastAsia="黑体"/>
              </w:rPr>
            </w:pPr>
          </w:p>
        </w:tc>
        <w:tc>
          <w:tcPr>
            <w:tcW w:w="1316" w:type="dxa"/>
            <w:vMerge w:val="restart"/>
            <w:vAlign w:val="center"/>
          </w:tcPr>
          <w:p w14:paraId="6D53E1F7">
            <w:pPr>
              <w:pStyle w:val="59"/>
            </w:pPr>
            <w:r>
              <w:rPr>
                <w:rFonts w:hint="eastAsia"/>
              </w:rPr>
              <w:t>大气污染溯源、监测与精细化管理</w:t>
            </w:r>
          </w:p>
          <w:p w14:paraId="7CA09FD7">
            <w:pPr>
              <w:pStyle w:val="59"/>
            </w:pPr>
            <w:r>
              <w:rPr>
                <w:rFonts w:hint="eastAsia"/>
              </w:rPr>
              <w:t>工程</w:t>
            </w:r>
          </w:p>
        </w:tc>
        <w:tc>
          <w:tcPr>
            <w:tcW w:w="2688" w:type="dxa"/>
            <w:vAlign w:val="center"/>
          </w:tcPr>
          <w:p w14:paraId="0647881A">
            <w:pPr>
              <w:pStyle w:val="59"/>
            </w:pPr>
            <w:r>
              <w:rPr>
                <w:rFonts w:hint="eastAsia"/>
              </w:rPr>
              <w:t>在线监测设备安装</w:t>
            </w:r>
          </w:p>
        </w:tc>
        <w:tc>
          <w:tcPr>
            <w:tcW w:w="6508" w:type="dxa"/>
            <w:vAlign w:val="center"/>
          </w:tcPr>
          <w:p w14:paraId="7A4360FB">
            <w:pPr>
              <w:pStyle w:val="59"/>
            </w:pPr>
            <w:r>
              <w:rPr>
                <w:rFonts w:hint="eastAsia"/>
              </w:rPr>
              <w:t>加大工况用电在线监测设备安装。利用移动大气监测车，精准大气污染物溯源。完善大气防控网络建设，加强大气环境空气质量监测站、空气微站、扬尘检测设备的建设与标准化改造。</w:t>
            </w:r>
          </w:p>
        </w:tc>
        <w:tc>
          <w:tcPr>
            <w:tcW w:w="1154" w:type="dxa"/>
            <w:vAlign w:val="center"/>
          </w:tcPr>
          <w:p w14:paraId="63B607A6">
            <w:pPr>
              <w:pStyle w:val="59"/>
            </w:pPr>
            <w:r>
              <w:t>2023</w:t>
            </w:r>
            <w:r>
              <w:rPr>
                <w:rFonts w:hint="eastAsia"/>
              </w:rPr>
              <w:t>年</w:t>
            </w:r>
          </w:p>
        </w:tc>
        <w:tc>
          <w:tcPr>
            <w:tcW w:w="1650" w:type="dxa"/>
            <w:vAlign w:val="center"/>
          </w:tcPr>
          <w:p w14:paraId="08E4651D">
            <w:pPr>
              <w:pStyle w:val="59"/>
            </w:pPr>
            <w:r>
              <w:rPr>
                <w:rFonts w:hint="eastAsia"/>
              </w:rPr>
              <w:t>区生态环境局</w:t>
            </w:r>
          </w:p>
        </w:tc>
      </w:tr>
      <w:tr w14:paraId="1712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63" w:type="dxa"/>
            <w:vMerge w:val="continue"/>
            <w:vAlign w:val="center"/>
          </w:tcPr>
          <w:p w14:paraId="38AFF85D">
            <w:pPr>
              <w:pStyle w:val="59"/>
              <w:rPr>
                <w:rFonts w:ascii="黑体" w:hAnsi="黑体" w:eastAsia="黑体"/>
              </w:rPr>
            </w:pPr>
          </w:p>
        </w:tc>
        <w:tc>
          <w:tcPr>
            <w:tcW w:w="1316" w:type="dxa"/>
            <w:vMerge w:val="continue"/>
            <w:vAlign w:val="center"/>
          </w:tcPr>
          <w:p w14:paraId="095477C2">
            <w:pPr>
              <w:pStyle w:val="59"/>
            </w:pPr>
          </w:p>
        </w:tc>
        <w:tc>
          <w:tcPr>
            <w:tcW w:w="2688" w:type="dxa"/>
            <w:vAlign w:val="center"/>
          </w:tcPr>
          <w:p w14:paraId="10DED932">
            <w:pPr>
              <w:pStyle w:val="59"/>
            </w:pPr>
            <w:r>
              <w:rPr>
                <w:rFonts w:hint="eastAsia"/>
              </w:rPr>
              <w:t>在线监测系统平台建设与整合</w:t>
            </w:r>
          </w:p>
        </w:tc>
        <w:tc>
          <w:tcPr>
            <w:tcW w:w="6508" w:type="dxa"/>
            <w:vAlign w:val="center"/>
          </w:tcPr>
          <w:p w14:paraId="64415C48">
            <w:pPr>
              <w:pStyle w:val="59"/>
            </w:pPr>
            <w:bookmarkStart w:id="312" w:name="_Hlk60232290"/>
            <w:r>
              <w:rPr>
                <w:rFonts w:hint="eastAsia"/>
              </w:rPr>
              <w:t>对现有大气污染多维度综合分析平台、雷达扫描系统、工况用电监测系统、气象监控平台、街镇开发区空气站80个微站等自动监测系统进行整合，并对污染源进行解析，制定管控措施，探索全工业园区统一实施、统一治理、统一监测的一体化服务模式。</w:t>
            </w:r>
            <w:bookmarkEnd w:id="312"/>
          </w:p>
        </w:tc>
        <w:tc>
          <w:tcPr>
            <w:tcW w:w="1154" w:type="dxa"/>
            <w:vAlign w:val="center"/>
          </w:tcPr>
          <w:p w14:paraId="7A6D91E8">
            <w:pPr>
              <w:pStyle w:val="59"/>
            </w:pPr>
            <w:r>
              <w:rPr>
                <w:rFonts w:hint="eastAsia"/>
              </w:rPr>
              <w:t>2025年</w:t>
            </w:r>
          </w:p>
        </w:tc>
        <w:tc>
          <w:tcPr>
            <w:tcW w:w="1650" w:type="dxa"/>
            <w:vAlign w:val="center"/>
          </w:tcPr>
          <w:p w14:paraId="7AE9C98A">
            <w:pPr>
              <w:pStyle w:val="59"/>
            </w:pPr>
            <w:r>
              <w:rPr>
                <w:rFonts w:hint="eastAsia"/>
              </w:rPr>
              <w:t>区生态环境局</w:t>
            </w:r>
          </w:p>
        </w:tc>
      </w:tr>
      <w:tr w14:paraId="041B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restart"/>
            <w:vAlign w:val="center"/>
          </w:tcPr>
          <w:p w14:paraId="2D014D14">
            <w:pPr>
              <w:pStyle w:val="59"/>
              <w:rPr>
                <w:rFonts w:ascii="黑体" w:hAnsi="黑体" w:eastAsia="黑体"/>
              </w:rPr>
            </w:pPr>
            <w:r>
              <w:rPr>
                <w:rFonts w:hint="eastAsia" w:ascii="黑体" w:hAnsi="黑体" w:eastAsia="黑体"/>
              </w:rPr>
              <w:t>三、水体洁净重点工程</w:t>
            </w:r>
          </w:p>
        </w:tc>
        <w:tc>
          <w:tcPr>
            <w:tcW w:w="1316" w:type="dxa"/>
            <w:vMerge w:val="restart"/>
            <w:vAlign w:val="center"/>
          </w:tcPr>
          <w:p w14:paraId="4CF4620A">
            <w:pPr>
              <w:pStyle w:val="59"/>
            </w:pPr>
            <w:r>
              <w:rPr>
                <w:rFonts w:hint="eastAsia"/>
              </w:rPr>
              <w:t>水污染防治工程</w:t>
            </w:r>
          </w:p>
        </w:tc>
        <w:tc>
          <w:tcPr>
            <w:tcW w:w="2688" w:type="dxa"/>
            <w:vAlign w:val="center"/>
          </w:tcPr>
          <w:p w14:paraId="765B880B">
            <w:pPr>
              <w:pStyle w:val="59"/>
            </w:pPr>
            <w:r>
              <w:rPr>
                <w:rFonts w:hint="eastAsia"/>
              </w:rPr>
              <w:t>城镇污水处理厂打捆项目</w:t>
            </w:r>
          </w:p>
        </w:tc>
        <w:tc>
          <w:tcPr>
            <w:tcW w:w="6508" w:type="dxa"/>
            <w:vAlign w:val="center"/>
          </w:tcPr>
          <w:p w14:paraId="18942707">
            <w:pPr>
              <w:pStyle w:val="59"/>
            </w:pPr>
            <w:r>
              <w:rPr>
                <w:rFonts w:hint="eastAsia"/>
              </w:rPr>
              <w:t>北辰区辖6个街道、9个镇内配套管网建设项目。建成北部新区污水处理厂。到2025年底，全区污水处理规模达到50万吨/日。</w:t>
            </w:r>
          </w:p>
        </w:tc>
        <w:tc>
          <w:tcPr>
            <w:tcW w:w="1154" w:type="dxa"/>
            <w:vAlign w:val="center"/>
          </w:tcPr>
          <w:p w14:paraId="0B6F1302">
            <w:pPr>
              <w:pStyle w:val="59"/>
            </w:pPr>
            <w:r>
              <w:rPr>
                <w:rFonts w:hint="eastAsia"/>
              </w:rPr>
              <w:t>2025年</w:t>
            </w:r>
          </w:p>
        </w:tc>
        <w:tc>
          <w:tcPr>
            <w:tcW w:w="1650" w:type="dxa"/>
            <w:vAlign w:val="center"/>
          </w:tcPr>
          <w:p w14:paraId="75EC8B60">
            <w:pPr>
              <w:pStyle w:val="59"/>
            </w:pPr>
            <w:r>
              <w:rPr>
                <w:rFonts w:hint="eastAsia"/>
              </w:rPr>
              <w:t>区水务局</w:t>
            </w:r>
          </w:p>
        </w:tc>
      </w:tr>
      <w:tr w14:paraId="4BE8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61E05FE1">
            <w:pPr>
              <w:pStyle w:val="59"/>
              <w:rPr>
                <w:rFonts w:ascii="黑体" w:hAnsi="黑体" w:eastAsia="黑体"/>
              </w:rPr>
            </w:pPr>
          </w:p>
        </w:tc>
        <w:tc>
          <w:tcPr>
            <w:tcW w:w="1316" w:type="dxa"/>
            <w:vMerge w:val="continue"/>
            <w:vAlign w:val="center"/>
          </w:tcPr>
          <w:p w14:paraId="78F40CEF">
            <w:pPr>
              <w:pStyle w:val="59"/>
            </w:pPr>
          </w:p>
        </w:tc>
        <w:tc>
          <w:tcPr>
            <w:tcW w:w="2688" w:type="dxa"/>
            <w:vAlign w:val="center"/>
          </w:tcPr>
          <w:p w14:paraId="337D62ED">
            <w:pPr>
              <w:pStyle w:val="59"/>
            </w:pPr>
            <w:r>
              <w:rPr>
                <w:rFonts w:hint="eastAsia"/>
              </w:rPr>
              <w:t>水系连通工程</w:t>
            </w:r>
          </w:p>
        </w:tc>
        <w:tc>
          <w:tcPr>
            <w:tcW w:w="6508" w:type="dxa"/>
            <w:vAlign w:val="center"/>
          </w:tcPr>
          <w:p w14:paraId="6D41BBF5">
            <w:pPr>
              <w:pStyle w:val="59"/>
            </w:pPr>
            <w:r>
              <w:rPr>
                <w:rFonts w:hint="eastAsia"/>
              </w:rPr>
              <w:t>实施北辰区西部地区水环境综合治理工程，对6条河渠清淤10.33公里，新建4座灌溉泵站。</w:t>
            </w:r>
          </w:p>
        </w:tc>
        <w:tc>
          <w:tcPr>
            <w:tcW w:w="1154" w:type="dxa"/>
            <w:vAlign w:val="center"/>
          </w:tcPr>
          <w:p w14:paraId="39B84058">
            <w:pPr>
              <w:pStyle w:val="59"/>
            </w:pPr>
            <w:r>
              <w:rPr>
                <w:rFonts w:hint="eastAsia"/>
              </w:rPr>
              <w:t>2025年</w:t>
            </w:r>
          </w:p>
        </w:tc>
        <w:tc>
          <w:tcPr>
            <w:tcW w:w="1650" w:type="dxa"/>
            <w:vAlign w:val="center"/>
          </w:tcPr>
          <w:p w14:paraId="2F9344D5">
            <w:pPr>
              <w:pStyle w:val="59"/>
            </w:pPr>
            <w:r>
              <w:rPr>
                <w:rFonts w:hint="eastAsia"/>
              </w:rPr>
              <w:t>区水务局</w:t>
            </w:r>
          </w:p>
        </w:tc>
      </w:tr>
      <w:tr w14:paraId="7E96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32471A78">
            <w:pPr>
              <w:pStyle w:val="59"/>
              <w:rPr>
                <w:rFonts w:ascii="黑体" w:hAnsi="黑体" w:eastAsia="黑体"/>
              </w:rPr>
            </w:pPr>
          </w:p>
        </w:tc>
        <w:tc>
          <w:tcPr>
            <w:tcW w:w="1316" w:type="dxa"/>
            <w:vMerge w:val="continue"/>
            <w:vAlign w:val="center"/>
          </w:tcPr>
          <w:p w14:paraId="52838258">
            <w:pPr>
              <w:pStyle w:val="59"/>
            </w:pPr>
          </w:p>
        </w:tc>
        <w:tc>
          <w:tcPr>
            <w:tcW w:w="2688" w:type="dxa"/>
            <w:vAlign w:val="center"/>
          </w:tcPr>
          <w:p w14:paraId="6C5E2F14">
            <w:pPr>
              <w:pStyle w:val="59"/>
            </w:pPr>
            <w:r>
              <w:rPr>
                <w:rFonts w:hint="eastAsia"/>
              </w:rPr>
              <w:t>海绵城市建设工程</w:t>
            </w:r>
          </w:p>
        </w:tc>
        <w:tc>
          <w:tcPr>
            <w:tcW w:w="6508" w:type="dxa"/>
            <w:vAlign w:val="center"/>
          </w:tcPr>
          <w:p w14:paraId="045DC4FD">
            <w:pPr>
              <w:pStyle w:val="59"/>
            </w:pPr>
            <w:r>
              <w:rPr>
                <w:rFonts w:hint="eastAsia"/>
              </w:rPr>
              <w:t>修建雨水泵站和处理设施，强化雨水收集和处置。开展重点片区雨污混接点位及漏损排查整治。</w:t>
            </w:r>
          </w:p>
        </w:tc>
        <w:tc>
          <w:tcPr>
            <w:tcW w:w="1154" w:type="dxa"/>
            <w:vAlign w:val="center"/>
          </w:tcPr>
          <w:p w14:paraId="183E9D4F">
            <w:pPr>
              <w:pStyle w:val="59"/>
            </w:pPr>
            <w:r>
              <w:rPr>
                <w:rFonts w:hint="eastAsia"/>
              </w:rPr>
              <w:t>2025年</w:t>
            </w:r>
          </w:p>
        </w:tc>
        <w:tc>
          <w:tcPr>
            <w:tcW w:w="1650" w:type="dxa"/>
            <w:vAlign w:val="center"/>
          </w:tcPr>
          <w:p w14:paraId="43FFC184">
            <w:pPr>
              <w:pStyle w:val="59"/>
            </w:pPr>
            <w:r>
              <w:rPr>
                <w:rFonts w:hint="eastAsia"/>
              </w:rPr>
              <w:t>区住建委</w:t>
            </w:r>
          </w:p>
        </w:tc>
      </w:tr>
      <w:tr w14:paraId="1D05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6F8E1EC2">
            <w:pPr>
              <w:pStyle w:val="59"/>
              <w:rPr>
                <w:rFonts w:ascii="黑体" w:hAnsi="黑体" w:eastAsia="黑体"/>
              </w:rPr>
            </w:pPr>
          </w:p>
        </w:tc>
        <w:tc>
          <w:tcPr>
            <w:tcW w:w="1316" w:type="dxa"/>
            <w:vMerge w:val="restart"/>
            <w:vAlign w:val="center"/>
          </w:tcPr>
          <w:p w14:paraId="7BE66BB5">
            <w:pPr>
              <w:pStyle w:val="59"/>
            </w:pPr>
            <w:r>
              <w:rPr>
                <w:rFonts w:hint="eastAsia"/>
              </w:rPr>
              <w:t>集中式饮用水源地环境保护工程</w:t>
            </w:r>
          </w:p>
        </w:tc>
        <w:tc>
          <w:tcPr>
            <w:tcW w:w="2688" w:type="dxa"/>
            <w:vAlign w:val="center"/>
          </w:tcPr>
          <w:p w14:paraId="31FC3600">
            <w:pPr>
              <w:pStyle w:val="59"/>
            </w:pPr>
            <w:r>
              <w:rPr>
                <w:rFonts w:hint="eastAsia"/>
              </w:rPr>
              <w:t>饮用水水源地保护区规范化建设工程</w:t>
            </w:r>
          </w:p>
        </w:tc>
        <w:tc>
          <w:tcPr>
            <w:tcW w:w="6508" w:type="dxa"/>
            <w:vAlign w:val="center"/>
          </w:tcPr>
          <w:p w14:paraId="4A41D578">
            <w:pPr>
              <w:pStyle w:val="59"/>
              <w:rPr>
                <w:rFonts w:hAnsi="仿宋" w:cs="仿宋_GB2312"/>
              </w:rPr>
            </w:pPr>
            <w:r>
              <w:rPr>
                <w:rFonts w:hint="eastAsia"/>
              </w:rPr>
              <w:t>在引滦水源疏水河道和南水北调中线集中饮用水源保护区加强规范化管控。</w:t>
            </w:r>
          </w:p>
        </w:tc>
        <w:tc>
          <w:tcPr>
            <w:tcW w:w="1154" w:type="dxa"/>
            <w:vAlign w:val="center"/>
          </w:tcPr>
          <w:p w14:paraId="550BE6D4">
            <w:pPr>
              <w:pStyle w:val="59"/>
            </w:pPr>
            <w:r>
              <w:rPr>
                <w:rFonts w:hint="eastAsia"/>
              </w:rPr>
              <w:t>长期坚持</w:t>
            </w:r>
          </w:p>
        </w:tc>
        <w:tc>
          <w:tcPr>
            <w:tcW w:w="1650" w:type="dxa"/>
            <w:vAlign w:val="center"/>
          </w:tcPr>
          <w:p w14:paraId="777E6DCD">
            <w:pPr>
              <w:pStyle w:val="59"/>
            </w:pPr>
            <w:r>
              <w:rPr>
                <w:rFonts w:hint="eastAsia"/>
              </w:rPr>
              <w:t>区生态环境局</w:t>
            </w:r>
          </w:p>
        </w:tc>
      </w:tr>
      <w:tr w14:paraId="2833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1AA3F105">
            <w:pPr>
              <w:pStyle w:val="59"/>
              <w:rPr>
                <w:rFonts w:ascii="黑体" w:hAnsi="黑体" w:eastAsia="黑体"/>
              </w:rPr>
            </w:pPr>
          </w:p>
        </w:tc>
        <w:tc>
          <w:tcPr>
            <w:tcW w:w="1316" w:type="dxa"/>
            <w:vMerge w:val="continue"/>
            <w:vAlign w:val="center"/>
          </w:tcPr>
          <w:p w14:paraId="128F6502">
            <w:pPr>
              <w:pStyle w:val="59"/>
            </w:pPr>
          </w:p>
        </w:tc>
        <w:tc>
          <w:tcPr>
            <w:tcW w:w="2688" w:type="dxa"/>
            <w:vAlign w:val="center"/>
          </w:tcPr>
          <w:p w14:paraId="1623DF81">
            <w:pPr>
              <w:pStyle w:val="59"/>
            </w:pPr>
            <w:r>
              <w:rPr>
                <w:rFonts w:hint="eastAsia"/>
              </w:rPr>
              <w:t>集中式饮用水源地环境保护设施维护</w:t>
            </w:r>
          </w:p>
        </w:tc>
        <w:tc>
          <w:tcPr>
            <w:tcW w:w="6508" w:type="dxa"/>
            <w:vAlign w:val="center"/>
          </w:tcPr>
          <w:p w14:paraId="5F197D1D">
            <w:pPr>
              <w:pStyle w:val="59"/>
              <w:rPr>
                <w:rFonts w:hAnsi="仿宋" w:cs="仿宋_GB2312"/>
              </w:rPr>
            </w:pPr>
            <w:r>
              <w:rPr>
                <w:rFonts w:hint="eastAsia"/>
              </w:rPr>
              <w:t>强化饮用水源保护区环境保护设施日常维护管理。</w:t>
            </w:r>
          </w:p>
        </w:tc>
        <w:tc>
          <w:tcPr>
            <w:tcW w:w="1154" w:type="dxa"/>
            <w:vAlign w:val="center"/>
          </w:tcPr>
          <w:p w14:paraId="00E37BFF">
            <w:pPr>
              <w:pStyle w:val="59"/>
            </w:pPr>
            <w:r>
              <w:rPr>
                <w:rFonts w:hint="eastAsia"/>
              </w:rPr>
              <w:t>长期坚持</w:t>
            </w:r>
          </w:p>
        </w:tc>
        <w:tc>
          <w:tcPr>
            <w:tcW w:w="1650" w:type="dxa"/>
            <w:vAlign w:val="center"/>
          </w:tcPr>
          <w:p w14:paraId="7884D231">
            <w:pPr>
              <w:pStyle w:val="59"/>
            </w:pPr>
            <w:r>
              <w:rPr>
                <w:rFonts w:hint="eastAsia"/>
              </w:rPr>
              <w:t>区生态环境局</w:t>
            </w:r>
          </w:p>
        </w:tc>
      </w:tr>
      <w:tr w14:paraId="0978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302D4FF5">
            <w:pPr>
              <w:pStyle w:val="59"/>
              <w:rPr>
                <w:rFonts w:ascii="黑体" w:hAnsi="黑体" w:eastAsia="黑体"/>
              </w:rPr>
            </w:pPr>
          </w:p>
        </w:tc>
        <w:tc>
          <w:tcPr>
            <w:tcW w:w="1316" w:type="dxa"/>
            <w:vMerge w:val="restart"/>
            <w:vAlign w:val="center"/>
          </w:tcPr>
          <w:p w14:paraId="3002BE4C">
            <w:pPr>
              <w:pStyle w:val="59"/>
            </w:pPr>
            <w:r>
              <w:rPr>
                <w:rFonts w:hint="eastAsia"/>
              </w:rPr>
              <w:t>水环境预警溯源、监测与精细化管理工程</w:t>
            </w:r>
          </w:p>
        </w:tc>
        <w:tc>
          <w:tcPr>
            <w:tcW w:w="2688" w:type="dxa"/>
            <w:vAlign w:val="center"/>
          </w:tcPr>
          <w:p w14:paraId="0552DD95">
            <w:pPr>
              <w:pStyle w:val="59"/>
            </w:pPr>
            <w:r>
              <w:rPr>
                <w:rFonts w:hint="eastAsia"/>
              </w:rPr>
              <w:t>环境监测站能力升级改造项目</w:t>
            </w:r>
          </w:p>
        </w:tc>
        <w:tc>
          <w:tcPr>
            <w:tcW w:w="6508" w:type="dxa"/>
            <w:vAlign w:val="center"/>
          </w:tcPr>
          <w:p w14:paraId="0BF21EC6">
            <w:pPr>
              <w:pStyle w:val="59"/>
              <w:rPr>
                <w:rFonts w:hAnsi="仿宋" w:cs="仿宋_GB2312"/>
              </w:rPr>
            </w:pPr>
            <w:r>
              <w:rPr>
                <w:rFonts w:hint="eastAsia"/>
              </w:rPr>
              <w:t>北运河、永定河、子牙河及集中饮用水源地等重点流域新建水质自动监测站。</w:t>
            </w:r>
          </w:p>
        </w:tc>
        <w:tc>
          <w:tcPr>
            <w:tcW w:w="1154" w:type="dxa"/>
            <w:vAlign w:val="center"/>
          </w:tcPr>
          <w:p w14:paraId="0586EF6E">
            <w:pPr>
              <w:pStyle w:val="59"/>
            </w:pPr>
            <w:r>
              <w:rPr>
                <w:rFonts w:hint="eastAsia"/>
              </w:rPr>
              <w:t>2025年</w:t>
            </w:r>
          </w:p>
        </w:tc>
        <w:tc>
          <w:tcPr>
            <w:tcW w:w="1650" w:type="dxa"/>
            <w:vAlign w:val="center"/>
          </w:tcPr>
          <w:p w14:paraId="1E2F94DC">
            <w:pPr>
              <w:pStyle w:val="59"/>
            </w:pPr>
            <w:r>
              <w:rPr>
                <w:rFonts w:hint="eastAsia"/>
              </w:rPr>
              <w:t>区生态环境局</w:t>
            </w:r>
          </w:p>
        </w:tc>
      </w:tr>
      <w:tr w14:paraId="05A0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0D224596">
            <w:pPr>
              <w:pStyle w:val="59"/>
              <w:rPr>
                <w:rFonts w:ascii="黑体" w:hAnsi="黑体" w:eastAsia="黑体"/>
              </w:rPr>
            </w:pPr>
          </w:p>
        </w:tc>
        <w:tc>
          <w:tcPr>
            <w:tcW w:w="1316" w:type="dxa"/>
            <w:vMerge w:val="continue"/>
            <w:vAlign w:val="center"/>
          </w:tcPr>
          <w:p w14:paraId="799B1B01">
            <w:pPr>
              <w:pStyle w:val="59"/>
            </w:pPr>
          </w:p>
        </w:tc>
        <w:tc>
          <w:tcPr>
            <w:tcW w:w="2688" w:type="dxa"/>
            <w:vAlign w:val="center"/>
          </w:tcPr>
          <w:p w14:paraId="40F50D13">
            <w:pPr>
              <w:pStyle w:val="59"/>
            </w:pPr>
            <w:r>
              <w:rPr>
                <w:rFonts w:hint="eastAsia"/>
              </w:rPr>
              <w:t>集中式饮用水源地及重点流域预警溯源及风险管控能力建设</w:t>
            </w:r>
          </w:p>
        </w:tc>
        <w:tc>
          <w:tcPr>
            <w:tcW w:w="6508" w:type="dxa"/>
            <w:vAlign w:val="center"/>
          </w:tcPr>
          <w:p w14:paraId="16B7E3E6">
            <w:pPr>
              <w:pStyle w:val="59"/>
            </w:pPr>
            <w:r>
              <w:rPr>
                <w:rFonts w:hint="eastAsia"/>
              </w:rPr>
              <w:t>主要流域开展</w:t>
            </w:r>
            <w:bookmarkStart w:id="313" w:name="_Hlk60232352"/>
            <w:r>
              <w:rPr>
                <w:rFonts w:hint="eastAsia"/>
              </w:rPr>
              <w:t>流域水污染快速预警溯源平台建设</w:t>
            </w:r>
            <w:bookmarkEnd w:id="313"/>
            <w:r>
              <w:rPr>
                <w:rFonts w:hint="eastAsia"/>
              </w:rPr>
              <w:t>，</w:t>
            </w:r>
            <w:bookmarkStart w:id="314" w:name="_Hlk60232465"/>
            <w:r>
              <w:rPr>
                <w:rFonts w:hint="eastAsia"/>
              </w:rPr>
              <w:t>针对永定新河上游来水，跨区域进行污染源溯源，</w:t>
            </w:r>
            <w:bookmarkEnd w:id="314"/>
            <w:bookmarkStart w:id="315" w:name="_Hlk60232475"/>
            <w:r>
              <w:rPr>
                <w:rFonts w:hint="eastAsia"/>
              </w:rPr>
              <w:t>结合水质水纹对比快速预警溯源技术，做到污染物来源精准溯源。</w:t>
            </w:r>
            <w:bookmarkEnd w:id="315"/>
          </w:p>
        </w:tc>
        <w:tc>
          <w:tcPr>
            <w:tcW w:w="1154" w:type="dxa"/>
            <w:vAlign w:val="center"/>
          </w:tcPr>
          <w:p w14:paraId="40B9E8C1">
            <w:pPr>
              <w:pStyle w:val="59"/>
            </w:pPr>
            <w:r>
              <w:rPr>
                <w:rFonts w:hint="eastAsia"/>
              </w:rPr>
              <w:t>2025年</w:t>
            </w:r>
          </w:p>
        </w:tc>
        <w:tc>
          <w:tcPr>
            <w:tcW w:w="1650" w:type="dxa"/>
            <w:vAlign w:val="center"/>
          </w:tcPr>
          <w:p w14:paraId="753B2AAE">
            <w:pPr>
              <w:pStyle w:val="59"/>
            </w:pPr>
            <w:r>
              <w:rPr>
                <w:rFonts w:hint="eastAsia"/>
              </w:rPr>
              <w:t>区生态环境局</w:t>
            </w:r>
          </w:p>
        </w:tc>
      </w:tr>
      <w:tr w14:paraId="696E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68AFFF41">
            <w:pPr>
              <w:pStyle w:val="59"/>
              <w:rPr>
                <w:rFonts w:ascii="黑体" w:hAnsi="黑体" w:eastAsia="黑体"/>
              </w:rPr>
            </w:pPr>
          </w:p>
        </w:tc>
        <w:tc>
          <w:tcPr>
            <w:tcW w:w="1316" w:type="dxa"/>
            <w:vMerge w:val="continue"/>
            <w:vAlign w:val="center"/>
          </w:tcPr>
          <w:p w14:paraId="447D7D7A">
            <w:pPr>
              <w:pStyle w:val="59"/>
            </w:pPr>
          </w:p>
        </w:tc>
        <w:tc>
          <w:tcPr>
            <w:tcW w:w="2688" w:type="dxa"/>
            <w:vAlign w:val="center"/>
          </w:tcPr>
          <w:p w14:paraId="2C2BF7AC">
            <w:pPr>
              <w:pStyle w:val="59"/>
            </w:pPr>
            <w:r>
              <w:rPr>
                <w:rFonts w:hint="eastAsia"/>
              </w:rPr>
              <w:t>水流域流动实施监测装备建设</w:t>
            </w:r>
          </w:p>
        </w:tc>
        <w:tc>
          <w:tcPr>
            <w:tcW w:w="6508" w:type="dxa"/>
            <w:vAlign w:val="center"/>
          </w:tcPr>
          <w:p w14:paraId="330914EC">
            <w:pPr>
              <w:pStyle w:val="59"/>
            </w:pPr>
            <w:bookmarkStart w:id="316" w:name="_Hlk60232450"/>
            <w:r>
              <w:rPr>
                <w:rFonts w:hint="eastAsia"/>
              </w:rPr>
              <w:t>充分利用高科技环保工程船流动实时监测科技手段，</w:t>
            </w:r>
            <w:bookmarkEnd w:id="316"/>
            <w:r>
              <w:rPr>
                <w:rFonts w:hint="eastAsia"/>
              </w:rPr>
              <w:t>及时推送水质数据，污染源科学分析快速溯源，进一步提高预警反应速度。</w:t>
            </w:r>
          </w:p>
        </w:tc>
        <w:tc>
          <w:tcPr>
            <w:tcW w:w="1154" w:type="dxa"/>
            <w:vAlign w:val="center"/>
          </w:tcPr>
          <w:p w14:paraId="71DE5718">
            <w:pPr>
              <w:pStyle w:val="59"/>
            </w:pPr>
            <w:r>
              <w:rPr>
                <w:rFonts w:hint="eastAsia"/>
              </w:rPr>
              <w:t>2025年</w:t>
            </w:r>
          </w:p>
        </w:tc>
        <w:tc>
          <w:tcPr>
            <w:tcW w:w="1650" w:type="dxa"/>
            <w:vAlign w:val="center"/>
          </w:tcPr>
          <w:p w14:paraId="4963E3A2">
            <w:pPr>
              <w:pStyle w:val="59"/>
            </w:pPr>
            <w:r>
              <w:rPr>
                <w:rFonts w:hint="eastAsia"/>
              </w:rPr>
              <w:t>区生态环境局</w:t>
            </w:r>
          </w:p>
        </w:tc>
      </w:tr>
      <w:tr w14:paraId="1AFD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15478B52">
            <w:pPr>
              <w:pStyle w:val="59"/>
              <w:rPr>
                <w:rFonts w:ascii="黑体" w:hAnsi="黑体" w:eastAsia="黑体"/>
              </w:rPr>
            </w:pPr>
          </w:p>
        </w:tc>
        <w:tc>
          <w:tcPr>
            <w:tcW w:w="1316" w:type="dxa"/>
            <w:vMerge w:val="continue"/>
            <w:vAlign w:val="center"/>
          </w:tcPr>
          <w:p w14:paraId="12C662D3">
            <w:pPr>
              <w:pStyle w:val="59"/>
            </w:pPr>
          </w:p>
        </w:tc>
        <w:tc>
          <w:tcPr>
            <w:tcW w:w="2688" w:type="dxa"/>
            <w:vAlign w:val="center"/>
          </w:tcPr>
          <w:p w14:paraId="7D6D8D9D">
            <w:pPr>
              <w:pStyle w:val="59"/>
            </w:pPr>
            <w:r>
              <w:rPr>
                <w:rFonts w:hint="eastAsia"/>
              </w:rPr>
              <w:t>完善资金奖惩制度，强化执法监督</w:t>
            </w:r>
          </w:p>
        </w:tc>
        <w:tc>
          <w:tcPr>
            <w:tcW w:w="6508" w:type="dxa"/>
            <w:vAlign w:val="center"/>
          </w:tcPr>
          <w:p w14:paraId="5216961E">
            <w:pPr>
              <w:pStyle w:val="59"/>
            </w:pPr>
            <w:r>
              <w:rPr>
                <w:rFonts w:hint="eastAsia"/>
              </w:rPr>
              <w:t>对北辰区工业集聚区污水处理厂、城镇污水处理厂展开水污染物快速溯源平台建设，明确污染物来源，借助资金奖惩制度，强化执法监督。</w:t>
            </w:r>
          </w:p>
        </w:tc>
        <w:tc>
          <w:tcPr>
            <w:tcW w:w="1154" w:type="dxa"/>
            <w:vAlign w:val="center"/>
          </w:tcPr>
          <w:p w14:paraId="6D089615">
            <w:pPr>
              <w:pStyle w:val="59"/>
            </w:pPr>
            <w:r>
              <w:rPr>
                <w:rFonts w:hint="eastAsia"/>
              </w:rPr>
              <w:t>2025年</w:t>
            </w:r>
          </w:p>
        </w:tc>
        <w:tc>
          <w:tcPr>
            <w:tcW w:w="1650" w:type="dxa"/>
            <w:vAlign w:val="center"/>
          </w:tcPr>
          <w:p w14:paraId="1825B01C">
            <w:pPr>
              <w:pStyle w:val="59"/>
            </w:pPr>
            <w:r>
              <w:rPr>
                <w:rFonts w:hint="eastAsia"/>
              </w:rPr>
              <w:t>区生态环境局</w:t>
            </w:r>
          </w:p>
        </w:tc>
      </w:tr>
      <w:tr w14:paraId="2D5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restart"/>
            <w:vAlign w:val="center"/>
          </w:tcPr>
          <w:p w14:paraId="346F3027">
            <w:pPr>
              <w:pStyle w:val="59"/>
              <w:rPr>
                <w:rFonts w:ascii="黑体" w:hAnsi="黑体" w:eastAsia="黑体"/>
              </w:rPr>
            </w:pPr>
            <w:r>
              <w:rPr>
                <w:rFonts w:hint="eastAsia" w:ascii="黑体" w:hAnsi="黑体" w:eastAsia="黑体"/>
              </w:rPr>
              <w:t>四、土壤安全重点工程</w:t>
            </w:r>
          </w:p>
        </w:tc>
        <w:tc>
          <w:tcPr>
            <w:tcW w:w="1316" w:type="dxa"/>
            <w:vAlign w:val="center"/>
          </w:tcPr>
          <w:p w14:paraId="23E67610">
            <w:pPr>
              <w:pStyle w:val="59"/>
            </w:pPr>
            <w:r>
              <w:rPr>
                <w:rFonts w:hint="eastAsia"/>
              </w:rPr>
              <w:t>土壤环境基础数据调查项目</w:t>
            </w:r>
          </w:p>
        </w:tc>
        <w:tc>
          <w:tcPr>
            <w:tcW w:w="2688" w:type="dxa"/>
            <w:vAlign w:val="center"/>
          </w:tcPr>
          <w:p w14:paraId="3B15DD49">
            <w:pPr>
              <w:pStyle w:val="59"/>
            </w:pPr>
            <w:r>
              <w:rPr>
                <w:rFonts w:hint="eastAsia"/>
              </w:rPr>
              <w:t>土壤污染现状高密度调查与监管体系</w:t>
            </w:r>
          </w:p>
        </w:tc>
        <w:tc>
          <w:tcPr>
            <w:tcW w:w="6508" w:type="dxa"/>
            <w:vAlign w:val="center"/>
          </w:tcPr>
          <w:p w14:paraId="108C3B73">
            <w:pPr>
              <w:pStyle w:val="59"/>
            </w:pPr>
            <w:r>
              <w:rPr>
                <w:rFonts w:hint="eastAsia"/>
              </w:rPr>
              <w:t>对饮用水源保护区、基本农田、重要农产品产地等区域的土壤进行加密调查。按全市统一规划布局，逐步开展土壤环境监测点位布设工作。完善土壤监管体系，建立土壤环境质量状况定期调查制度。</w:t>
            </w:r>
          </w:p>
        </w:tc>
        <w:tc>
          <w:tcPr>
            <w:tcW w:w="1154" w:type="dxa"/>
            <w:vAlign w:val="center"/>
          </w:tcPr>
          <w:p w14:paraId="26697CB1">
            <w:pPr>
              <w:pStyle w:val="59"/>
            </w:pPr>
            <w:r>
              <w:rPr>
                <w:rFonts w:hint="eastAsia"/>
              </w:rPr>
              <w:t>202</w:t>
            </w:r>
            <w:r>
              <w:t>3</w:t>
            </w:r>
            <w:r>
              <w:rPr>
                <w:rFonts w:hint="eastAsia"/>
              </w:rPr>
              <w:t>年</w:t>
            </w:r>
          </w:p>
        </w:tc>
        <w:tc>
          <w:tcPr>
            <w:tcW w:w="1650" w:type="dxa"/>
            <w:vAlign w:val="center"/>
          </w:tcPr>
          <w:p w14:paraId="1139ABA0">
            <w:pPr>
              <w:pStyle w:val="59"/>
            </w:pPr>
            <w:r>
              <w:rPr>
                <w:rFonts w:hint="eastAsia"/>
              </w:rPr>
              <w:t>区生态环境局</w:t>
            </w:r>
          </w:p>
        </w:tc>
      </w:tr>
      <w:tr w14:paraId="22CD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63" w:type="dxa"/>
            <w:vMerge w:val="continue"/>
            <w:vAlign w:val="center"/>
          </w:tcPr>
          <w:p w14:paraId="7F1495B9">
            <w:pPr>
              <w:pStyle w:val="59"/>
              <w:rPr>
                <w:rFonts w:ascii="黑体" w:hAnsi="黑体" w:eastAsia="黑体"/>
              </w:rPr>
            </w:pPr>
          </w:p>
        </w:tc>
        <w:tc>
          <w:tcPr>
            <w:tcW w:w="1316" w:type="dxa"/>
            <w:vMerge w:val="restart"/>
            <w:vAlign w:val="center"/>
          </w:tcPr>
          <w:p w14:paraId="5CF730B3">
            <w:pPr>
              <w:pStyle w:val="59"/>
            </w:pPr>
            <w:r>
              <w:rPr>
                <w:rFonts w:hint="eastAsia"/>
              </w:rPr>
              <w:t>土壤污染综合防治项目</w:t>
            </w:r>
          </w:p>
        </w:tc>
        <w:tc>
          <w:tcPr>
            <w:tcW w:w="2688" w:type="dxa"/>
            <w:vAlign w:val="center"/>
          </w:tcPr>
          <w:p w14:paraId="69A20D0F">
            <w:pPr>
              <w:pStyle w:val="59"/>
            </w:pPr>
            <w:r>
              <w:rPr>
                <w:rFonts w:hint="eastAsia"/>
              </w:rPr>
              <w:t>重要耕地土壤环境保护基础设施建设工程</w:t>
            </w:r>
          </w:p>
        </w:tc>
        <w:tc>
          <w:tcPr>
            <w:tcW w:w="6508" w:type="dxa"/>
            <w:vAlign w:val="center"/>
          </w:tcPr>
          <w:p w14:paraId="63EF4D2B">
            <w:pPr>
              <w:pStyle w:val="59"/>
            </w:pPr>
            <w:r>
              <w:rPr>
                <w:rFonts w:hint="eastAsia"/>
              </w:rPr>
              <w:t>在北辰区高效农业示范园、工业园区开展周边，设立保护标识、公告、宣传、说明，必要截污工程，开展测土配方，施行轮作休耕等措施，并配备废弃农膜回收利用设备。</w:t>
            </w:r>
          </w:p>
        </w:tc>
        <w:tc>
          <w:tcPr>
            <w:tcW w:w="1154" w:type="dxa"/>
            <w:vAlign w:val="center"/>
          </w:tcPr>
          <w:p w14:paraId="3D6099C7">
            <w:pPr>
              <w:pStyle w:val="59"/>
            </w:pPr>
            <w:r>
              <w:rPr>
                <w:rFonts w:hint="eastAsia"/>
              </w:rPr>
              <w:t>2025年</w:t>
            </w:r>
          </w:p>
        </w:tc>
        <w:tc>
          <w:tcPr>
            <w:tcW w:w="1650" w:type="dxa"/>
            <w:vAlign w:val="center"/>
          </w:tcPr>
          <w:p w14:paraId="51F9923C">
            <w:pPr>
              <w:pStyle w:val="59"/>
            </w:pPr>
            <w:r>
              <w:rPr>
                <w:rFonts w:hint="eastAsia"/>
              </w:rPr>
              <w:t>区农业农村委</w:t>
            </w:r>
          </w:p>
        </w:tc>
      </w:tr>
      <w:tr w14:paraId="5210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163" w:type="dxa"/>
            <w:vMerge w:val="continue"/>
            <w:vAlign w:val="center"/>
          </w:tcPr>
          <w:p w14:paraId="109D4B8A">
            <w:pPr>
              <w:pStyle w:val="59"/>
              <w:rPr>
                <w:rFonts w:ascii="黑体" w:hAnsi="黑体" w:eastAsia="黑体"/>
              </w:rPr>
            </w:pPr>
          </w:p>
        </w:tc>
        <w:tc>
          <w:tcPr>
            <w:tcW w:w="1316" w:type="dxa"/>
            <w:vMerge w:val="continue"/>
            <w:vAlign w:val="center"/>
          </w:tcPr>
          <w:p w14:paraId="36BEDA39">
            <w:pPr>
              <w:pStyle w:val="59"/>
            </w:pPr>
          </w:p>
        </w:tc>
        <w:tc>
          <w:tcPr>
            <w:tcW w:w="2688" w:type="dxa"/>
            <w:vAlign w:val="center"/>
          </w:tcPr>
          <w:p w14:paraId="460C1243">
            <w:pPr>
              <w:pStyle w:val="59"/>
            </w:pPr>
            <w:r>
              <w:rPr>
                <w:rFonts w:hint="eastAsia"/>
              </w:rPr>
              <w:t>土壤污染综合防治示范区建设方案</w:t>
            </w:r>
          </w:p>
        </w:tc>
        <w:tc>
          <w:tcPr>
            <w:tcW w:w="6508" w:type="dxa"/>
            <w:vAlign w:val="center"/>
          </w:tcPr>
          <w:p w14:paraId="47C7A065">
            <w:pPr>
              <w:pStyle w:val="59"/>
            </w:pPr>
            <w:r>
              <w:rPr>
                <w:rFonts w:hint="eastAsia"/>
              </w:rPr>
              <w:t>对化肥、农药等其他污染土地利用物理、化学和生物的方法转移、吸收、降解和转化土壤中的污染物进行土地修复。</w:t>
            </w:r>
          </w:p>
        </w:tc>
        <w:tc>
          <w:tcPr>
            <w:tcW w:w="1154" w:type="dxa"/>
            <w:vAlign w:val="center"/>
          </w:tcPr>
          <w:p w14:paraId="56F3223C">
            <w:pPr>
              <w:pStyle w:val="59"/>
            </w:pPr>
            <w:r>
              <w:rPr>
                <w:rFonts w:hint="eastAsia"/>
              </w:rPr>
              <w:t>2025年</w:t>
            </w:r>
          </w:p>
        </w:tc>
        <w:tc>
          <w:tcPr>
            <w:tcW w:w="1650" w:type="dxa"/>
            <w:vAlign w:val="center"/>
          </w:tcPr>
          <w:p w14:paraId="23EF0FF2">
            <w:pPr>
              <w:pStyle w:val="59"/>
              <w:rPr>
                <w:rFonts w:hint="eastAsia"/>
              </w:rPr>
            </w:pPr>
            <w:r>
              <w:rPr>
                <w:rFonts w:hint="eastAsia"/>
              </w:rPr>
              <w:t>区农业农村委</w:t>
            </w:r>
          </w:p>
        </w:tc>
      </w:tr>
      <w:tr w14:paraId="61BD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163" w:type="dxa"/>
            <w:vMerge w:val="continue"/>
            <w:vAlign w:val="center"/>
          </w:tcPr>
          <w:p w14:paraId="143EB980">
            <w:pPr>
              <w:pStyle w:val="59"/>
              <w:rPr>
                <w:rFonts w:ascii="黑体" w:hAnsi="黑体" w:eastAsia="黑体"/>
              </w:rPr>
            </w:pPr>
          </w:p>
        </w:tc>
        <w:tc>
          <w:tcPr>
            <w:tcW w:w="1316" w:type="dxa"/>
            <w:vMerge w:val="continue"/>
            <w:vAlign w:val="center"/>
          </w:tcPr>
          <w:p w14:paraId="572B2D04">
            <w:pPr>
              <w:pStyle w:val="59"/>
            </w:pPr>
          </w:p>
        </w:tc>
        <w:tc>
          <w:tcPr>
            <w:tcW w:w="2688" w:type="dxa"/>
            <w:vAlign w:val="center"/>
          </w:tcPr>
          <w:p w14:paraId="185840E5">
            <w:pPr>
              <w:pStyle w:val="59"/>
            </w:pPr>
            <w:r>
              <w:rPr>
                <w:rFonts w:hint="eastAsia"/>
              </w:rPr>
              <w:t>土壤与地下水修复工程</w:t>
            </w:r>
          </w:p>
        </w:tc>
        <w:tc>
          <w:tcPr>
            <w:tcW w:w="6508" w:type="dxa"/>
            <w:vAlign w:val="center"/>
          </w:tcPr>
          <w:p w14:paraId="4ECABCD7">
            <w:pPr>
              <w:pStyle w:val="59"/>
            </w:pPr>
            <w:r>
              <w:rPr>
                <w:rFonts w:hint="eastAsia"/>
              </w:rPr>
              <w:t>天津农药厂地块、天重三期地块、危化品库地块、荣国路（安康）地块土壤与地下水修复与管控工程。并对于暂不开发利用地块，做好风险管控措施。</w:t>
            </w:r>
          </w:p>
        </w:tc>
        <w:tc>
          <w:tcPr>
            <w:tcW w:w="1154" w:type="dxa"/>
            <w:vAlign w:val="center"/>
          </w:tcPr>
          <w:p w14:paraId="5B707358">
            <w:pPr>
              <w:pStyle w:val="59"/>
            </w:pPr>
            <w:r>
              <w:rPr>
                <w:rFonts w:hint="eastAsia"/>
              </w:rPr>
              <w:t>2025年</w:t>
            </w:r>
          </w:p>
        </w:tc>
        <w:tc>
          <w:tcPr>
            <w:tcW w:w="1650" w:type="dxa"/>
            <w:vAlign w:val="center"/>
          </w:tcPr>
          <w:p w14:paraId="48164325">
            <w:pPr>
              <w:pStyle w:val="59"/>
            </w:pPr>
            <w:r>
              <w:rPr>
                <w:rFonts w:hint="eastAsia"/>
              </w:rPr>
              <w:t>区生态环境局</w:t>
            </w:r>
          </w:p>
        </w:tc>
      </w:tr>
      <w:tr w14:paraId="08E0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4E42A683">
            <w:pPr>
              <w:pStyle w:val="59"/>
              <w:rPr>
                <w:rFonts w:ascii="黑体" w:hAnsi="黑体" w:eastAsia="黑体"/>
              </w:rPr>
            </w:pPr>
          </w:p>
        </w:tc>
        <w:tc>
          <w:tcPr>
            <w:tcW w:w="1316" w:type="dxa"/>
            <w:vMerge w:val="restart"/>
            <w:vAlign w:val="center"/>
          </w:tcPr>
          <w:p w14:paraId="5B54C081">
            <w:pPr>
              <w:pStyle w:val="59"/>
            </w:pPr>
            <w:r>
              <w:rPr>
                <w:rFonts w:hint="eastAsia"/>
              </w:rPr>
              <w:t>固体废弃物综合利用工程</w:t>
            </w:r>
          </w:p>
        </w:tc>
        <w:tc>
          <w:tcPr>
            <w:tcW w:w="2688" w:type="dxa"/>
            <w:vAlign w:val="center"/>
          </w:tcPr>
          <w:p w14:paraId="1BD90782">
            <w:pPr>
              <w:pStyle w:val="59"/>
            </w:pPr>
            <w:r>
              <w:rPr>
                <w:rFonts w:hint="eastAsia"/>
              </w:rPr>
              <w:t>各乡镇垃圾收运系统</w:t>
            </w:r>
          </w:p>
        </w:tc>
        <w:tc>
          <w:tcPr>
            <w:tcW w:w="6508" w:type="dxa"/>
            <w:vAlign w:val="center"/>
          </w:tcPr>
          <w:p w14:paraId="5F639573">
            <w:pPr>
              <w:pStyle w:val="59"/>
            </w:pPr>
            <w:r>
              <w:rPr>
                <w:rFonts w:hint="eastAsia"/>
              </w:rPr>
              <w:t>中转站建设，配套垃圾收运车，收运工具等。</w:t>
            </w:r>
          </w:p>
        </w:tc>
        <w:tc>
          <w:tcPr>
            <w:tcW w:w="1154" w:type="dxa"/>
            <w:vAlign w:val="center"/>
          </w:tcPr>
          <w:p w14:paraId="09EC4A26">
            <w:pPr>
              <w:pStyle w:val="59"/>
            </w:pPr>
            <w:r>
              <w:rPr>
                <w:rFonts w:hint="eastAsia"/>
              </w:rPr>
              <w:t>2025年</w:t>
            </w:r>
          </w:p>
        </w:tc>
        <w:tc>
          <w:tcPr>
            <w:tcW w:w="1650" w:type="dxa"/>
            <w:vAlign w:val="center"/>
          </w:tcPr>
          <w:p w14:paraId="366275B3">
            <w:pPr>
              <w:pStyle w:val="59"/>
            </w:pPr>
            <w:r>
              <w:rPr>
                <w:rFonts w:hint="eastAsia"/>
              </w:rPr>
              <w:t>区城管委</w:t>
            </w:r>
          </w:p>
        </w:tc>
      </w:tr>
      <w:tr w14:paraId="698C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048D45AC">
            <w:pPr>
              <w:pStyle w:val="59"/>
              <w:rPr>
                <w:rFonts w:ascii="黑体" w:hAnsi="黑体" w:eastAsia="黑体"/>
              </w:rPr>
            </w:pPr>
          </w:p>
        </w:tc>
        <w:tc>
          <w:tcPr>
            <w:tcW w:w="1316" w:type="dxa"/>
            <w:vMerge w:val="continue"/>
            <w:vAlign w:val="center"/>
          </w:tcPr>
          <w:p w14:paraId="04385234">
            <w:pPr>
              <w:pStyle w:val="59"/>
            </w:pPr>
          </w:p>
        </w:tc>
        <w:tc>
          <w:tcPr>
            <w:tcW w:w="2688" w:type="dxa"/>
            <w:vAlign w:val="center"/>
          </w:tcPr>
          <w:p w14:paraId="5E9D9CFF">
            <w:pPr>
              <w:pStyle w:val="59"/>
            </w:pPr>
            <w:r>
              <w:rPr>
                <w:rFonts w:hint="eastAsia"/>
              </w:rPr>
              <w:t>垃圾综合利用项目</w:t>
            </w:r>
          </w:p>
        </w:tc>
        <w:tc>
          <w:tcPr>
            <w:tcW w:w="6508" w:type="dxa"/>
            <w:vAlign w:val="center"/>
          </w:tcPr>
          <w:p w14:paraId="194F5180">
            <w:pPr>
              <w:pStyle w:val="59"/>
            </w:pPr>
            <w:r>
              <w:rPr>
                <w:rFonts w:hint="eastAsia"/>
              </w:rPr>
              <w:t>建设生活垃圾收运及综合利用设施和配套办公设施。</w:t>
            </w:r>
          </w:p>
        </w:tc>
        <w:tc>
          <w:tcPr>
            <w:tcW w:w="1154" w:type="dxa"/>
            <w:vAlign w:val="center"/>
          </w:tcPr>
          <w:p w14:paraId="08EE8868">
            <w:pPr>
              <w:pStyle w:val="59"/>
            </w:pPr>
            <w:r>
              <w:rPr>
                <w:rFonts w:hint="eastAsia"/>
              </w:rPr>
              <w:t>2025年</w:t>
            </w:r>
          </w:p>
        </w:tc>
        <w:tc>
          <w:tcPr>
            <w:tcW w:w="1650" w:type="dxa"/>
            <w:vAlign w:val="center"/>
          </w:tcPr>
          <w:p w14:paraId="0BB50872">
            <w:pPr>
              <w:pStyle w:val="59"/>
            </w:pPr>
            <w:r>
              <w:rPr>
                <w:rFonts w:hint="eastAsia"/>
              </w:rPr>
              <w:t>区城管委</w:t>
            </w:r>
          </w:p>
        </w:tc>
      </w:tr>
      <w:tr w14:paraId="6165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63" w:type="dxa"/>
            <w:vMerge w:val="continue"/>
            <w:vAlign w:val="center"/>
          </w:tcPr>
          <w:p w14:paraId="34A7AF4A">
            <w:pPr>
              <w:pStyle w:val="59"/>
              <w:rPr>
                <w:rFonts w:ascii="黑体" w:hAnsi="黑体" w:eastAsia="黑体"/>
              </w:rPr>
            </w:pPr>
          </w:p>
        </w:tc>
        <w:tc>
          <w:tcPr>
            <w:tcW w:w="1316" w:type="dxa"/>
            <w:vAlign w:val="center"/>
          </w:tcPr>
          <w:p w14:paraId="3596B673">
            <w:pPr>
              <w:pStyle w:val="59"/>
            </w:pPr>
            <w:r>
              <w:rPr>
                <w:rFonts w:hint="eastAsia"/>
              </w:rPr>
              <w:t>危险废弃物集中处置工程</w:t>
            </w:r>
          </w:p>
        </w:tc>
        <w:tc>
          <w:tcPr>
            <w:tcW w:w="2688" w:type="dxa"/>
            <w:vAlign w:val="center"/>
          </w:tcPr>
          <w:p w14:paraId="21794C80">
            <w:pPr>
              <w:pStyle w:val="59"/>
            </w:pPr>
            <w:r>
              <w:rPr>
                <w:rFonts w:hint="eastAsia"/>
              </w:rPr>
              <w:t>工业危险废物集中处置与协同处理工程</w:t>
            </w:r>
          </w:p>
        </w:tc>
        <w:tc>
          <w:tcPr>
            <w:tcW w:w="6508" w:type="dxa"/>
            <w:vAlign w:val="center"/>
          </w:tcPr>
          <w:p w14:paraId="39C44F46">
            <w:pPr>
              <w:pStyle w:val="59"/>
            </w:pPr>
            <w:r>
              <w:rPr>
                <w:rFonts w:hint="eastAsia"/>
              </w:rPr>
              <w:t>探索分行业、领域危废收集、转运、称重、处置等一体化监管模式。</w:t>
            </w:r>
          </w:p>
        </w:tc>
        <w:tc>
          <w:tcPr>
            <w:tcW w:w="1154" w:type="dxa"/>
            <w:vAlign w:val="center"/>
          </w:tcPr>
          <w:p w14:paraId="17569C14">
            <w:pPr>
              <w:pStyle w:val="59"/>
            </w:pPr>
            <w:r>
              <w:rPr>
                <w:rFonts w:hint="eastAsia"/>
              </w:rPr>
              <w:t>长期坚持</w:t>
            </w:r>
          </w:p>
        </w:tc>
        <w:tc>
          <w:tcPr>
            <w:tcW w:w="1650" w:type="dxa"/>
            <w:vAlign w:val="center"/>
          </w:tcPr>
          <w:p w14:paraId="5233FC1F">
            <w:pPr>
              <w:pStyle w:val="59"/>
            </w:pPr>
            <w:r>
              <w:rPr>
                <w:rFonts w:hint="eastAsia"/>
              </w:rPr>
              <w:t>区生态环境局</w:t>
            </w:r>
          </w:p>
        </w:tc>
      </w:tr>
      <w:tr w14:paraId="0742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63" w:type="dxa"/>
            <w:vMerge w:val="continue"/>
            <w:vAlign w:val="center"/>
          </w:tcPr>
          <w:p w14:paraId="3BFA8285">
            <w:pPr>
              <w:pStyle w:val="59"/>
              <w:rPr>
                <w:rFonts w:ascii="黑体" w:hAnsi="黑体" w:eastAsia="黑体"/>
              </w:rPr>
            </w:pPr>
          </w:p>
        </w:tc>
        <w:tc>
          <w:tcPr>
            <w:tcW w:w="1316" w:type="dxa"/>
            <w:vAlign w:val="center"/>
          </w:tcPr>
          <w:p w14:paraId="25884982">
            <w:pPr>
              <w:pStyle w:val="59"/>
            </w:pPr>
          </w:p>
        </w:tc>
        <w:tc>
          <w:tcPr>
            <w:tcW w:w="2688" w:type="dxa"/>
            <w:vAlign w:val="center"/>
          </w:tcPr>
          <w:p w14:paraId="2BAFBF3F">
            <w:pPr>
              <w:pStyle w:val="59"/>
            </w:pPr>
            <w:r>
              <w:rPr>
                <w:rFonts w:hint="eastAsia"/>
              </w:rPr>
              <w:t>医疗废物集中处置项目</w:t>
            </w:r>
          </w:p>
        </w:tc>
        <w:tc>
          <w:tcPr>
            <w:tcW w:w="6508" w:type="dxa"/>
            <w:vAlign w:val="center"/>
          </w:tcPr>
          <w:p w14:paraId="26B9EA9C">
            <w:pPr>
              <w:pStyle w:val="59"/>
            </w:pPr>
            <w:r>
              <w:rPr>
                <w:rFonts w:hint="eastAsia"/>
              </w:rPr>
              <w:t>医疗废物处置场及配套收运系统建设。</w:t>
            </w:r>
          </w:p>
        </w:tc>
        <w:tc>
          <w:tcPr>
            <w:tcW w:w="1154" w:type="dxa"/>
            <w:vAlign w:val="center"/>
          </w:tcPr>
          <w:p w14:paraId="2A0A4641">
            <w:pPr>
              <w:pStyle w:val="59"/>
            </w:pPr>
            <w:r>
              <w:rPr>
                <w:rFonts w:hint="eastAsia"/>
              </w:rPr>
              <w:t>2025年</w:t>
            </w:r>
          </w:p>
        </w:tc>
        <w:tc>
          <w:tcPr>
            <w:tcW w:w="1650" w:type="dxa"/>
            <w:vAlign w:val="center"/>
          </w:tcPr>
          <w:p w14:paraId="5A5F1A32">
            <w:pPr>
              <w:pStyle w:val="59"/>
            </w:pPr>
            <w:r>
              <w:rPr>
                <w:rFonts w:hint="eastAsia"/>
              </w:rPr>
              <w:t>区生态环境局</w:t>
            </w:r>
          </w:p>
        </w:tc>
      </w:tr>
      <w:tr w14:paraId="5B90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63" w:type="dxa"/>
            <w:vMerge w:val="continue"/>
            <w:vAlign w:val="center"/>
          </w:tcPr>
          <w:p w14:paraId="5EDCCFA3">
            <w:pPr>
              <w:pStyle w:val="59"/>
              <w:rPr>
                <w:rFonts w:ascii="黑体" w:hAnsi="黑体" w:eastAsia="黑体"/>
              </w:rPr>
            </w:pPr>
          </w:p>
        </w:tc>
        <w:tc>
          <w:tcPr>
            <w:tcW w:w="1316" w:type="dxa"/>
            <w:vMerge w:val="restart"/>
            <w:vAlign w:val="center"/>
          </w:tcPr>
          <w:p w14:paraId="14C9FA45">
            <w:pPr>
              <w:pStyle w:val="59"/>
            </w:pPr>
            <w:r>
              <w:rPr>
                <w:rFonts w:hint="eastAsia"/>
              </w:rPr>
              <w:t>水土协同共治工程</w:t>
            </w:r>
          </w:p>
        </w:tc>
        <w:tc>
          <w:tcPr>
            <w:tcW w:w="2688" w:type="dxa"/>
            <w:vAlign w:val="center"/>
          </w:tcPr>
          <w:p w14:paraId="13BEC873">
            <w:pPr>
              <w:pStyle w:val="59"/>
            </w:pPr>
            <w:r>
              <w:rPr>
                <w:rFonts w:hint="eastAsia"/>
              </w:rPr>
              <w:t>地下水污染现状调查工程</w:t>
            </w:r>
          </w:p>
        </w:tc>
        <w:tc>
          <w:tcPr>
            <w:tcW w:w="6508" w:type="dxa"/>
            <w:vAlign w:val="center"/>
          </w:tcPr>
          <w:p w14:paraId="0BC5EA9C">
            <w:pPr>
              <w:pStyle w:val="59"/>
            </w:pPr>
            <w:r>
              <w:rPr>
                <w:rFonts w:hint="eastAsia"/>
              </w:rPr>
              <w:t>以集中式饮用水源地、生活垃圾填埋场等为重点区域，开展地下水环境现状调查与评估。</w:t>
            </w:r>
          </w:p>
        </w:tc>
        <w:tc>
          <w:tcPr>
            <w:tcW w:w="1154" w:type="dxa"/>
            <w:vAlign w:val="center"/>
          </w:tcPr>
          <w:p w14:paraId="670EE566">
            <w:pPr>
              <w:pStyle w:val="59"/>
            </w:pPr>
            <w:r>
              <w:rPr>
                <w:rFonts w:hint="eastAsia"/>
              </w:rPr>
              <w:t>2025年</w:t>
            </w:r>
          </w:p>
        </w:tc>
        <w:tc>
          <w:tcPr>
            <w:tcW w:w="1650" w:type="dxa"/>
            <w:vAlign w:val="center"/>
          </w:tcPr>
          <w:p w14:paraId="30A5F22F">
            <w:pPr>
              <w:pStyle w:val="59"/>
            </w:pPr>
            <w:r>
              <w:rPr>
                <w:rFonts w:hint="eastAsia"/>
              </w:rPr>
              <w:t>区生态环境局</w:t>
            </w:r>
          </w:p>
        </w:tc>
      </w:tr>
      <w:tr w14:paraId="680D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63" w:type="dxa"/>
            <w:vMerge w:val="continue"/>
            <w:vAlign w:val="center"/>
          </w:tcPr>
          <w:p w14:paraId="6456D35D">
            <w:pPr>
              <w:pStyle w:val="59"/>
              <w:rPr>
                <w:rFonts w:ascii="黑体" w:hAnsi="黑体" w:eastAsia="黑体"/>
              </w:rPr>
            </w:pPr>
          </w:p>
        </w:tc>
        <w:tc>
          <w:tcPr>
            <w:tcW w:w="1316" w:type="dxa"/>
            <w:vMerge w:val="continue"/>
            <w:vAlign w:val="center"/>
          </w:tcPr>
          <w:p w14:paraId="36DCCBAC">
            <w:pPr>
              <w:pStyle w:val="59"/>
            </w:pPr>
          </w:p>
        </w:tc>
        <w:tc>
          <w:tcPr>
            <w:tcW w:w="2688" w:type="dxa"/>
            <w:vAlign w:val="center"/>
          </w:tcPr>
          <w:p w14:paraId="4D1091DF">
            <w:pPr>
              <w:pStyle w:val="59"/>
            </w:pPr>
            <w:r>
              <w:rPr>
                <w:rFonts w:hint="eastAsia"/>
              </w:rPr>
              <w:t>“水土共治”模式构建</w:t>
            </w:r>
          </w:p>
        </w:tc>
        <w:tc>
          <w:tcPr>
            <w:tcW w:w="6508" w:type="dxa"/>
            <w:vAlign w:val="center"/>
          </w:tcPr>
          <w:p w14:paraId="0809C02A">
            <w:pPr>
              <w:pStyle w:val="59"/>
            </w:pPr>
            <w:r>
              <w:rPr>
                <w:rFonts w:hint="eastAsia"/>
              </w:rPr>
              <w:t>为防止二次污染，土壤修复过程中积极推进“水土共治”新模式。</w:t>
            </w:r>
          </w:p>
        </w:tc>
        <w:tc>
          <w:tcPr>
            <w:tcW w:w="1154" w:type="dxa"/>
            <w:vAlign w:val="center"/>
          </w:tcPr>
          <w:p w14:paraId="5819842D">
            <w:pPr>
              <w:pStyle w:val="59"/>
            </w:pPr>
            <w:r>
              <w:rPr>
                <w:rFonts w:hint="eastAsia"/>
              </w:rPr>
              <w:t>长期坚持</w:t>
            </w:r>
          </w:p>
        </w:tc>
        <w:tc>
          <w:tcPr>
            <w:tcW w:w="1650" w:type="dxa"/>
            <w:vAlign w:val="center"/>
          </w:tcPr>
          <w:p w14:paraId="5EB1E68D">
            <w:pPr>
              <w:pStyle w:val="59"/>
            </w:pPr>
            <w:r>
              <w:rPr>
                <w:rFonts w:hint="eastAsia"/>
              </w:rPr>
              <w:t>区生态环境局</w:t>
            </w:r>
          </w:p>
        </w:tc>
      </w:tr>
      <w:tr w14:paraId="7823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63" w:type="dxa"/>
            <w:vMerge w:val="continue"/>
            <w:vAlign w:val="center"/>
          </w:tcPr>
          <w:p w14:paraId="5D0875DB">
            <w:pPr>
              <w:pStyle w:val="59"/>
              <w:rPr>
                <w:rFonts w:ascii="黑体" w:hAnsi="黑体" w:eastAsia="黑体"/>
              </w:rPr>
            </w:pPr>
          </w:p>
        </w:tc>
        <w:tc>
          <w:tcPr>
            <w:tcW w:w="1316" w:type="dxa"/>
            <w:vMerge w:val="restart"/>
            <w:vAlign w:val="center"/>
          </w:tcPr>
          <w:p w14:paraId="1641148B">
            <w:pPr>
              <w:pStyle w:val="59"/>
            </w:pPr>
            <w:r>
              <w:rPr>
                <w:rFonts w:hint="eastAsia"/>
              </w:rPr>
              <w:t>生态环境保护工程</w:t>
            </w:r>
          </w:p>
        </w:tc>
        <w:tc>
          <w:tcPr>
            <w:tcW w:w="2688" w:type="dxa"/>
            <w:vAlign w:val="center"/>
          </w:tcPr>
          <w:p w14:paraId="52A70052">
            <w:pPr>
              <w:pStyle w:val="59"/>
            </w:pPr>
            <w:r>
              <w:rPr>
                <w:rFonts w:hint="eastAsia"/>
              </w:rPr>
              <w:t>城市绿化建设项目</w:t>
            </w:r>
          </w:p>
        </w:tc>
        <w:tc>
          <w:tcPr>
            <w:tcW w:w="6508" w:type="dxa"/>
            <w:vAlign w:val="center"/>
          </w:tcPr>
          <w:p w14:paraId="51868BF3">
            <w:pPr>
              <w:pStyle w:val="59"/>
            </w:pPr>
            <w:r>
              <w:rPr>
                <w:rFonts w:hint="eastAsia"/>
              </w:rPr>
              <w:t>加大绿化建设力度，构筑绿化网络，覆盖街道、学校、机关、住宅小区以及加强园林、环城绿化。</w:t>
            </w:r>
          </w:p>
        </w:tc>
        <w:tc>
          <w:tcPr>
            <w:tcW w:w="1154" w:type="dxa"/>
            <w:vAlign w:val="center"/>
          </w:tcPr>
          <w:p w14:paraId="043F2EB3">
            <w:pPr>
              <w:pStyle w:val="59"/>
            </w:pPr>
            <w:r>
              <w:rPr>
                <w:rFonts w:hint="eastAsia"/>
              </w:rPr>
              <w:t>2025年</w:t>
            </w:r>
          </w:p>
        </w:tc>
        <w:tc>
          <w:tcPr>
            <w:tcW w:w="1650" w:type="dxa"/>
            <w:vAlign w:val="center"/>
          </w:tcPr>
          <w:p w14:paraId="22CEF9B8">
            <w:pPr>
              <w:pStyle w:val="59"/>
            </w:pPr>
            <w:r>
              <w:rPr>
                <w:rFonts w:hint="eastAsia"/>
              </w:rPr>
              <w:t>区城管委</w:t>
            </w:r>
          </w:p>
        </w:tc>
      </w:tr>
      <w:tr w14:paraId="125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63" w:type="dxa"/>
            <w:vMerge w:val="continue"/>
            <w:vAlign w:val="center"/>
          </w:tcPr>
          <w:p w14:paraId="1F31DBA9">
            <w:pPr>
              <w:pStyle w:val="59"/>
              <w:rPr>
                <w:rFonts w:ascii="黑体" w:hAnsi="黑体" w:eastAsia="黑体"/>
              </w:rPr>
            </w:pPr>
          </w:p>
        </w:tc>
        <w:tc>
          <w:tcPr>
            <w:tcW w:w="1316" w:type="dxa"/>
            <w:vMerge w:val="continue"/>
            <w:vAlign w:val="center"/>
          </w:tcPr>
          <w:p w14:paraId="72D501C0">
            <w:pPr>
              <w:pStyle w:val="59"/>
            </w:pPr>
          </w:p>
        </w:tc>
        <w:tc>
          <w:tcPr>
            <w:tcW w:w="2688" w:type="dxa"/>
            <w:vAlign w:val="center"/>
          </w:tcPr>
          <w:p w14:paraId="4A6DB5B7">
            <w:pPr>
              <w:pStyle w:val="59"/>
            </w:pPr>
            <w:r>
              <w:rPr>
                <w:rFonts w:hint="eastAsia"/>
              </w:rPr>
              <w:t>郊野公园建设工程</w:t>
            </w:r>
          </w:p>
        </w:tc>
        <w:tc>
          <w:tcPr>
            <w:tcW w:w="6508" w:type="dxa"/>
            <w:vAlign w:val="center"/>
          </w:tcPr>
          <w:p w14:paraId="1D1C8275">
            <w:pPr>
              <w:pStyle w:val="59"/>
            </w:pPr>
            <w:r>
              <w:rPr>
                <w:rFonts w:hint="eastAsia"/>
              </w:rPr>
              <w:t>永定新河郊野公园、北运河郊野公园、子牙河郊野公园、东丽郊野公园湿地生态保护及恢复工程、湿地科普宣教工程、科研监测工程、生态旅游工程、基础工程等。</w:t>
            </w:r>
          </w:p>
        </w:tc>
        <w:tc>
          <w:tcPr>
            <w:tcW w:w="1154" w:type="dxa"/>
            <w:vAlign w:val="center"/>
          </w:tcPr>
          <w:p w14:paraId="0CF0F410">
            <w:pPr>
              <w:pStyle w:val="59"/>
            </w:pPr>
            <w:r>
              <w:rPr>
                <w:rFonts w:hint="eastAsia"/>
              </w:rPr>
              <w:t>2025年</w:t>
            </w:r>
          </w:p>
        </w:tc>
        <w:tc>
          <w:tcPr>
            <w:tcW w:w="1650" w:type="dxa"/>
            <w:vAlign w:val="center"/>
          </w:tcPr>
          <w:p w14:paraId="078E1BFE">
            <w:pPr>
              <w:pStyle w:val="59"/>
            </w:pPr>
          </w:p>
        </w:tc>
      </w:tr>
      <w:tr w14:paraId="76FF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7D89549B">
            <w:pPr>
              <w:pStyle w:val="59"/>
              <w:rPr>
                <w:rFonts w:ascii="黑体" w:hAnsi="黑体" w:eastAsia="黑体"/>
              </w:rPr>
            </w:pPr>
          </w:p>
        </w:tc>
        <w:tc>
          <w:tcPr>
            <w:tcW w:w="1316" w:type="dxa"/>
            <w:vMerge w:val="restart"/>
            <w:vAlign w:val="center"/>
          </w:tcPr>
          <w:p w14:paraId="3BF78FE1">
            <w:pPr>
              <w:pStyle w:val="59"/>
            </w:pPr>
            <w:r>
              <w:rPr>
                <w:rFonts w:hint="eastAsia"/>
              </w:rPr>
              <w:t>农业生产污染防治工程</w:t>
            </w:r>
          </w:p>
        </w:tc>
        <w:tc>
          <w:tcPr>
            <w:tcW w:w="2688" w:type="dxa"/>
            <w:vAlign w:val="center"/>
          </w:tcPr>
          <w:p w14:paraId="73362487">
            <w:pPr>
              <w:pStyle w:val="59"/>
            </w:pPr>
            <w:r>
              <w:rPr>
                <w:rFonts w:hint="eastAsia"/>
              </w:rPr>
              <w:t>规模化畜禽养殖场污染治理工程</w:t>
            </w:r>
          </w:p>
        </w:tc>
        <w:tc>
          <w:tcPr>
            <w:tcW w:w="6508" w:type="dxa"/>
            <w:vAlign w:val="center"/>
          </w:tcPr>
          <w:p w14:paraId="0D865278">
            <w:pPr>
              <w:pStyle w:val="59"/>
            </w:pPr>
            <w:r>
              <w:rPr>
                <w:rFonts w:hint="eastAsia"/>
              </w:rPr>
              <w:t>金亚麻农业科技有限公司配套建设粪污处理设施。</w:t>
            </w:r>
          </w:p>
          <w:p w14:paraId="795D343C">
            <w:pPr>
              <w:pStyle w:val="59"/>
            </w:pPr>
            <w:r>
              <w:rPr>
                <w:rFonts w:hint="eastAsia"/>
              </w:rPr>
              <w:t>北仓、青光、双街、双口、小淀、大张庄、西堤头镇等区域内的散养畜禽养殖户建设粪污处理设施。</w:t>
            </w:r>
          </w:p>
          <w:p w14:paraId="6B5D411E">
            <w:pPr>
              <w:pStyle w:val="59"/>
            </w:pPr>
            <w:r>
              <w:rPr>
                <w:rFonts w:hint="eastAsia"/>
              </w:rPr>
              <w:t>在西堤头开展华园种猪场新选址提升改造项目，建设粪污处理设施。在双口、西堤头开展种养循环示范场建设项目。</w:t>
            </w:r>
          </w:p>
          <w:p w14:paraId="41C8EA0D">
            <w:pPr>
              <w:pStyle w:val="59"/>
            </w:pPr>
            <w:r>
              <w:rPr>
                <w:rFonts w:hint="eastAsia"/>
              </w:rPr>
              <w:t>在西堤头镇推广3716亩生态养殖。</w:t>
            </w:r>
          </w:p>
        </w:tc>
        <w:tc>
          <w:tcPr>
            <w:tcW w:w="1154" w:type="dxa"/>
            <w:vAlign w:val="center"/>
          </w:tcPr>
          <w:p w14:paraId="4682128C">
            <w:pPr>
              <w:pStyle w:val="59"/>
            </w:pPr>
            <w:r>
              <w:rPr>
                <w:rFonts w:hint="eastAsia"/>
              </w:rPr>
              <w:t>2025年</w:t>
            </w:r>
          </w:p>
        </w:tc>
        <w:tc>
          <w:tcPr>
            <w:tcW w:w="1650" w:type="dxa"/>
            <w:vAlign w:val="center"/>
          </w:tcPr>
          <w:p w14:paraId="618C5D73">
            <w:pPr>
              <w:pStyle w:val="59"/>
            </w:pPr>
            <w:r>
              <w:rPr>
                <w:rFonts w:hint="eastAsia"/>
              </w:rPr>
              <w:t>区农业农村委</w:t>
            </w:r>
          </w:p>
        </w:tc>
      </w:tr>
      <w:tr w14:paraId="640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63" w:type="dxa"/>
            <w:vMerge w:val="continue"/>
            <w:vAlign w:val="center"/>
          </w:tcPr>
          <w:p w14:paraId="5DD14D37">
            <w:pPr>
              <w:pStyle w:val="59"/>
              <w:rPr>
                <w:rFonts w:ascii="黑体" w:hAnsi="黑体" w:eastAsia="黑体"/>
              </w:rPr>
            </w:pPr>
          </w:p>
        </w:tc>
        <w:tc>
          <w:tcPr>
            <w:tcW w:w="1316" w:type="dxa"/>
            <w:vMerge w:val="continue"/>
            <w:vAlign w:val="center"/>
          </w:tcPr>
          <w:p w14:paraId="0D0B1E37">
            <w:pPr>
              <w:pStyle w:val="59"/>
            </w:pPr>
          </w:p>
        </w:tc>
        <w:tc>
          <w:tcPr>
            <w:tcW w:w="2688" w:type="dxa"/>
            <w:vAlign w:val="center"/>
          </w:tcPr>
          <w:p w14:paraId="0D8FD812">
            <w:pPr>
              <w:pStyle w:val="59"/>
            </w:pPr>
            <w:r>
              <w:rPr>
                <w:rFonts w:hint="eastAsia"/>
              </w:rPr>
              <w:t>农业废弃物资源化利用工程</w:t>
            </w:r>
          </w:p>
        </w:tc>
        <w:tc>
          <w:tcPr>
            <w:tcW w:w="6508" w:type="dxa"/>
            <w:vAlign w:val="center"/>
          </w:tcPr>
          <w:p w14:paraId="58F6704C">
            <w:pPr>
              <w:pStyle w:val="59"/>
            </w:pPr>
            <w:r>
              <w:rPr>
                <w:rFonts w:hint="eastAsia"/>
              </w:rPr>
              <w:t>有序开展秸秆全量化利用工程建设、有机肥加工生产全产业链、有机肥施肥示范区建设、农田残膜和农药包装废弃物回收项目等工程。农药包装废弃物回收处理全面推广，回收的农药包装废弃物无害化处理率达到100%。</w:t>
            </w:r>
          </w:p>
        </w:tc>
        <w:tc>
          <w:tcPr>
            <w:tcW w:w="1154" w:type="dxa"/>
            <w:vAlign w:val="center"/>
          </w:tcPr>
          <w:p w14:paraId="12BC7646">
            <w:pPr>
              <w:pStyle w:val="59"/>
            </w:pPr>
            <w:r>
              <w:rPr>
                <w:rFonts w:hint="eastAsia"/>
              </w:rPr>
              <w:t>2025年</w:t>
            </w:r>
          </w:p>
        </w:tc>
        <w:tc>
          <w:tcPr>
            <w:tcW w:w="1650" w:type="dxa"/>
            <w:vAlign w:val="center"/>
          </w:tcPr>
          <w:p w14:paraId="05479DB3">
            <w:pPr>
              <w:pStyle w:val="59"/>
            </w:pPr>
            <w:r>
              <w:rPr>
                <w:rFonts w:hint="eastAsia"/>
              </w:rPr>
              <w:t>区农业农村委</w:t>
            </w:r>
          </w:p>
        </w:tc>
      </w:tr>
      <w:tr w14:paraId="139F1DE4">
        <w:tblPrEx>
          <w:tblCellMar>
            <w:top w:w="0" w:type="dxa"/>
            <w:left w:w="108" w:type="dxa"/>
            <w:bottom w:w="0" w:type="dxa"/>
            <w:right w:w="108" w:type="dxa"/>
          </w:tblCellMar>
        </w:tblPrEx>
        <w:trPr>
          <w:trHeight w:val="555" w:hRule="atLeast"/>
        </w:trPr>
        <w:tc>
          <w:tcPr>
            <w:tcW w:w="1163" w:type="dxa"/>
            <w:vMerge w:val="restart"/>
            <w:vAlign w:val="center"/>
          </w:tcPr>
          <w:p w14:paraId="59BE2218">
            <w:pPr>
              <w:pStyle w:val="59"/>
              <w:rPr>
                <w:rFonts w:ascii="黑体" w:hAnsi="黑体" w:eastAsia="黑体"/>
              </w:rPr>
            </w:pPr>
            <w:r>
              <w:rPr>
                <w:rFonts w:hint="eastAsia" w:ascii="黑体" w:hAnsi="黑体" w:eastAsia="黑体"/>
              </w:rPr>
              <w:t>六、人居整洁重点工程</w:t>
            </w:r>
          </w:p>
        </w:tc>
        <w:tc>
          <w:tcPr>
            <w:tcW w:w="1316" w:type="dxa"/>
            <w:vMerge w:val="restart"/>
            <w:vAlign w:val="center"/>
          </w:tcPr>
          <w:p w14:paraId="036765B4">
            <w:pPr>
              <w:pStyle w:val="59"/>
            </w:pPr>
            <w:r>
              <w:rPr>
                <w:rFonts w:hint="eastAsia"/>
              </w:rPr>
              <w:t>农村环境综合整治工程</w:t>
            </w:r>
          </w:p>
        </w:tc>
        <w:tc>
          <w:tcPr>
            <w:tcW w:w="2688" w:type="dxa"/>
            <w:vAlign w:val="center"/>
          </w:tcPr>
          <w:p w14:paraId="2289C695">
            <w:pPr>
              <w:pStyle w:val="59"/>
            </w:pPr>
            <w:r>
              <w:rPr>
                <w:rFonts w:hint="eastAsia"/>
              </w:rPr>
              <w:t>高效农业节水工程</w:t>
            </w:r>
          </w:p>
        </w:tc>
        <w:tc>
          <w:tcPr>
            <w:tcW w:w="6508" w:type="dxa"/>
            <w:vAlign w:val="center"/>
          </w:tcPr>
          <w:p w14:paraId="1C56BA43">
            <w:pPr>
              <w:pStyle w:val="59"/>
            </w:pPr>
            <w:r>
              <w:rPr>
                <w:rFonts w:hint="eastAsia"/>
              </w:rPr>
              <w:t>开展引滦输水明渠（北辰段）饮用水水源保护区专项排查整治工作、开展千人以上农村饮用水水源调查评估、开展水土流失治理。推进深层地下水压采，各项水质指标进一步改善，到2025年，新建高效农业节水工程1万亩。土壤污染防治取得进一步成效。</w:t>
            </w:r>
          </w:p>
        </w:tc>
        <w:tc>
          <w:tcPr>
            <w:tcW w:w="1154" w:type="dxa"/>
            <w:vAlign w:val="center"/>
          </w:tcPr>
          <w:p w14:paraId="783D1FF3">
            <w:pPr>
              <w:pStyle w:val="59"/>
            </w:pPr>
            <w:r>
              <w:rPr>
                <w:rFonts w:hint="eastAsia"/>
              </w:rPr>
              <w:t>2025年</w:t>
            </w:r>
          </w:p>
        </w:tc>
        <w:tc>
          <w:tcPr>
            <w:tcW w:w="1650" w:type="dxa"/>
            <w:vAlign w:val="center"/>
          </w:tcPr>
          <w:p w14:paraId="344D4332">
            <w:pPr>
              <w:pStyle w:val="59"/>
            </w:pPr>
            <w:r>
              <w:rPr>
                <w:rFonts w:hint="eastAsia"/>
              </w:rPr>
              <w:t>区农业农村委</w:t>
            </w:r>
          </w:p>
        </w:tc>
      </w:tr>
      <w:tr w14:paraId="1342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63" w:type="dxa"/>
            <w:vMerge w:val="continue"/>
            <w:vAlign w:val="center"/>
          </w:tcPr>
          <w:p w14:paraId="14222C1D">
            <w:pPr>
              <w:pStyle w:val="59"/>
              <w:rPr>
                <w:rFonts w:ascii="黑体" w:hAnsi="黑体" w:eastAsia="黑体"/>
              </w:rPr>
            </w:pPr>
          </w:p>
        </w:tc>
        <w:tc>
          <w:tcPr>
            <w:tcW w:w="1316" w:type="dxa"/>
            <w:vMerge w:val="continue"/>
            <w:vAlign w:val="center"/>
          </w:tcPr>
          <w:p w14:paraId="6B1AF265">
            <w:pPr>
              <w:pStyle w:val="59"/>
            </w:pPr>
          </w:p>
        </w:tc>
        <w:tc>
          <w:tcPr>
            <w:tcW w:w="2688" w:type="dxa"/>
            <w:vAlign w:val="center"/>
          </w:tcPr>
          <w:p w14:paraId="385C671C">
            <w:pPr>
              <w:pStyle w:val="59"/>
            </w:pPr>
            <w:r>
              <w:rPr>
                <w:rFonts w:hint="eastAsia"/>
              </w:rPr>
              <w:t>农村生活垃圾收运处置系统建设工程</w:t>
            </w:r>
          </w:p>
        </w:tc>
        <w:tc>
          <w:tcPr>
            <w:tcW w:w="6508" w:type="dxa"/>
            <w:vAlign w:val="center"/>
          </w:tcPr>
          <w:p w14:paraId="25A2C878">
            <w:pPr>
              <w:pStyle w:val="59"/>
            </w:pPr>
            <w:r>
              <w:rPr>
                <w:rFonts w:hint="eastAsia"/>
              </w:rPr>
              <w:t>在村庄建设垃圾池、垃圾分类系统、垃圾收运体系等工程建设。</w:t>
            </w:r>
          </w:p>
        </w:tc>
        <w:tc>
          <w:tcPr>
            <w:tcW w:w="1154" w:type="dxa"/>
            <w:vAlign w:val="center"/>
          </w:tcPr>
          <w:p w14:paraId="027855CC">
            <w:pPr>
              <w:pStyle w:val="59"/>
            </w:pPr>
            <w:r>
              <w:rPr>
                <w:rFonts w:hint="eastAsia"/>
              </w:rPr>
              <w:t>2025年</w:t>
            </w:r>
          </w:p>
        </w:tc>
        <w:tc>
          <w:tcPr>
            <w:tcW w:w="1650" w:type="dxa"/>
            <w:vAlign w:val="center"/>
          </w:tcPr>
          <w:p w14:paraId="175AD04B">
            <w:pPr>
              <w:pStyle w:val="59"/>
            </w:pPr>
            <w:r>
              <w:rPr>
                <w:rFonts w:hint="eastAsia"/>
              </w:rPr>
              <w:t>区城管委</w:t>
            </w:r>
          </w:p>
        </w:tc>
      </w:tr>
      <w:tr w14:paraId="2797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1034A3FC">
            <w:pPr>
              <w:pStyle w:val="59"/>
              <w:rPr>
                <w:rFonts w:ascii="黑体" w:hAnsi="黑体" w:eastAsia="黑体"/>
              </w:rPr>
            </w:pPr>
          </w:p>
        </w:tc>
        <w:tc>
          <w:tcPr>
            <w:tcW w:w="1316" w:type="dxa"/>
            <w:vMerge w:val="restart"/>
            <w:vAlign w:val="center"/>
          </w:tcPr>
          <w:p w14:paraId="1238D865">
            <w:pPr>
              <w:pStyle w:val="59"/>
            </w:pPr>
          </w:p>
          <w:p w14:paraId="16252078">
            <w:pPr>
              <w:pStyle w:val="59"/>
            </w:pPr>
            <w:r>
              <w:rPr>
                <w:rFonts w:hint="eastAsia"/>
              </w:rPr>
              <w:t>城区宜居环境提升工程</w:t>
            </w:r>
          </w:p>
        </w:tc>
        <w:tc>
          <w:tcPr>
            <w:tcW w:w="2688" w:type="dxa"/>
            <w:vAlign w:val="center"/>
          </w:tcPr>
          <w:p w14:paraId="592F47AA">
            <w:pPr>
              <w:pStyle w:val="59"/>
            </w:pPr>
            <w:r>
              <w:rPr>
                <w:rFonts w:hint="eastAsia"/>
              </w:rPr>
              <w:t>农村人居环境整治示范村建设</w:t>
            </w:r>
          </w:p>
        </w:tc>
        <w:tc>
          <w:tcPr>
            <w:tcW w:w="6508" w:type="dxa"/>
            <w:vAlign w:val="center"/>
          </w:tcPr>
          <w:p w14:paraId="56BD6C0E">
            <w:pPr>
              <w:pStyle w:val="59"/>
            </w:pPr>
            <w:r>
              <w:rPr>
                <w:rFonts w:hint="eastAsia"/>
              </w:rPr>
              <w:t>全面落实垃圾和生活污水处理设施建设、农村厕所改造提升、清脏治乱、拆除违建等整治任务，以环境质量提升服务乡村全面振兴。在垃圾、污水、“厕所革命”、村容村貌、农业面源污染治理方面进行高水平示范，达到3A景区关于生态环境的相应标准。到2025年，共建成15个示范村。</w:t>
            </w:r>
          </w:p>
        </w:tc>
        <w:tc>
          <w:tcPr>
            <w:tcW w:w="1154" w:type="dxa"/>
            <w:vAlign w:val="center"/>
          </w:tcPr>
          <w:p w14:paraId="4F1F94FB">
            <w:pPr>
              <w:pStyle w:val="59"/>
            </w:pPr>
            <w:r>
              <w:rPr>
                <w:rFonts w:hint="eastAsia"/>
              </w:rPr>
              <w:t>2025年</w:t>
            </w:r>
          </w:p>
        </w:tc>
        <w:tc>
          <w:tcPr>
            <w:tcW w:w="1650" w:type="dxa"/>
            <w:vAlign w:val="center"/>
          </w:tcPr>
          <w:p w14:paraId="69F60751">
            <w:pPr>
              <w:pStyle w:val="59"/>
            </w:pPr>
            <w:r>
              <w:rPr>
                <w:rFonts w:hint="eastAsia"/>
              </w:rPr>
              <w:t>区生态环境局</w:t>
            </w:r>
          </w:p>
        </w:tc>
      </w:tr>
      <w:tr w14:paraId="3710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5FB5C7BA">
            <w:pPr>
              <w:pStyle w:val="59"/>
              <w:rPr>
                <w:rFonts w:ascii="黑体" w:hAnsi="黑体" w:eastAsia="黑体"/>
              </w:rPr>
            </w:pPr>
          </w:p>
        </w:tc>
        <w:tc>
          <w:tcPr>
            <w:tcW w:w="1316" w:type="dxa"/>
            <w:vMerge w:val="continue"/>
            <w:vAlign w:val="center"/>
          </w:tcPr>
          <w:p w14:paraId="340F116F">
            <w:pPr>
              <w:pStyle w:val="59"/>
            </w:pPr>
          </w:p>
        </w:tc>
        <w:tc>
          <w:tcPr>
            <w:tcW w:w="2688" w:type="dxa"/>
            <w:vAlign w:val="center"/>
          </w:tcPr>
          <w:p w14:paraId="69955237">
            <w:pPr>
              <w:pStyle w:val="59"/>
            </w:pPr>
            <w:r>
              <w:rPr>
                <w:rFonts w:hint="eastAsia"/>
              </w:rPr>
              <w:t>农村生态绿色景观建设</w:t>
            </w:r>
          </w:p>
        </w:tc>
        <w:tc>
          <w:tcPr>
            <w:tcW w:w="6508" w:type="dxa"/>
            <w:vAlign w:val="center"/>
          </w:tcPr>
          <w:p w14:paraId="51FF2A61">
            <w:pPr>
              <w:pStyle w:val="59"/>
            </w:pPr>
            <w:r>
              <w:rPr>
                <w:rFonts w:hint="eastAsia"/>
              </w:rPr>
              <w:t>农村生态绿色景观建设，对村庄河道两侧、典型居民活动场所、道路两侧等实施绿化，实现村庄绿化、美化、香化，使农村生态环境和人居环境更加和谐优美，农民生活品质进一步提高。</w:t>
            </w:r>
          </w:p>
        </w:tc>
        <w:tc>
          <w:tcPr>
            <w:tcW w:w="1154" w:type="dxa"/>
            <w:vAlign w:val="center"/>
          </w:tcPr>
          <w:p w14:paraId="7FCEAC44">
            <w:pPr>
              <w:pStyle w:val="59"/>
            </w:pPr>
            <w:r>
              <w:rPr>
                <w:rFonts w:hint="eastAsia"/>
              </w:rPr>
              <w:t>2025年</w:t>
            </w:r>
          </w:p>
        </w:tc>
        <w:tc>
          <w:tcPr>
            <w:tcW w:w="1650" w:type="dxa"/>
            <w:vAlign w:val="center"/>
          </w:tcPr>
          <w:p w14:paraId="55B8A61B">
            <w:pPr>
              <w:pStyle w:val="59"/>
            </w:pPr>
            <w:r>
              <w:rPr>
                <w:rFonts w:hint="eastAsia"/>
              </w:rPr>
              <w:t>区城管委</w:t>
            </w:r>
          </w:p>
        </w:tc>
      </w:tr>
      <w:tr w14:paraId="56CD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4820E5AC">
            <w:pPr>
              <w:pStyle w:val="59"/>
              <w:rPr>
                <w:rFonts w:ascii="黑体" w:hAnsi="黑体" w:eastAsia="黑体"/>
              </w:rPr>
            </w:pPr>
          </w:p>
        </w:tc>
        <w:tc>
          <w:tcPr>
            <w:tcW w:w="1316" w:type="dxa"/>
            <w:vMerge w:val="continue"/>
            <w:vAlign w:val="center"/>
          </w:tcPr>
          <w:p w14:paraId="762EEA1B">
            <w:pPr>
              <w:pStyle w:val="59"/>
            </w:pPr>
          </w:p>
        </w:tc>
        <w:tc>
          <w:tcPr>
            <w:tcW w:w="2688" w:type="dxa"/>
            <w:vAlign w:val="center"/>
          </w:tcPr>
          <w:p w14:paraId="2E64C73B">
            <w:pPr>
              <w:pStyle w:val="59"/>
            </w:pPr>
            <w:r>
              <w:rPr>
                <w:rFonts w:hint="eastAsia"/>
              </w:rPr>
              <w:t>北辰区城区卫生环境整治工程</w:t>
            </w:r>
          </w:p>
        </w:tc>
        <w:tc>
          <w:tcPr>
            <w:tcW w:w="6508" w:type="dxa"/>
            <w:vAlign w:val="center"/>
          </w:tcPr>
          <w:p w14:paraId="084D170F">
            <w:pPr>
              <w:pStyle w:val="59"/>
            </w:pPr>
            <w:r>
              <w:rPr>
                <w:rFonts w:hint="eastAsia"/>
              </w:rPr>
              <w:t>城区主次干道、背街小巷、城乡结合部、集贸市场、建筑施工工地及其他重点区域环境卫生整治。</w:t>
            </w:r>
          </w:p>
        </w:tc>
        <w:tc>
          <w:tcPr>
            <w:tcW w:w="1154" w:type="dxa"/>
            <w:vAlign w:val="center"/>
          </w:tcPr>
          <w:p w14:paraId="0FA891AA">
            <w:pPr>
              <w:pStyle w:val="59"/>
            </w:pPr>
            <w:r>
              <w:rPr>
                <w:rFonts w:hint="eastAsia"/>
              </w:rPr>
              <w:t>2025年</w:t>
            </w:r>
          </w:p>
        </w:tc>
        <w:tc>
          <w:tcPr>
            <w:tcW w:w="1650" w:type="dxa"/>
            <w:vAlign w:val="center"/>
          </w:tcPr>
          <w:p w14:paraId="5921F61B">
            <w:pPr>
              <w:pStyle w:val="59"/>
            </w:pPr>
            <w:r>
              <w:rPr>
                <w:rFonts w:hint="eastAsia"/>
              </w:rPr>
              <w:t>区城管委</w:t>
            </w:r>
          </w:p>
        </w:tc>
      </w:tr>
      <w:tr w14:paraId="524014DB">
        <w:tblPrEx>
          <w:tblCellMar>
            <w:top w:w="0" w:type="dxa"/>
            <w:left w:w="108" w:type="dxa"/>
            <w:bottom w:w="0" w:type="dxa"/>
            <w:right w:w="108" w:type="dxa"/>
          </w:tblCellMar>
        </w:tblPrEx>
        <w:trPr>
          <w:trHeight w:val="735" w:hRule="atLeast"/>
        </w:trPr>
        <w:tc>
          <w:tcPr>
            <w:tcW w:w="1163" w:type="dxa"/>
            <w:vMerge w:val="continue"/>
            <w:vAlign w:val="center"/>
          </w:tcPr>
          <w:p w14:paraId="5944F108">
            <w:pPr>
              <w:pStyle w:val="59"/>
              <w:rPr>
                <w:rFonts w:ascii="黑体" w:hAnsi="黑体" w:eastAsia="黑体"/>
              </w:rPr>
            </w:pPr>
          </w:p>
        </w:tc>
        <w:tc>
          <w:tcPr>
            <w:tcW w:w="1316" w:type="dxa"/>
            <w:vMerge w:val="continue"/>
            <w:vAlign w:val="center"/>
          </w:tcPr>
          <w:p w14:paraId="4C2713A8">
            <w:pPr>
              <w:pStyle w:val="59"/>
            </w:pPr>
          </w:p>
        </w:tc>
        <w:tc>
          <w:tcPr>
            <w:tcW w:w="2688" w:type="dxa"/>
            <w:vAlign w:val="center"/>
          </w:tcPr>
          <w:p w14:paraId="3201917B">
            <w:pPr>
              <w:pStyle w:val="59"/>
            </w:pPr>
            <w:r>
              <w:rPr>
                <w:rFonts w:hint="eastAsia"/>
              </w:rPr>
              <w:t>城区噪声污染监测和治理工程</w:t>
            </w:r>
          </w:p>
        </w:tc>
        <w:tc>
          <w:tcPr>
            <w:tcW w:w="6508" w:type="dxa"/>
            <w:vAlign w:val="center"/>
          </w:tcPr>
          <w:p w14:paraId="08F17DB5">
            <w:pPr>
              <w:pStyle w:val="59"/>
            </w:pPr>
            <w:r>
              <w:rPr>
                <w:rFonts w:hint="eastAsia"/>
              </w:rPr>
              <w:t>开展城区噪声污染治理监测和治理工程，建设隔声屏障、增加建筑物隔声、严控机动车限行禁鸣、严控建筑施工噪声等综合防治措施。</w:t>
            </w:r>
          </w:p>
        </w:tc>
        <w:tc>
          <w:tcPr>
            <w:tcW w:w="1154" w:type="dxa"/>
            <w:vAlign w:val="center"/>
          </w:tcPr>
          <w:p w14:paraId="1FAEEFC4">
            <w:pPr>
              <w:pStyle w:val="59"/>
            </w:pPr>
            <w:r>
              <w:rPr>
                <w:rFonts w:hint="eastAsia"/>
              </w:rPr>
              <w:t>2025年</w:t>
            </w:r>
          </w:p>
        </w:tc>
        <w:tc>
          <w:tcPr>
            <w:tcW w:w="1650" w:type="dxa"/>
            <w:vAlign w:val="center"/>
          </w:tcPr>
          <w:p w14:paraId="7CE792A8">
            <w:pPr>
              <w:pStyle w:val="59"/>
            </w:pPr>
            <w:r>
              <w:rPr>
                <w:rFonts w:hint="eastAsia"/>
              </w:rPr>
              <w:t>区城管委</w:t>
            </w:r>
          </w:p>
        </w:tc>
      </w:tr>
      <w:tr w14:paraId="5FCB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1DDDC3BA">
            <w:pPr>
              <w:pStyle w:val="59"/>
              <w:rPr>
                <w:rFonts w:ascii="黑体" w:hAnsi="黑体" w:eastAsia="黑体"/>
              </w:rPr>
            </w:pPr>
          </w:p>
        </w:tc>
        <w:tc>
          <w:tcPr>
            <w:tcW w:w="1316" w:type="dxa"/>
            <w:vMerge w:val="restart"/>
            <w:vAlign w:val="center"/>
          </w:tcPr>
          <w:p w14:paraId="02DAB9D1">
            <w:pPr>
              <w:pStyle w:val="59"/>
            </w:pPr>
            <w:r>
              <w:rPr>
                <w:rFonts w:hint="eastAsia"/>
              </w:rPr>
              <w:t>农业品牌提升工程</w:t>
            </w:r>
          </w:p>
          <w:p w14:paraId="1A306F14">
            <w:pPr>
              <w:pStyle w:val="59"/>
            </w:pPr>
            <w:r>
              <w:rPr>
                <w:rFonts w:hint="eastAsia"/>
              </w:rPr>
              <w:t>跨区域联动能力建设工程</w:t>
            </w:r>
          </w:p>
        </w:tc>
        <w:tc>
          <w:tcPr>
            <w:tcW w:w="2688" w:type="dxa"/>
            <w:vAlign w:val="center"/>
          </w:tcPr>
          <w:p w14:paraId="339945CE">
            <w:pPr>
              <w:pStyle w:val="59"/>
            </w:pPr>
            <w:r>
              <w:rPr>
                <w:rFonts w:hint="eastAsia"/>
              </w:rPr>
              <w:t>构建区级农产品品牌体系</w:t>
            </w:r>
          </w:p>
        </w:tc>
        <w:tc>
          <w:tcPr>
            <w:tcW w:w="6508" w:type="dxa"/>
            <w:vAlign w:val="center"/>
          </w:tcPr>
          <w:p w14:paraId="73865D8F">
            <w:pPr>
              <w:pStyle w:val="59"/>
            </w:pPr>
            <w:r>
              <w:rPr>
                <w:rFonts w:hint="eastAsia"/>
              </w:rPr>
              <w:t>围绕食用菌、生鲜乳、虾、鱼、大枣、蚯蚓、花卉等特色优势农产品，积极构建区级农产品品牌体系。到2025年培育特色明显、竞争力强、知名度高的区域公用品牌3-5个、企业品牌20个、产品品牌10个，形成较完善的农产品品牌体系。</w:t>
            </w:r>
          </w:p>
        </w:tc>
        <w:tc>
          <w:tcPr>
            <w:tcW w:w="1154" w:type="dxa"/>
            <w:vAlign w:val="center"/>
          </w:tcPr>
          <w:p w14:paraId="09C1C73D">
            <w:pPr>
              <w:pStyle w:val="59"/>
            </w:pPr>
            <w:r>
              <w:rPr>
                <w:rFonts w:hint="eastAsia"/>
              </w:rPr>
              <w:t>2025年</w:t>
            </w:r>
          </w:p>
        </w:tc>
        <w:tc>
          <w:tcPr>
            <w:tcW w:w="1650" w:type="dxa"/>
            <w:vAlign w:val="center"/>
          </w:tcPr>
          <w:p w14:paraId="48F2F4D9">
            <w:pPr>
              <w:pStyle w:val="59"/>
            </w:pPr>
            <w:r>
              <w:rPr>
                <w:rFonts w:hint="eastAsia"/>
              </w:rPr>
              <w:t>区农业农村委</w:t>
            </w:r>
          </w:p>
        </w:tc>
      </w:tr>
      <w:tr w14:paraId="596E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1D5E8F04">
            <w:pPr>
              <w:pStyle w:val="59"/>
              <w:rPr>
                <w:rFonts w:ascii="黑体" w:hAnsi="黑体" w:eastAsia="黑体"/>
              </w:rPr>
            </w:pPr>
          </w:p>
        </w:tc>
        <w:tc>
          <w:tcPr>
            <w:tcW w:w="1316" w:type="dxa"/>
            <w:vMerge w:val="continue"/>
            <w:vAlign w:val="center"/>
          </w:tcPr>
          <w:p w14:paraId="49B14E30">
            <w:pPr>
              <w:pStyle w:val="59"/>
            </w:pPr>
          </w:p>
        </w:tc>
        <w:tc>
          <w:tcPr>
            <w:tcW w:w="2688" w:type="dxa"/>
            <w:vAlign w:val="center"/>
          </w:tcPr>
          <w:p w14:paraId="70568E32">
            <w:pPr>
              <w:pStyle w:val="59"/>
            </w:pPr>
            <w:r>
              <w:rPr>
                <w:rFonts w:hint="eastAsia"/>
              </w:rPr>
              <w:t>建立健全北辰区各部门协调机制</w:t>
            </w:r>
          </w:p>
        </w:tc>
        <w:tc>
          <w:tcPr>
            <w:tcW w:w="6508" w:type="dxa"/>
            <w:vAlign w:val="center"/>
          </w:tcPr>
          <w:p w14:paraId="46127673">
            <w:pPr>
              <w:pStyle w:val="59"/>
            </w:pPr>
            <w:r>
              <w:rPr>
                <w:rFonts w:hint="eastAsia"/>
              </w:rPr>
              <w:t>建立健全北辰区各部门协调机制，根据不同方面的环保规划明确各部门权责。</w:t>
            </w:r>
          </w:p>
        </w:tc>
        <w:tc>
          <w:tcPr>
            <w:tcW w:w="1154" w:type="dxa"/>
            <w:vAlign w:val="center"/>
          </w:tcPr>
          <w:p w14:paraId="5D8FFC5F">
            <w:pPr>
              <w:pStyle w:val="59"/>
              <w:rPr>
                <w:highlight w:val="yellow"/>
              </w:rPr>
            </w:pPr>
            <w:r>
              <w:rPr>
                <w:rFonts w:hint="eastAsia"/>
              </w:rPr>
              <w:t>2025年</w:t>
            </w:r>
          </w:p>
        </w:tc>
        <w:tc>
          <w:tcPr>
            <w:tcW w:w="1650" w:type="dxa"/>
            <w:vAlign w:val="center"/>
          </w:tcPr>
          <w:p w14:paraId="3FE8FBDF">
            <w:pPr>
              <w:pStyle w:val="59"/>
              <w:rPr>
                <w:highlight w:val="yellow"/>
              </w:rPr>
            </w:pPr>
            <w:r>
              <w:rPr>
                <w:rFonts w:hint="eastAsia"/>
              </w:rPr>
              <w:t>区生态环境局</w:t>
            </w:r>
          </w:p>
        </w:tc>
      </w:tr>
      <w:tr w14:paraId="69C6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63" w:type="dxa"/>
            <w:vMerge w:val="restart"/>
            <w:vAlign w:val="center"/>
          </w:tcPr>
          <w:p w14:paraId="7A98A715">
            <w:pPr>
              <w:pStyle w:val="59"/>
              <w:rPr>
                <w:rFonts w:ascii="黑体" w:hAnsi="黑体" w:eastAsia="黑体"/>
              </w:rPr>
            </w:pPr>
            <w:r>
              <w:rPr>
                <w:rFonts w:hint="eastAsia" w:ascii="黑体" w:hAnsi="黑体" w:eastAsia="黑体"/>
              </w:rPr>
              <w:t>七、机制体制建设重点项目</w:t>
            </w:r>
          </w:p>
        </w:tc>
        <w:tc>
          <w:tcPr>
            <w:tcW w:w="1316" w:type="dxa"/>
            <w:vMerge w:val="restart"/>
            <w:vAlign w:val="center"/>
          </w:tcPr>
          <w:p w14:paraId="333EBD87">
            <w:pPr>
              <w:pStyle w:val="59"/>
            </w:pPr>
            <w:r>
              <w:rPr>
                <w:rFonts w:hint="eastAsia"/>
              </w:rPr>
              <w:t>市场引导能力建设</w:t>
            </w:r>
          </w:p>
        </w:tc>
        <w:tc>
          <w:tcPr>
            <w:tcW w:w="2688" w:type="dxa"/>
            <w:vAlign w:val="center"/>
          </w:tcPr>
          <w:p w14:paraId="5E089021">
            <w:pPr>
              <w:pStyle w:val="59"/>
            </w:pPr>
            <w:r>
              <w:rPr>
                <w:rFonts w:hint="eastAsia"/>
              </w:rPr>
              <w:t>第三方专业机构服务</w:t>
            </w:r>
          </w:p>
        </w:tc>
        <w:tc>
          <w:tcPr>
            <w:tcW w:w="6508" w:type="dxa"/>
            <w:vAlign w:val="center"/>
          </w:tcPr>
          <w:p w14:paraId="0E664578">
            <w:pPr>
              <w:pStyle w:val="59"/>
            </w:pPr>
            <w:r>
              <w:rPr>
                <w:rFonts w:hint="eastAsia"/>
              </w:rPr>
              <w:t>推动水、土壤、大气、固废等方面排查、溯源、监测和治理的第三方服务。</w:t>
            </w:r>
          </w:p>
        </w:tc>
        <w:tc>
          <w:tcPr>
            <w:tcW w:w="1154" w:type="dxa"/>
            <w:vAlign w:val="center"/>
          </w:tcPr>
          <w:p w14:paraId="011675C0">
            <w:pPr>
              <w:pStyle w:val="59"/>
            </w:pPr>
            <w:r>
              <w:rPr>
                <w:rFonts w:hint="eastAsia"/>
              </w:rPr>
              <w:t>2025年</w:t>
            </w:r>
          </w:p>
        </w:tc>
        <w:tc>
          <w:tcPr>
            <w:tcW w:w="1650" w:type="dxa"/>
            <w:vAlign w:val="center"/>
          </w:tcPr>
          <w:p w14:paraId="3D4CAB6E">
            <w:pPr>
              <w:pStyle w:val="59"/>
            </w:pPr>
            <w:r>
              <w:rPr>
                <w:rFonts w:hint="eastAsia"/>
              </w:rPr>
              <w:t>区生态环境局</w:t>
            </w:r>
          </w:p>
        </w:tc>
      </w:tr>
      <w:tr w14:paraId="0AA8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continue"/>
            <w:vAlign w:val="center"/>
          </w:tcPr>
          <w:p w14:paraId="27F2011A">
            <w:pPr>
              <w:pStyle w:val="59"/>
              <w:rPr>
                <w:rFonts w:ascii="黑体" w:hAnsi="黑体" w:eastAsia="黑体"/>
              </w:rPr>
            </w:pPr>
          </w:p>
        </w:tc>
        <w:tc>
          <w:tcPr>
            <w:tcW w:w="1316" w:type="dxa"/>
            <w:vMerge w:val="continue"/>
            <w:vAlign w:val="center"/>
          </w:tcPr>
          <w:p w14:paraId="6CD08B30">
            <w:pPr>
              <w:pStyle w:val="59"/>
            </w:pPr>
          </w:p>
        </w:tc>
        <w:tc>
          <w:tcPr>
            <w:tcW w:w="2688" w:type="dxa"/>
            <w:vAlign w:val="center"/>
          </w:tcPr>
          <w:p w14:paraId="4B0D81A5">
            <w:pPr>
              <w:pStyle w:val="59"/>
            </w:pPr>
            <w:r>
              <w:rPr>
                <w:rFonts w:hint="eastAsia"/>
              </w:rPr>
              <w:t>“环保管家”服务模式改进</w:t>
            </w:r>
          </w:p>
        </w:tc>
        <w:tc>
          <w:tcPr>
            <w:tcW w:w="6508" w:type="dxa"/>
            <w:vAlign w:val="center"/>
          </w:tcPr>
          <w:p w14:paraId="3AFB07D2">
            <w:pPr>
              <w:pStyle w:val="59"/>
            </w:pPr>
            <w:r>
              <w:rPr>
                <w:rFonts w:hint="eastAsia"/>
              </w:rPr>
              <w:t>推进“环保管家”服务模式改进，形成“政府管家+总设计师”的整体模式，采用“顶层设计+项目统筹管理（策划、申报、设计、实施）+投资产业引导”方式，充分发挥第三方专业机构能力。</w:t>
            </w:r>
          </w:p>
        </w:tc>
        <w:tc>
          <w:tcPr>
            <w:tcW w:w="1154" w:type="dxa"/>
            <w:vAlign w:val="center"/>
          </w:tcPr>
          <w:p w14:paraId="636FB02F">
            <w:pPr>
              <w:pStyle w:val="59"/>
            </w:pPr>
            <w:r>
              <w:rPr>
                <w:rFonts w:hint="eastAsia"/>
              </w:rPr>
              <w:t>2025年</w:t>
            </w:r>
          </w:p>
        </w:tc>
        <w:tc>
          <w:tcPr>
            <w:tcW w:w="1650" w:type="dxa"/>
            <w:vAlign w:val="center"/>
          </w:tcPr>
          <w:p w14:paraId="5F59EBFE">
            <w:pPr>
              <w:pStyle w:val="59"/>
            </w:pPr>
            <w:r>
              <w:rPr>
                <w:rFonts w:hint="eastAsia"/>
              </w:rPr>
              <w:t>区生态环境局</w:t>
            </w:r>
          </w:p>
        </w:tc>
      </w:tr>
      <w:tr w14:paraId="4651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163" w:type="dxa"/>
            <w:vMerge w:val="continue"/>
            <w:vAlign w:val="center"/>
          </w:tcPr>
          <w:p w14:paraId="020DC5F0">
            <w:pPr>
              <w:pStyle w:val="59"/>
              <w:rPr>
                <w:rFonts w:ascii="黑体" w:hAnsi="黑体" w:eastAsia="黑体"/>
              </w:rPr>
            </w:pPr>
          </w:p>
        </w:tc>
        <w:tc>
          <w:tcPr>
            <w:tcW w:w="1316" w:type="dxa"/>
            <w:vMerge w:val="restart"/>
            <w:vAlign w:val="center"/>
          </w:tcPr>
          <w:p w14:paraId="100FBBAB">
            <w:pPr>
              <w:pStyle w:val="59"/>
            </w:pPr>
            <w:r>
              <w:rPr>
                <w:rFonts w:hint="eastAsia"/>
              </w:rPr>
              <w:t>人才队伍建设</w:t>
            </w:r>
          </w:p>
          <w:p w14:paraId="7EFD563B">
            <w:pPr>
              <w:pStyle w:val="59"/>
            </w:pPr>
            <w:r>
              <w:rPr>
                <w:rFonts w:hint="eastAsia"/>
              </w:rPr>
              <w:t>科学技术能力建设工程</w:t>
            </w:r>
          </w:p>
        </w:tc>
        <w:tc>
          <w:tcPr>
            <w:tcW w:w="2688" w:type="dxa"/>
            <w:vAlign w:val="center"/>
          </w:tcPr>
          <w:p w14:paraId="7D64FC8E">
            <w:pPr>
              <w:pStyle w:val="59"/>
            </w:pPr>
            <w:r>
              <w:rPr>
                <w:rFonts w:hint="eastAsia"/>
              </w:rPr>
              <w:t>加强环保基层干部培养</w:t>
            </w:r>
          </w:p>
        </w:tc>
        <w:tc>
          <w:tcPr>
            <w:tcW w:w="6508" w:type="dxa"/>
            <w:vAlign w:val="center"/>
          </w:tcPr>
          <w:p w14:paraId="4548B181">
            <w:pPr>
              <w:pStyle w:val="59"/>
            </w:pPr>
            <w:r>
              <w:rPr>
                <w:rFonts w:hint="eastAsia"/>
              </w:rPr>
              <w:t>切实加强基层组织建设，切实加强基层组织建设。稳步推进领导班子和干部队伍建设。</w:t>
            </w:r>
          </w:p>
        </w:tc>
        <w:tc>
          <w:tcPr>
            <w:tcW w:w="1154" w:type="dxa"/>
            <w:vAlign w:val="center"/>
          </w:tcPr>
          <w:p w14:paraId="584817A1">
            <w:pPr>
              <w:pStyle w:val="59"/>
            </w:pPr>
            <w:r>
              <w:rPr>
                <w:rFonts w:hint="eastAsia"/>
              </w:rPr>
              <w:t>长期坚持</w:t>
            </w:r>
          </w:p>
        </w:tc>
        <w:tc>
          <w:tcPr>
            <w:tcW w:w="1650" w:type="dxa"/>
            <w:vAlign w:val="center"/>
          </w:tcPr>
          <w:p w14:paraId="4E80452F">
            <w:pPr>
              <w:pStyle w:val="59"/>
            </w:pPr>
            <w:r>
              <w:rPr>
                <w:rFonts w:hint="eastAsia"/>
              </w:rPr>
              <w:t>区生态环境局</w:t>
            </w:r>
          </w:p>
        </w:tc>
      </w:tr>
      <w:tr w14:paraId="2CA3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07808CF0">
            <w:pPr>
              <w:pStyle w:val="59"/>
              <w:rPr>
                <w:rFonts w:ascii="黑体" w:hAnsi="黑体" w:eastAsia="黑体"/>
              </w:rPr>
            </w:pPr>
          </w:p>
        </w:tc>
        <w:tc>
          <w:tcPr>
            <w:tcW w:w="1316" w:type="dxa"/>
            <w:vMerge w:val="continue"/>
            <w:vAlign w:val="center"/>
          </w:tcPr>
          <w:p w14:paraId="069A3701">
            <w:pPr>
              <w:pStyle w:val="59"/>
            </w:pPr>
          </w:p>
        </w:tc>
        <w:tc>
          <w:tcPr>
            <w:tcW w:w="2688" w:type="dxa"/>
            <w:vAlign w:val="center"/>
          </w:tcPr>
          <w:p w14:paraId="1922821B">
            <w:pPr>
              <w:pStyle w:val="59"/>
            </w:pPr>
            <w:r>
              <w:rPr>
                <w:rFonts w:hint="eastAsia"/>
              </w:rPr>
              <w:t>产学研相结合</w:t>
            </w:r>
          </w:p>
        </w:tc>
        <w:tc>
          <w:tcPr>
            <w:tcW w:w="6508" w:type="dxa"/>
            <w:vAlign w:val="center"/>
          </w:tcPr>
          <w:p w14:paraId="560FB428">
            <w:pPr>
              <w:pStyle w:val="59"/>
            </w:pPr>
            <w:r>
              <w:rPr>
                <w:rFonts w:hint="eastAsia"/>
              </w:rPr>
              <w:t>充分利用学校及相关科研机构的研究成果，针对北辰区现有技术难点，推动前沿科技与环境治理深度融合。</w:t>
            </w:r>
          </w:p>
        </w:tc>
        <w:tc>
          <w:tcPr>
            <w:tcW w:w="1154" w:type="dxa"/>
            <w:vAlign w:val="center"/>
          </w:tcPr>
          <w:p w14:paraId="7E56A8B0">
            <w:pPr>
              <w:pStyle w:val="59"/>
            </w:pPr>
            <w:r>
              <w:rPr>
                <w:rFonts w:hint="eastAsia"/>
              </w:rPr>
              <w:t>长期坚持</w:t>
            </w:r>
          </w:p>
        </w:tc>
        <w:tc>
          <w:tcPr>
            <w:tcW w:w="1650" w:type="dxa"/>
            <w:vAlign w:val="center"/>
          </w:tcPr>
          <w:p w14:paraId="05BEB68A">
            <w:pPr>
              <w:pStyle w:val="59"/>
            </w:pPr>
            <w:r>
              <w:rPr>
                <w:rFonts w:hint="eastAsia"/>
              </w:rPr>
              <w:t>区生态环境局</w:t>
            </w:r>
          </w:p>
        </w:tc>
      </w:tr>
      <w:tr w14:paraId="41A8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63" w:type="dxa"/>
            <w:vMerge w:val="continue"/>
            <w:vAlign w:val="center"/>
          </w:tcPr>
          <w:p w14:paraId="51762ACE">
            <w:pPr>
              <w:pStyle w:val="59"/>
              <w:rPr>
                <w:rFonts w:ascii="黑体" w:hAnsi="黑体" w:eastAsia="黑体"/>
              </w:rPr>
            </w:pPr>
          </w:p>
        </w:tc>
        <w:tc>
          <w:tcPr>
            <w:tcW w:w="1316" w:type="dxa"/>
            <w:vMerge w:val="continue"/>
            <w:vAlign w:val="center"/>
          </w:tcPr>
          <w:p w14:paraId="539758F3">
            <w:pPr>
              <w:pStyle w:val="59"/>
            </w:pPr>
          </w:p>
        </w:tc>
        <w:tc>
          <w:tcPr>
            <w:tcW w:w="2688" w:type="dxa"/>
            <w:vAlign w:val="center"/>
          </w:tcPr>
          <w:p w14:paraId="6694F747">
            <w:pPr>
              <w:pStyle w:val="59"/>
            </w:pPr>
            <w:r>
              <w:rPr>
                <w:rFonts w:hint="eastAsia"/>
              </w:rPr>
              <w:t>完善生态环境监测网络</w:t>
            </w:r>
          </w:p>
        </w:tc>
        <w:tc>
          <w:tcPr>
            <w:tcW w:w="6508" w:type="dxa"/>
            <w:vAlign w:val="center"/>
          </w:tcPr>
          <w:p w14:paraId="15DCB4DA">
            <w:pPr>
              <w:pStyle w:val="59"/>
            </w:pPr>
            <w:r>
              <w:rPr>
                <w:rFonts w:hint="eastAsia"/>
              </w:rPr>
              <w:t>完善生态环境监测网络，达到上下协同、左右联动、信息共享。</w:t>
            </w:r>
          </w:p>
        </w:tc>
        <w:tc>
          <w:tcPr>
            <w:tcW w:w="1154" w:type="dxa"/>
            <w:vAlign w:val="center"/>
          </w:tcPr>
          <w:p w14:paraId="6E42D8B0">
            <w:pPr>
              <w:pStyle w:val="59"/>
            </w:pPr>
            <w:r>
              <w:rPr>
                <w:rFonts w:hint="eastAsia"/>
              </w:rPr>
              <w:t>2025年</w:t>
            </w:r>
          </w:p>
        </w:tc>
        <w:tc>
          <w:tcPr>
            <w:tcW w:w="1650" w:type="dxa"/>
            <w:vAlign w:val="center"/>
          </w:tcPr>
          <w:p w14:paraId="064BE13D">
            <w:pPr>
              <w:pStyle w:val="59"/>
            </w:pPr>
            <w:r>
              <w:rPr>
                <w:rFonts w:hint="eastAsia"/>
              </w:rPr>
              <w:t>区生态环境局</w:t>
            </w:r>
          </w:p>
        </w:tc>
      </w:tr>
    </w:tbl>
    <w:p w14:paraId="30E66FBA">
      <w:pPr>
        <w:ind w:firstLine="0" w:firstLineChars="0"/>
      </w:pPr>
      <w:r>
        <w:rPr/>
        <w:br w:type="textWrapping" w:clear="all"/>
      </w:r>
    </w:p>
    <w:p w14:paraId="1B2E0E4B"/>
    <w:sectPr>
      <w:pgSz w:w="16838" w:h="11906" w:orient="landscape"/>
      <w:pgMar w:top="1800" w:right="1440" w:bottom="1800" w:left="1440" w:header="851" w:footer="992" w:gutter="0"/>
      <w:cols w:space="425" w:num="1"/>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808E">
    <w:pPr>
      <w:pStyle w:val="1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7A6A9">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F082">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772BC">
    <w:pPr>
      <w:pStyle w:val="17"/>
      <w:ind w:firstLine="360"/>
    </w:pPr>
    <w:r>
      <mc:AlternateContent>
        <mc:Choice Requires="wps">
          <w:drawing>
            <wp:anchor distT="0" distB="0" distL="114300" distR="114300" simplePos="0" relativeHeight="251659264" behindDoc="0" locked="0" layoutInCell="1" allowOverlap="1">
              <wp:simplePos x="0" y="0"/>
              <wp:positionH relativeFrom="margin">
                <wp:posOffset>2585720</wp:posOffset>
              </wp:positionH>
              <wp:positionV relativeFrom="paragraph">
                <wp:posOffset>635</wp:posOffset>
              </wp:positionV>
              <wp:extent cx="262255" cy="2146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62393" cy="214685"/>
                      </a:xfrm>
                      <a:prstGeom prst="rect">
                        <a:avLst/>
                      </a:prstGeom>
                      <a:noFill/>
                      <a:ln w="6350">
                        <a:noFill/>
                      </a:ln>
                      <a:effectLst/>
                    </wps:spPr>
                    <wps:txbx>
                      <w:txbxContent>
                        <w:p w14:paraId="32ACEF85">
                          <w:pPr>
                            <w:pStyle w:val="17"/>
                            <w:ind w:firstLine="360"/>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6pt;margin-top:0.05pt;height:16.9pt;width:20.65pt;mso-position-horizontal-relative:margin;z-index:251659264;mso-width-relative:page;mso-height-relative:page;" filled="f" stroked="f" coordsize="21600,21600" o:gfxdata="UEsDBAoAAAAAAIdO4kAAAAAAAAAAAAAAAAAEAAAAZHJzL1BLAwQUAAAACACHTuJAgjJlSNYAAAAH&#10;AQAADwAAAGRycy9kb3ducmV2LnhtbE2Oy07DMBRE90j8g3WR2FE7baAlxOmCxw4KtCDBzokvSYR9&#10;HdlOWv4edwXL0RnNnHJ9sIZN6EPvSEI2E8CQGqd7aiW87R4uVsBCVKSVcYQSfjDAujo9KVWh3Z5e&#10;cdrGlqURCoWS0MU4FJyHpkOrwswNSIl9OW9VTNG3XHu1T+PW8LkQV9yqntJDpwa87bD53o5WgvkI&#10;/rEW8XO6a5/iyzMf3++zjZTnZ5m4ARbxEP/KcNRP6lAlp9qNpAMzEnKxnKfqEbCE83x1CayWsFhc&#10;A69K/t+/+gVQSwMEFAAAAAgAh07iQI9gXsQ4AgAAYwQAAA4AAABkcnMvZTJvRG9jLnhtbK1UzY7T&#10;MBC+I/EOlu80/WGrpWq6KlsVIVXsSgVxdh27iWR7jO02KQ8Ab8BpL9x5rj4HYyfpooXDHri4Y8/k&#10;G3/ffO78ptGKHIXzFZicjgZDSoThUFRmn9NPH9evrinxgZmCKTAipyfh6c3i5Yt5bWdiDCWoQjiC&#10;IMbPapvTMgQ7yzLPS6GZH4AVBpMSnGYBt26fFY7ViK5VNh4Op1kNrrAOuPAeT1dtknaI7jmAIGXF&#10;xQr4QQsTWlQnFAtIyZeV9XSRbiul4OFOSi8CUTlFpiGt2ATjXVyzxZzN9o7ZsuLdFdhzrvCEk2aV&#10;waYXqBULjBxc9ReUrrgDDzIMOOisJZIUQRaj4RNttiWzInFBqb29iO7/Hyz/cLx3pCpyOqHEMI0D&#10;P//4fn74df75jUyiPLX1M6zaWqwLzVto0DT9ucfDyLqRTsdf5EMwj+KeLuKKJhCOh+PpePIGm3BM&#10;jUevp9dXESV7/Ng6H94J0CQGOXU4uyQpO258aEv7ktjLwLpSKs1PGVLndDq5GqYPLhkEVybWiuSE&#10;DiYSai8eo9Dsmo7lDooTknTQusRbvq7wKhvmwz1zaAvkhQ8n3OEiFWBL6CJKSnBf/3Ue63FamKWk&#10;Rpvl1H85MCcoUe8NzjF6sg9cH+z6wBz0LaBzR/gkLU8hfuCC6kPpQH/G97SMXTDFDMdeOQ19eBta&#10;s+N75GK5TEXoPMvCxmwtj9CtmMtDAFklnaMsrRY4n7hB76VJde8kmvvPfap6/G9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CMmVI1gAAAAcBAAAPAAAAAAAAAAEAIAAAACIAAABkcnMvZG93bnJl&#10;di54bWxQSwECFAAUAAAACACHTuJAj2BexDgCAABjBAAADgAAAAAAAAABACAAAAAlAQAAZHJzL2Uy&#10;b0RvYy54bWxQSwUGAAAAAAYABgBZAQAAzwUAAAAA&#10;">
              <v:fill on="f" focussize="0,0"/>
              <v:stroke on="f" weight="0.5pt"/>
              <v:imagedata o:title=""/>
              <o:lock v:ext="edit" aspectratio="f"/>
              <v:textbox inset="0mm,0mm,0mm,0mm">
                <w:txbxContent>
                  <w:p w14:paraId="32ACEF85">
                    <w:pPr>
                      <w:pStyle w:val="17"/>
                      <w:ind w:firstLine="360"/>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2315433"/>
    </w:sdtPr>
    <w:sdtEndPr>
      <w:rPr>
        <w:rFonts w:ascii="Times New Roman" w:cs="Times New Roman"/>
        <w:sz w:val="28"/>
        <w:szCs w:val="28"/>
      </w:rPr>
    </w:sdtEndPr>
    <w:sdtContent>
      <w:p w14:paraId="0B3E4845">
        <w:pPr>
          <w:pStyle w:val="17"/>
          <w:ind w:firstLine="360"/>
          <w:jc w:val="center"/>
          <w:rPr>
            <w:rFonts w:ascii="Times New Roman" w:cs="Times New Roman"/>
            <w:sz w:val="28"/>
            <w:szCs w:val="28"/>
          </w:rPr>
        </w:pP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136</w:t>
        </w:r>
        <w:r>
          <w:rPr>
            <w:rFonts w:ascii="Times New Roman" w:cs="Times New Roman"/>
            <w:sz w:val="28"/>
            <w:szCs w:val="28"/>
          </w:rPr>
          <w:fldChar w:fldCharType="end"/>
        </w:r>
      </w:p>
    </w:sdtContent>
  </w:sdt>
  <w:p w14:paraId="4CCD1C4C">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8A038">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5728F">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0A72">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HorizontalSpacing w:val="170"/>
  <w:drawingGridVerticalSpacing w:val="231"/>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48"/>
    <w:rsid w:val="00001B0A"/>
    <w:rsid w:val="00003482"/>
    <w:rsid w:val="0000527C"/>
    <w:rsid w:val="00011D50"/>
    <w:rsid w:val="0001216D"/>
    <w:rsid w:val="00012284"/>
    <w:rsid w:val="00013AEB"/>
    <w:rsid w:val="000169CF"/>
    <w:rsid w:val="000202BE"/>
    <w:rsid w:val="00020A06"/>
    <w:rsid w:val="00025BA9"/>
    <w:rsid w:val="000310A3"/>
    <w:rsid w:val="0003308C"/>
    <w:rsid w:val="00034473"/>
    <w:rsid w:val="000413EB"/>
    <w:rsid w:val="00047201"/>
    <w:rsid w:val="00047D5B"/>
    <w:rsid w:val="000509B3"/>
    <w:rsid w:val="00051843"/>
    <w:rsid w:val="00057013"/>
    <w:rsid w:val="00057F04"/>
    <w:rsid w:val="00065B3E"/>
    <w:rsid w:val="00066EE6"/>
    <w:rsid w:val="00067778"/>
    <w:rsid w:val="000721B9"/>
    <w:rsid w:val="00076F44"/>
    <w:rsid w:val="00077224"/>
    <w:rsid w:val="000779DF"/>
    <w:rsid w:val="00082327"/>
    <w:rsid w:val="0008329B"/>
    <w:rsid w:val="00084E3C"/>
    <w:rsid w:val="00086802"/>
    <w:rsid w:val="00090766"/>
    <w:rsid w:val="00095642"/>
    <w:rsid w:val="00097204"/>
    <w:rsid w:val="0009735C"/>
    <w:rsid w:val="000A05E7"/>
    <w:rsid w:val="000A0BA1"/>
    <w:rsid w:val="000A2B0E"/>
    <w:rsid w:val="000A30DF"/>
    <w:rsid w:val="000A3654"/>
    <w:rsid w:val="000B072A"/>
    <w:rsid w:val="000B23C3"/>
    <w:rsid w:val="000B27DD"/>
    <w:rsid w:val="000B2B09"/>
    <w:rsid w:val="000B6D3F"/>
    <w:rsid w:val="000B6DD6"/>
    <w:rsid w:val="000C5290"/>
    <w:rsid w:val="000C5907"/>
    <w:rsid w:val="000D0ACD"/>
    <w:rsid w:val="000D0C78"/>
    <w:rsid w:val="000D143A"/>
    <w:rsid w:val="000D240C"/>
    <w:rsid w:val="000D29D5"/>
    <w:rsid w:val="000D312E"/>
    <w:rsid w:val="000E1257"/>
    <w:rsid w:val="000E2D85"/>
    <w:rsid w:val="000E317C"/>
    <w:rsid w:val="000E359B"/>
    <w:rsid w:val="000E46EC"/>
    <w:rsid w:val="000F2485"/>
    <w:rsid w:val="000F3722"/>
    <w:rsid w:val="001023DC"/>
    <w:rsid w:val="0010643C"/>
    <w:rsid w:val="0011026C"/>
    <w:rsid w:val="00110D41"/>
    <w:rsid w:val="0011235B"/>
    <w:rsid w:val="001135C3"/>
    <w:rsid w:val="0011475A"/>
    <w:rsid w:val="001154DA"/>
    <w:rsid w:val="00116E55"/>
    <w:rsid w:val="00123E76"/>
    <w:rsid w:val="001246B8"/>
    <w:rsid w:val="001260CA"/>
    <w:rsid w:val="0013276F"/>
    <w:rsid w:val="00133367"/>
    <w:rsid w:val="001363B7"/>
    <w:rsid w:val="00136620"/>
    <w:rsid w:val="0014040B"/>
    <w:rsid w:val="00140BC2"/>
    <w:rsid w:val="001421BD"/>
    <w:rsid w:val="0014271E"/>
    <w:rsid w:val="00144366"/>
    <w:rsid w:val="00144D19"/>
    <w:rsid w:val="0014564F"/>
    <w:rsid w:val="00145CCD"/>
    <w:rsid w:val="00146500"/>
    <w:rsid w:val="00151D41"/>
    <w:rsid w:val="001602E8"/>
    <w:rsid w:val="00167AAD"/>
    <w:rsid w:val="00174F7A"/>
    <w:rsid w:val="001751CE"/>
    <w:rsid w:val="00175EAC"/>
    <w:rsid w:val="0017756C"/>
    <w:rsid w:val="00180024"/>
    <w:rsid w:val="0018194B"/>
    <w:rsid w:val="00186588"/>
    <w:rsid w:val="001874C7"/>
    <w:rsid w:val="0019348A"/>
    <w:rsid w:val="00197EE5"/>
    <w:rsid w:val="001A02F7"/>
    <w:rsid w:val="001A0BDF"/>
    <w:rsid w:val="001A3098"/>
    <w:rsid w:val="001B1F41"/>
    <w:rsid w:val="001B32AB"/>
    <w:rsid w:val="001B7591"/>
    <w:rsid w:val="001C0FAA"/>
    <w:rsid w:val="001C26C5"/>
    <w:rsid w:val="001C4033"/>
    <w:rsid w:val="001D0A07"/>
    <w:rsid w:val="001D321F"/>
    <w:rsid w:val="001D422E"/>
    <w:rsid w:val="001E1738"/>
    <w:rsid w:val="001E1844"/>
    <w:rsid w:val="001F78FC"/>
    <w:rsid w:val="00201304"/>
    <w:rsid w:val="00207F5C"/>
    <w:rsid w:val="0021035E"/>
    <w:rsid w:val="002113F8"/>
    <w:rsid w:val="002117B2"/>
    <w:rsid w:val="0021327A"/>
    <w:rsid w:val="00220F06"/>
    <w:rsid w:val="002213FD"/>
    <w:rsid w:val="002255F7"/>
    <w:rsid w:val="0022660D"/>
    <w:rsid w:val="00230757"/>
    <w:rsid w:val="0023702B"/>
    <w:rsid w:val="002414C5"/>
    <w:rsid w:val="00245211"/>
    <w:rsid w:val="00252EAA"/>
    <w:rsid w:val="002544E9"/>
    <w:rsid w:val="002602F2"/>
    <w:rsid w:val="002711CF"/>
    <w:rsid w:val="00273E08"/>
    <w:rsid w:val="00284886"/>
    <w:rsid w:val="0028692E"/>
    <w:rsid w:val="0028794E"/>
    <w:rsid w:val="002942FD"/>
    <w:rsid w:val="00296293"/>
    <w:rsid w:val="002976F7"/>
    <w:rsid w:val="002A5E30"/>
    <w:rsid w:val="002B12C9"/>
    <w:rsid w:val="002B39E7"/>
    <w:rsid w:val="002B5349"/>
    <w:rsid w:val="002B61E4"/>
    <w:rsid w:val="002B7524"/>
    <w:rsid w:val="002C1781"/>
    <w:rsid w:val="002C253D"/>
    <w:rsid w:val="002C3343"/>
    <w:rsid w:val="002C5119"/>
    <w:rsid w:val="002C53FE"/>
    <w:rsid w:val="002D163C"/>
    <w:rsid w:val="002D465F"/>
    <w:rsid w:val="002D484E"/>
    <w:rsid w:val="002D6F33"/>
    <w:rsid w:val="002F4566"/>
    <w:rsid w:val="002F6FB8"/>
    <w:rsid w:val="00300285"/>
    <w:rsid w:val="003052F8"/>
    <w:rsid w:val="003061E7"/>
    <w:rsid w:val="003062E0"/>
    <w:rsid w:val="00312DCA"/>
    <w:rsid w:val="0031417E"/>
    <w:rsid w:val="00315B3F"/>
    <w:rsid w:val="003220CF"/>
    <w:rsid w:val="0032701F"/>
    <w:rsid w:val="0033166F"/>
    <w:rsid w:val="00331D22"/>
    <w:rsid w:val="003326C8"/>
    <w:rsid w:val="003340A0"/>
    <w:rsid w:val="003348D1"/>
    <w:rsid w:val="003366B7"/>
    <w:rsid w:val="003378AB"/>
    <w:rsid w:val="0034531C"/>
    <w:rsid w:val="00351E4A"/>
    <w:rsid w:val="0035560D"/>
    <w:rsid w:val="00360F48"/>
    <w:rsid w:val="003616AD"/>
    <w:rsid w:val="00363AFF"/>
    <w:rsid w:val="00373F31"/>
    <w:rsid w:val="003743B8"/>
    <w:rsid w:val="00374A9A"/>
    <w:rsid w:val="0037698D"/>
    <w:rsid w:val="00376EF0"/>
    <w:rsid w:val="00381263"/>
    <w:rsid w:val="00384E0F"/>
    <w:rsid w:val="00385EA1"/>
    <w:rsid w:val="00387D98"/>
    <w:rsid w:val="003924F5"/>
    <w:rsid w:val="00394FBE"/>
    <w:rsid w:val="00395FB1"/>
    <w:rsid w:val="00396E75"/>
    <w:rsid w:val="00396F20"/>
    <w:rsid w:val="003A0F00"/>
    <w:rsid w:val="003A254F"/>
    <w:rsid w:val="003A3E4C"/>
    <w:rsid w:val="003A66BE"/>
    <w:rsid w:val="003B3FA8"/>
    <w:rsid w:val="003B4054"/>
    <w:rsid w:val="003C2DAF"/>
    <w:rsid w:val="003C5C3E"/>
    <w:rsid w:val="003D151E"/>
    <w:rsid w:val="003D4804"/>
    <w:rsid w:val="003D55AF"/>
    <w:rsid w:val="003D5BBB"/>
    <w:rsid w:val="003E2EEB"/>
    <w:rsid w:val="003E65D1"/>
    <w:rsid w:val="003F0958"/>
    <w:rsid w:val="003F1809"/>
    <w:rsid w:val="003F27C3"/>
    <w:rsid w:val="003F45BF"/>
    <w:rsid w:val="003F7C82"/>
    <w:rsid w:val="004124F1"/>
    <w:rsid w:val="004236D5"/>
    <w:rsid w:val="004443F1"/>
    <w:rsid w:val="00445CF8"/>
    <w:rsid w:val="00452387"/>
    <w:rsid w:val="004525BC"/>
    <w:rsid w:val="004602C1"/>
    <w:rsid w:val="004639D0"/>
    <w:rsid w:val="00466A39"/>
    <w:rsid w:val="00467B5A"/>
    <w:rsid w:val="00481012"/>
    <w:rsid w:val="00486DAC"/>
    <w:rsid w:val="004956E6"/>
    <w:rsid w:val="004975D5"/>
    <w:rsid w:val="00497AA0"/>
    <w:rsid w:val="004A0477"/>
    <w:rsid w:val="004A149F"/>
    <w:rsid w:val="004A26F1"/>
    <w:rsid w:val="004A6750"/>
    <w:rsid w:val="004B221E"/>
    <w:rsid w:val="004C2332"/>
    <w:rsid w:val="004C3D61"/>
    <w:rsid w:val="004C3FEC"/>
    <w:rsid w:val="004C4E9A"/>
    <w:rsid w:val="004C5339"/>
    <w:rsid w:val="004C5B0C"/>
    <w:rsid w:val="004C5B39"/>
    <w:rsid w:val="004C5F6E"/>
    <w:rsid w:val="004C6605"/>
    <w:rsid w:val="004C6C2F"/>
    <w:rsid w:val="004C7E21"/>
    <w:rsid w:val="004D01A3"/>
    <w:rsid w:val="004D1985"/>
    <w:rsid w:val="004D581B"/>
    <w:rsid w:val="004E6ABF"/>
    <w:rsid w:val="004F0270"/>
    <w:rsid w:val="004F3318"/>
    <w:rsid w:val="004F4361"/>
    <w:rsid w:val="004F4577"/>
    <w:rsid w:val="00500FEF"/>
    <w:rsid w:val="005036F1"/>
    <w:rsid w:val="00503B74"/>
    <w:rsid w:val="0050659E"/>
    <w:rsid w:val="00507650"/>
    <w:rsid w:val="00507665"/>
    <w:rsid w:val="00513DDA"/>
    <w:rsid w:val="00514B29"/>
    <w:rsid w:val="005213E4"/>
    <w:rsid w:val="00523779"/>
    <w:rsid w:val="0052467A"/>
    <w:rsid w:val="0052491B"/>
    <w:rsid w:val="0052650C"/>
    <w:rsid w:val="0053105B"/>
    <w:rsid w:val="0053243E"/>
    <w:rsid w:val="005351D8"/>
    <w:rsid w:val="00542DDB"/>
    <w:rsid w:val="00544247"/>
    <w:rsid w:val="00547BFC"/>
    <w:rsid w:val="00550D4B"/>
    <w:rsid w:val="0055496D"/>
    <w:rsid w:val="00554D45"/>
    <w:rsid w:val="005557FB"/>
    <w:rsid w:val="005666EC"/>
    <w:rsid w:val="00573A9A"/>
    <w:rsid w:val="005815EF"/>
    <w:rsid w:val="00583B40"/>
    <w:rsid w:val="005845D5"/>
    <w:rsid w:val="005850F3"/>
    <w:rsid w:val="00586E09"/>
    <w:rsid w:val="005910EB"/>
    <w:rsid w:val="00591DBA"/>
    <w:rsid w:val="00594D71"/>
    <w:rsid w:val="00594F10"/>
    <w:rsid w:val="005A1192"/>
    <w:rsid w:val="005A12F4"/>
    <w:rsid w:val="005A23FB"/>
    <w:rsid w:val="005A3AE9"/>
    <w:rsid w:val="005B16C1"/>
    <w:rsid w:val="005B4A1D"/>
    <w:rsid w:val="005B4C4F"/>
    <w:rsid w:val="005B50F4"/>
    <w:rsid w:val="005B5BEB"/>
    <w:rsid w:val="005B76B0"/>
    <w:rsid w:val="005B7962"/>
    <w:rsid w:val="005C205E"/>
    <w:rsid w:val="005C4C75"/>
    <w:rsid w:val="005D6180"/>
    <w:rsid w:val="005E1622"/>
    <w:rsid w:val="005E1EE5"/>
    <w:rsid w:val="005E7784"/>
    <w:rsid w:val="005F7899"/>
    <w:rsid w:val="006013DF"/>
    <w:rsid w:val="00601D7A"/>
    <w:rsid w:val="006036C7"/>
    <w:rsid w:val="00605E95"/>
    <w:rsid w:val="00623552"/>
    <w:rsid w:val="0062595D"/>
    <w:rsid w:val="00627917"/>
    <w:rsid w:val="00627F76"/>
    <w:rsid w:val="00635701"/>
    <w:rsid w:val="00642388"/>
    <w:rsid w:val="00646333"/>
    <w:rsid w:val="00647011"/>
    <w:rsid w:val="00647749"/>
    <w:rsid w:val="00647A00"/>
    <w:rsid w:val="006522DE"/>
    <w:rsid w:val="00653A73"/>
    <w:rsid w:val="00654E87"/>
    <w:rsid w:val="006605CF"/>
    <w:rsid w:val="0066212B"/>
    <w:rsid w:val="006630E0"/>
    <w:rsid w:val="006637F7"/>
    <w:rsid w:val="00665593"/>
    <w:rsid w:val="006659B3"/>
    <w:rsid w:val="0067058B"/>
    <w:rsid w:val="00675536"/>
    <w:rsid w:val="00675CB0"/>
    <w:rsid w:val="00677322"/>
    <w:rsid w:val="006815C4"/>
    <w:rsid w:val="00692991"/>
    <w:rsid w:val="00692B16"/>
    <w:rsid w:val="006956B3"/>
    <w:rsid w:val="0069658C"/>
    <w:rsid w:val="006A07C2"/>
    <w:rsid w:val="006A1512"/>
    <w:rsid w:val="006A2289"/>
    <w:rsid w:val="006A348B"/>
    <w:rsid w:val="006A4DB7"/>
    <w:rsid w:val="006A66FD"/>
    <w:rsid w:val="006B7B45"/>
    <w:rsid w:val="006C2070"/>
    <w:rsid w:val="006C3342"/>
    <w:rsid w:val="006C44BD"/>
    <w:rsid w:val="006D0466"/>
    <w:rsid w:val="006D1F5B"/>
    <w:rsid w:val="006D553E"/>
    <w:rsid w:val="006D6A3B"/>
    <w:rsid w:val="006D6AD4"/>
    <w:rsid w:val="006E241F"/>
    <w:rsid w:val="006E513A"/>
    <w:rsid w:val="006F0477"/>
    <w:rsid w:val="006F38F2"/>
    <w:rsid w:val="006F68E3"/>
    <w:rsid w:val="00711F1F"/>
    <w:rsid w:val="0071251C"/>
    <w:rsid w:val="00712969"/>
    <w:rsid w:val="007147F7"/>
    <w:rsid w:val="007178A0"/>
    <w:rsid w:val="00723A45"/>
    <w:rsid w:val="00723D17"/>
    <w:rsid w:val="0072455A"/>
    <w:rsid w:val="007326DB"/>
    <w:rsid w:val="00732754"/>
    <w:rsid w:val="007335C1"/>
    <w:rsid w:val="00734130"/>
    <w:rsid w:val="00734DBE"/>
    <w:rsid w:val="00737297"/>
    <w:rsid w:val="00744F93"/>
    <w:rsid w:val="00746BA2"/>
    <w:rsid w:val="00753485"/>
    <w:rsid w:val="00763A41"/>
    <w:rsid w:val="00770224"/>
    <w:rsid w:val="00771AB2"/>
    <w:rsid w:val="007771F0"/>
    <w:rsid w:val="00780439"/>
    <w:rsid w:val="00780C98"/>
    <w:rsid w:val="00787006"/>
    <w:rsid w:val="00787214"/>
    <w:rsid w:val="0078755E"/>
    <w:rsid w:val="00787EB5"/>
    <w:rsid w:val="00792B63"/>
    <w:rsid w:val="0079467F"/>
    <w:rsid w:val="007972FA"/>
    <w:rsid w:val="007A720B"/>
    <w:rsid w:val="007B1CE9"/>
    <w:rsid w:val="007C1148"/>
    <w:rsid w:val="007C55A5"/>
    <w:rsid w:val="007D1966"/>
    <w:rsid w:val="007D64B6"/>
    <w:rsid w:val="007D7A61"/>
    <w:rsid w:val="007E0FF0"/>
    <w:rsid w:val="007E1018"/>
    <w:rsid w:val="007E6902"/>
    <w:rsid w:val="007F35ED"/>
    <w:rsid w:val="007F62FA"/>
    <w:rsid w:val="00806CAE"/>
    <w:rsid w:val="00813A70"/>
    <w:rsid w:val="00822CE1"/>
    <w:rsid w:val="00823B18"/>
    <w:rsid w:val="00832107"/>
    <w:rsid w:val="00841C66"/>
    <w:rsid w:val="00851084"/>
    <w:rsid w:val="008527BE"/>
    <w:rsid w:val="008570E9"/>
    <w:rsid w:val="00861D8C"/>
    <w:rsid w:val="00862AD3"/>
    <w:rsid w:val="0086540B"/>
    <w:rsid w:val="00872B07"/>
    <w:rsid w:val="00872C06"/>
    <w:rsid w:val="0087384E"/>
    <w:rsid w:val="008754B8"/>
    <w:rsid w:val="00875D32"/>
    <w:rsid w:val="0087662B"/>
    <w:rsid w:val="00882DA4"/>
    <w:rsid w:val="00884488"/>
    <w:rsid w:val="008912BB"/>
    <w:rsid w:val="00891726"/>
    <w:rsid w:val="00893EA9"/>
    <w:rsid w:val="008943B6"/>
    <w:rsid w:val="008A0D9C"/>
    <w:rsid w:val="008A1F1D"/>
    <w:rsid w:val="008A2CB1"/>
    <w:rsid w:val="008A45FD"/>
    <w:rsid w:val="008A601D"/>
    <w:rsid w:val="008A6949"/>
    <w:rsid w:val="008A6A7A"/>
    <w:rsid w:val="008A7D1A"/>
    <w:rsid w:val="008B325A"/>
    <w:rsid w:val="008C3979"/>
    <w:rsid w:val="008C7586"/>
    <w:rsid w:val="008D1106"/>
    <w:rsid w:val="008D4D84"/>
    <w:rsid w:val="008D5DC4"/>
    <w:rsid w:val="008F0798"/>
    <w:rsid w:val="008F1A43"/>
    <w:rsid w:val="008F588C"/>
    <w:rsid w:val="008F759E"/>
    <w:rsid w:val="0090256B"/>
    <w:rsid w:val="009029EE"/>
    <w:rsid w:val="00904FA1"/>
    <w:rsid w:val="00905300"/>
    <w:rsid w:val="00906E0F"/>
    <w:rsid w:val="00910C31"/>
    <w:rsid w:val="0091308F"/>
    <w:rsid w:val="009157C6"/>
    <w:rsid w:val="0093382F"/>
    <w:rsid w:val="0093570D"/>
    <w:rsid w:val="00935A28"/>
    <w:rsid w:val="009373CC"/>
    <w:rsid w:val="00940A92"/>
    <w:rsid w:val="00944F49"/>
    <w:rsid w:val="00945272"/>
    <w:rsid w:val="00947D4D"/>
    <w:rsid w:val="00950BE5"/>
    <w:rsid w:val="00950F3F"/>
    <w:rsid w:val="00956940"/>
    <w:rsid w:val="0095741C"/>
    <w:rsid w:val="009600AD"/>
    <w:rsid w:val="00962676"/>
    <w:rsid w:val="00962F74"/>
    <w:rsid w:val="00964141"/>
    <w:rsid w:val="00965E6F"/>
    <w:rsid w:val="009670DA"/>
    <w:rsid w:val="00983937"/>
    <w:rsid w:val="00983999"/>
    <w:rsid w:val="009876DA"/>
    <w:rsid w:val="00994DB4"/>
    <w:rsid w:val="00996093"/>
    <w:rsid w:val="00996634"/>
    <w:rsid w:val="00997197"/>
    <w:rsid w:val="00997675"/>
    <w:rsid w:val="00997C16"/>
    <w:rsid w:val="009A1A54"/>
    <w:rsid w:val="009A1F68"/>
    <w:rsid w:val="009A5573"/>
    <w:rsid w:val="009A5B6A"/>
    <w:rsid w:val="009B0C69"/>
    <w:rsid w:val="009B1EBC"/>
    <w:rsid w:val="009B2C64"/>
    <w:rsid w:val="009B2E53"/>
    <w:rsid w:val="009D0D7D"/>
    <w:rsid w:val="009D48E9"/>
    <w:rsid w:val="009E7040"/>
    <w:rsid w:val="009E798C"/>
    <w:rsid w:val="009F46CF"/>
    <w:rsid w:val="009F4F40"/>
    <w:rsid w:val="009F5EE5"/>
    <w:rsid w:val="00A00F6F"/>
    <w:rsid w:val="00A02928"/>
    <w:rsid w:val="00A03731"/>
    <w:rsid w:val="00A11A8E"/>
    <w:rsid w:val="00A133EF"/>
    <w:rsid w:val="00A17C7F"/>
    <w:rsid w:val="00A207A7"/>
    <w:rsid w:val="00A25941"/>
    <w:rsid w:val="00A50148"/>
    <w:rsid w:val="00A50344"/>
    <w:rsid w:val="00A53B7C"/>
    <w:rsid w:val="00A5447E"/>
    <w:rsid w:val="00A57FBD"/>
    <w:rsid w:val="00A62CE9"/>
    <w:rsid w:val="00A639BA"/>
    <w:rsid w:val="00A673E3"/>
    <w:rsid w:val="00A67EFC"/>
    <w:rsid w:val="00A70EA4"/>
    <w:rsid w:val="00A744CB"/>
    <w:rsid w:val="00A830ED"/>
    <w:rsid w:val="00A90781"/>
    <w:rsid w:val="00AA0710"/>
    <w:rsid w:val="00AA2E56"/>
    <w:rsid w:val="00AA4F23"/>
    <w:rsid w:val="00AC0AE5"/>
    <w:rsid w:val="00AC67DD"/>
    <w:rsid w:val="00AE4CAD"/>
    <w:rsid w:val="00AE5185"/>
    <w:rsid w:val="00AE7142"/>
    <w:rsid w:val="00AF3BFD"/>
    <w:rsid w:val="00AF4959"/>
    <w:rsid w:val="00AF4F20"/>
    <w:rsid w:val="00AF5841"/>
    <w:rsid w:val="00AF5D39"/>
    <w:rsid w:val="00B0018E"/>
    <w:rsid w:val="00B013B3"/>
    <w:rsid w:val="00B01547"/>
    <w:rsid w:val="00B05043"/>
    <w:rsid w:val="00B05211"/>
    <w:rsid w:val="00B053D7"/>
    <w:rsid w:val="00B16647"/>
    <w:rsid w:val="00B21E22"/>
    <w:rsid w:val="00B2568B"/>
    <w:rsid w:val="00B26ABC"/>
    <w:rsid w:val="00B30127"/>
    <w:rsid w:val="00B3479F"/>
    <w:rsid w:val="00B42D4A"/>
    <w:rsid w:val="00B439B8"/>
    <w:rsid w:val="00B44D00"/>
    <w:rsid w:val="00B455CE"/>
    <w:rsid w:val="00B50885"/>
    <w:rsid w:val="00B50E69"/>
    <w:rsid w:val="00B51305"/>
    <w:rsid w:val="00B55834"/>
    <w:rsid w:val="00B5757C"/>
    <w:rsid w:val="00B57C33"/>
    <w:rsid w:val="00B61EB8"/>
    <w:rsid w:val="00B64EEE"/>
    <w:rsid w:val="00B6714E"/>
    <w:rsid w:val="00B752F3"/>
    <w:rsid w:val="00B81EBE"/>
    <w:rsid w:val="00B850BA"/>
    <w:rsid w:val="00B85678"/>
    <w:rsid w:val="00B94CB2"/>
    <w:rsid w:val="00BA0B87"/>
    <w:rsid w:val="00BA215E"/>
    <w:rsid w:val="00BB1504"/>
    <w:rsid w:val="00BB17F1"/>
    <w:rsid w:val="00BB1832"/>
    <w:rsid w:val="00BC3C1B"/>
    <w:rsid w:val="00BC4029"/>
    <w:rsid w:val="00BC427C"/>
    <w:rsid w:val="00BC47E4"/>
    <w:rsid w:val="00BC78A7"/>
    <w:rsid w:val="00BD1E36"/>
    <w:rsid w:val="00BD28EF"/>
    <w:rsid w:val="00BE2082"/>
    <w:rsid w:val="00BF23D4"/>
    <w:rsid w:val="00BF41A1"/>
    <w:rsid w:val="00C045C2"/>
    <w:rsid w:val="00C05D67"/>
    <w:rsid w:val="00C07A1A"/>
    <w:rsid w:val="00C10A3E"/>
    <w:rsid w:val="00C14F68"/>
    <w:rsid w:val="00C156D1"/>
    <w:rsid w:val="00C16200"/>
    <w:rsid w:val="00C205DB"/>
    <w:rsid w:val="00C2339E"/>
    <w:rsid w:val="00C32267"/>
    <w:rsid w:val="00C32FF3"/>
    <w:rsid w:val="00C374CB"/>
    <w:rsid w:val="00C374D1"/>
    <w:rsid w:val="00C407BE"/>
    <w:rsid w:val="00C4507A"/>
    <w:rsid w:val="00C50269"/>
    <w:rsid w:val="00C50E8D"/>
    <w:rsid w:val="00C50EE2"/>
    <w:rsid w:val="00C55721"/>
    <w:rsid w:val="00C56478"/>
    <w:rsid w:val="00C56D60"/>
    <w:rsid w:val="00C5702F"/>
    <w:rsid w:val="00C656CC"/>
    <w:rsid w:val="00C66813"/>
    <w:rsid w:val="00C72795"/>
    <w:rsid w:val="00C74D77"/>
    <w:rsid w:val="00C7672D"/>
    <w:rsid w:val="00C770BA"/>
    <w:rsid w:val="00C8059D"/>
    <w:rsid w:val="00C83FEB"/>
    <w:rsid w:val="00C94AE8"/>
    <w:rsid w:val="00CA612D"/>
    <w:rsid w:val="00CA61F8"/>
    <w:rsid w:val="00CB11C4"/>
    <w:rsid w:val="00CB1BF8"/>
    <w:rsid w:val="00CB4671"/>
    <w:rsid w:val="00CC2408"/>
    <w:rsid w:val="00CC2AFD"/>
    <w:rsid w:val="00CD2136"/>
    <w:rsid w:val="00CE2F0E"/>
    <w:rsid w:val="00CE40C6"/>
    <w:rsid w:val="00CF109E"/>
    <w:rsid w:val="00CF11B2"/>
    <w:rsid w:val="00D00168"/>
    <w:rsid w:val="00D00843"/>
    <w:rsid w:val="00D01CE1"/>
    <w:rsid w:val="00D05BD7"/>
    <w:rsid w:val="00D13F24"/>
    <w:rsid w:val="00D165D7"/>
    <w:rsid w:val="00D22297"/>
    <w:rsid w:val="00D23A95"/>
    <w:rsid w:val="00D24FD8"/>
    <w:rsid w:val="00D267AA"/>
    <w:rsid w:val="00D324D6"/>
    <w:rsid w:val="00D324F5"/>
    <w:rsid w:val="00D32BDB"/>
    <w:rsid w:val="00D32EA3"/>
    <w:rsid w:val="00D35D9A"/>
    <w:rsid w:val="00D37B78"/>
    <w:rsid w:val="00D5657C"/>
    <w:rsid w:val="00D6627D"/>
    <w:rsid w:val="00D706D7"/>
    <w:rsid w:val="00D73890"/>
    <w:rsid w:val="00D73A61"/>
    <w:rsid w:val="00D82A67"/>
    <w:rsid w:val="00D858CB"/>
    <w:rsid w:val="00D87194"/>
    <w:rsid w:val="00D94B1C"/>
    <w:rsid w:val="00DA42CD"/>
    <w:rsid w:val="00DA47E6"/>
    <w:rsid w:val="00DA5C73"/>
    <w:rsid w:val="00DC2D80"/>
    <w:rsid w:val="00DC4276"/>
    <w:rsid w:val="00DC6CFF"/>
    <w:rsid w:val="00DC6FE4"/>
    <w:rsid w:val="00DD18D2"/>
    <w:rsid w:val="00DD5096"/>
    <w:rsid w:val="00DD580D"/>
    <w:rsid w:val="00DD6556"/>
    <w:rsid w:val="00DD724D"/>
    <w:rsid w:val="00DE052B"/>
    <w:rsid w:val="00DE4080"/>
    <w:rsid w:val="00DE43A9"/>
    <w:rsid w:val="00DF0C5C"/>
    <w:rsid w:val="00DF18FD"/>
    <w:rsid w:val="00DF19A0"/>
    <w:rsid w:val="00DF3A08"/>
    <w:rsid w:val="00E02B28"/>
    <w:rsid w:val="00E03C04"/>
    <w:rsid w:val="00E0668C"/>
    <w:rsid w:val="00E076CB"/>
    <w:rsid w:val="00E154A7"/>
    <w:rsid w:val="00E2379C"/>
    <w:rsid w:val="00E26443"/>
    <w:rsid w:val="00E26FAE"/>
    <w:rsid w:val="00E27583"/>
    <w:rsid w:val="00E300CD"/>
    <w:rsid w:val="00E30163"/>
    <w:rsid w:val="00E3432D"/>
    <w:rsid w:val="00E450CC"/>
    <w:rsid w:val="00E54730"/>
    <w:rsid w:val="00E611F0"/>
    <w:rsid w:val="00E664B0"/>
    <w:rsid w:val="00E75486"/>
    <w:rsid w:val="00E8203B"/>
    <w:rsid w:val="00E844D7"/>
    <w:rsid w:val="00E86EB3"/>
    <w:rsid w:val="00E9113A"/>
    <w:rsid w:val="00E93119"/>
    <w:rsid w:val="00E943CC"/>
    <w:rsid w:val="00EA2640"/>
    <w:rsid w:val="00EA2AB2"/>
    <w:rsid w:val="00EA6B39"/>
    <w:rsid w:val="00EA79FB"/>
    <w:rsid w:val="00EB061C"/>
    <w:rsid w:val="00EB7757"/>
    <w:rsid w:val="00EB78FC"/>
    <w:rsid w:val="00EC0E92"/>
    <w:rsid w:val="00EC5242"/>
    <w:rsid w:val="00EC78AB"/>
    <w:rsid w:val="00ED101E"/>
    <w:rsid w:val="00ED5A44"/>
    <w:rsid w:val="00EE6030"/>
    <w:rsid w:val="00F0159D"/>
    <w:rsid w:val="00F01A7D"/>
    <w:rsid w:val="00F04510"/>
    <w:rsid w:val="00F0638E"/>
    <w:rsid w:val="00F14AC5"/>
    <w:rsid w:val="00F26CF7"/>
    <w:rsid w:val="00F27AD5"/>
    <w:rsid w:val="00F27C12"/>
    <w:rsid w:val="00F307D0"/>
    <w:rsid w:val="00F316DF"/>
    <w:rsid w:val="00F31DEE"/>
    <w:rsid w:val="00F32577"/>
    <w:rsid w:val="00F33FFE"/>
    <w:rsid w:val="00F34235"/>
    <w:rsid w:val="00F4191A"/>
    <w:rsid w:val="00F42ABC"/>
    <w:rsid w:val="00F4599D"/>
    <w:rsid w:val="00F52E50"/>
    <w:rsid w:val="00F56DF4"/>
    <w:rsid w:val="00F669B5"/>
    <w:rsid w:val="00F75904"/>
    <w:rsid w:val="00F93038"/>
    <w:rsid w:val="00F9506E"/>
    <w:rsid w:val="00F96CDA"/>
    <w:rsid w:val="00FA0138"/>
    <w:rsid w:val="00FA18FA"/>
    <w:rsid w:val="00FA427A"/>
    <w:rsid w:val="00FA682C"/>
    <w:rsid w:val="00FA7CAC"/>
    <w:rsid w:val="00FB483C"/>
    <w:rsid w:val="00FD21A2"/>
    <w:rsid w:val="00FD6009"/>
    <w:rsid w:val="00FE08DB"/>
    <w:rsid w:val="00FE0D54"/>
    <w:rsid w:val="00FE3E15"/>
    <w:rsid w:val="00FE46D8"/>
    <w:rsid w:val="02CB2401"/>
    <w:rsid w:val="0AA820E8"/>
    <w:rsid w:val="0E92577F"/>
    <w:rsid w:val="105F690C"/>
    <w:rsid w:val="15D41EAF"/>
    <w:rsid w:val="191422EC"/>
    <w:rsid w:val="1B557B2C"/>
    <w:rsid w:val="1B5C5F55"/>
    <w:rsid w:val="1DDD372E"/>
    <w:rsid w:val="232A3313"/>
    <w:rsid w:val="26166A69"/>
    <w:rsid w:val="263329FB"/>
    <w:rsid w:val="26D26F7C"/>
    <w:rsid w:val="2787485E"/>
    <w:rsid w:val="33CF4B28"/>
    <w:rsid w:val="35961C71"/>
    <w:rsid w:val="3916468B"/>
    <w:rsid w:val="3A2D769D"/>
    <w:rsid w:val="3D807B4A"/>
    <w:rsid w:val="3F0D2249"/>
    <w:rsid w:val="404A64FF"/>
    <w:rsid w:val="44D31043"/>
    <w:rsid w:val="46D41A15"/>
    <w:rsid w:val="4D167642"/>
    <w:rsid w:val="4FE75D4E"/>
    <w:rsid w:val="546D6FAE"/>
    <w:rsid w:val="56706BE3"/>
    <w:rsid w:val="58E46E5D"/>
    <w:rsid w:val="59076927"/>
    <w:rsid w:val="59702BF1"/>
    <w:rsid w:val="5EA436CC"/>
    <w:rsid w:val="61D62754"/>
    <w:rsid w:val="68DC676D"/>
    <w:rsid w:val="6B57384D"/>
    <w:rsid w:val="70185D77"/>
    <w:rsid w:val="71085D00"/>
    <w:rsid w:val="714922B9"/>
    <w:rsid w:val="72156846"/>
    <w:rsid w:val="725A5023"/>
    <w:rsid w:val="754F570C"/>
    <w:rsid w:val="7B531337"/>
    <w:rsid w:val="7F962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简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仿宋_GB2312" w:hAnsi="Times New Roman" w:eastAsia="仿宋_GB2312" w:cstheme="minorBidi"/>
      <w:kern w:val="2"/>
      <w:sz w:val="32"/>
      <w:szCs w:val="24"/>
      <w:lang w:val="en-US" w:eastAsia="zh-CN" w:bidi="ar-SA"/>
    </w:rPr>
  </w:style>
  <w:style w:type="paragraph" w:styleId="2">
    <w:name w:val="heading 1"/>
    <w:basedOn w:val="1"/>
    <w:next w:val="1"/>
    <w:link w:val="39"/>
    <w:qFormat/>
    <w:uiPriority w:val="9"/>
    <w:pPr>
      <w:keepNext/>
      <w:keepLines/>
      <w:spacing w:beforeLines="50" w:afterLines="50"/>
      <w:ind w:firstLine="0" w:firstLineChars="0"/>
      <w:jc w:val="center"/>
      <w:outlineLvl w:val="0"/>
    </w:pPr>
    <w:rPr>
      <w:rFonts w:eastAsia="方正小标宋简体" w:cs="Times New Roman"/>
      <w:bCs/>
      <w:kern w:val="44"/>
      <w:sz w:val="36"/>
      <w:szCs w:val="44"/>
    </w:rPr>
  </w:style>
  <w:style w:type="paragraph" w:styleId="3">
    <w:name w:val="heading 2"/>
    <w:basedOn w:val="1"/>
    <w:next w:val="1"/>
    <w:unhideWhenUsed/>
    <w:qFormat/>
    <w:uiPriority w:val="0"/>
    <w:pPr>
      <w:keepNext/>
      <w:keepLines/>
      <w:spacing w:beforeLines="50" w:afterLines="50"/>
      <w:ind w:firstLine="0" w:firstLineChars="0"/>
      <w:jc w:val="center"/>
      <w:outlineLvl w:val="1"/>
    </w:pPr>
    <w:rPr>
      <w:rFonts w:ascii="Cambria" w:hAnsi="Cambria" w:eastAsia="黑体" w:cs="黑体"/>
      <w:bCs/>
      <w:szCs w:val="32"/>
    </w:rPr>
  </w:style>
  <w:style w:type="paragraph" w:styleId="4">
    <w:name w:val="heading 3"/>
    <w:basedOn w:val="1"/>
    <w:next w:val="1"/>
    <w:link w:val="40"/>
    <w:qFormat/>
    <w:uiPriority w:val="0"/>
    <w:pPr>
      <w:keepNext/>
      <w:keepLines/>
      <w:outlineLvl w:val="2"/>
    </w:pPr>
    <w:rPr>
      <w:rFonts w:eastAsia="楷体_GB2312" w:cs="Times New Roman"/>
      <w:bCs/>
      <w:szCs w:val="32"/>
    </w:rPr>
  </w:style>
  <w:style w:type="paragraph" w:styleId="5">
    <w:name w:val="heading 4"/>
    <w:basedOn w:val="1"/>
    <w:next w:val="1"/>
    <w:link w:val="41"/>
    <w:qFormat/>
    <w:uiPriority w:val="0"/>
    <w:pPr>
      <w:keepNext/>
      <w:keepLines/>
      <w:adjustRightInd w:val="0"/>
      <w:ind w:firstLine="200"/>
      <w:jc w:val="left"/>
      <w:outlineLvl w:val="3"/>
    </w:pPr>
    <w:rPr>
      <w:rFonts w:cs="Times New Roman"/>
      <w:bCs/>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eastAsia="宋体" w:cs="Times New Roman"/>
      <w:sz w:val="18"/>
      <w:szCs w:val="18"/>
    </w:rPr>
  </w:style>
  <w:style w:type="paragraph" w:styleId="7">
    <w:name w:val="Normal Indent"/>
    <w:basedOn w:val="1"/>
    <w:unhideWhenUsed/>
    <w:qFormat/>
    <w:uiPriority w:val="99"/>
    <w:pPr>
      <w:ind w:firstLine="420"/>
    </w:pPr>
    <w:rPr>
      <w:rFonts w:eastAsia="宋体" w:cs="Times New Roman"/>
      <w:sz w:val="21"/>
      <w:szCs w:val="22"/>
    </w:rPr>
  </w:style>
  <w:style w:type="paragraph" w:styleId="8">
    <w:name w:val="caption"/>
    <w:basedOn w:val="1"/>
    <w:next w:val="1"/>
    <w:link w:val="60"/>
    <w:qFormat/>
    <w:uiPriority w:val="0"/>
    <w:rPr>
      <w:rFonts w:ascii="Cambria" w:hAnsi="Cambria" w:eastAsia="黑体"/>
      <w:sz w:val="20"/>
      <w:szCs w:val="20"/>
    </w:rPr>
  </w:style>
  <w:style w:type="paragraph" w:styleId="9">
    <w:name w:val="Document Map"/>
    <w:basedOn w:val="1"/>
    <w:link w:val="55"/>
    <w:qFormat/>
    <w:uiPriority w:val="0"/>
    <w:pPr>
      <w:ind w:firstLine="0" w:firstLineChars="0"/>
      <w:jc w:val="center"/>
    </w:pPr>
    <w:rPr>
      <w:rFonts w:ascii="宋体" w:eastAsia="宋体"/>
      <w:b/>
      <w:sz w:val="28"/>
      <w:szCs w:val="18"/>
    </w:rPr>
  </w:style>
  <w:style w:type="paragraph" w:styleId="10">
    <w:name w:val="annotation text"/>
    <w:basedOn w:val="1"/>
    <w:link w:val="42"/>
    <w:qFormat/>
    <w:uiPriority w:val="0"/>
    <w:pPr>
      <w:jc w:val="left"/>
    </w:pPr>
  </w:style>
  <w:style w:type="paragraph" w:styleId="11">
    <w:name w:val="Body Text"/>
    <w:basedOn w:val="1"/>
    <w:qFormat/>
    <w:uiPriority w:val="0"/>
    <w:pPr>
      <w:ind w:firstLine="200"/>
    </w:pPr>
    <w:rPr>
      <w:sz w:val="28"/>
    </w:rPr>
  </w:style>
  <w:style w:type="paragraph" w:styleId="12">
    <w:name w:val="toc 5"/>
    <w:basedOn w:val="1"/>
    <w:next w:val="1"/>
    <w:qFormat/>
    <w:uiPriority w:val="39"/>
    <w:pPr>
      <w:ind w:left="840"/>
      <w:jc w:val="left"/>
    </w:pPr>
    <w:rPr>
      <w:rFonts w:ascii="Calibri" w:hAnsi="Calibri" w:eastAsia="宋体" w:cs="Times New Roman"/>
      <w:sz w:val="18"/>
      <w:szCs w:val="18"/>
    </w:rPr>
  </w:style>
  <w:style w:type="paragraph" w:styleId="13">
    <w:name w:val="toc 3"/>
    <w:basedOn w:val="1"/>
    <w:next w:val="1"/>
    <w:qFormat/>
    <w:uiPriority w:val="39"/>
    <w:pPr>
      <w:ind w:left="840" w:leftChars="400"/>
    </w:pPr>
    <w:rPr>
      <w:rFonts w:eastAsia="楷体_GB2312"/>
      <w:sz w:val="28"/>
    </w:rPr>
  </w:style>
  <w:style w:type="paragraph" w:styleId="14">
    <w:name w:val="toc 8"/>
    <w:basedOn w:val="1"/>
    <w:next w:val="1"/>
    <w:qFormat/>
    <w:uiPriority w:val="39"/>
    <w:pPr>
      <w:ind w:left="1470"/>
      <w:jc w:val="left"/>
    </w:pPr>
    <w:rPr>
      <w:rFonts w:ascii="Calibri" w:hAnsi="Calibri" w:eastAsia="宋体" w:cs="Times New Roman"/>
      <w:sz w:val="18"/>
      <w:szCs w:val="18"/>
    </w:rPr>
  </w:style>
  <w:style w:type="paragraph" w:styleId="15">
    <w:name w:val="Date"/>
    <w:basedOn w:val="1"/>
    <w:next w:val="1"/>
    <w:link w:val="61"/>
    <w:qFormat/>
    <w:uiPriority w:val="0"/>
    <w:pPr>
      <w:ind w:left="100" w:leftChars="2500"/>
    </w:pPr>
    <w:rPr>
      <w:rFonts w:eastAsia="方正仿宋简体"/>
      <w:sz w:val="24"/>
    </w:rPr>
  </w:style>
  <w:style w:type="paragraph" w:styleId="16">
    <w:name w:val="Balloon Text"/>
    <w:basedOn w:val="1"/>
    <w:link w:val="43"/>
    <w:qFormat/>
    <w:uiPriority w:val="0"/>
    <w:pPr>
      <w:ind w:firstLine="0" w:firstLineChars="0"/>
      <w:jc w:val="center"/>
    </w:pPr>
    <w:rPr>
      <w:rFonts w:ascii="黑体" w:hAnsi="黑体" w:eastAsia="黑体"/>
      <w:sz w:val="44"/>
      <w:szCs w:val="44"/>
    </w:rPr>
  </w:style>
  <w:style w:type="paragraph" w:styleId="17">
    <w:name w:val="footer"/>
    <w:basedOn w:val="1"/>
    <w:link w:val="44"/>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ind w:firstLine="200"/>
    </w:pPr>
    <w:rPr>
      <w:rFonts w:eastAsia="黑体"/>
      <w:sz w:val="28"/>
    </w:rPr>
  </w:style>
  <w:style w:type="paragraph" w:styleId="20">
    <w:name w:val="toc 4"/>
    <w:basedOn w:val="1"/>
    <w:next w:val="1"/>
    <w:qFormat/>
    <w:uiPriority w:val="39"/>
    <w:pPr>
      <w:ind w:left="630"/>
      <w:jc w:val="left"/>
    </w:pPr>
    <w:rPr>
      <w:rFonts w:ascii="Calibri" w:hAnsi="Calibri" w:eastAsia="宋体" w:cs="Times New Roman"/>
      <w:sz w:val="18"/>
      <w:szCs w:val="18"/>
    </w:rPr>
  </w:style>
  <w:style w:type="paragraph" w:styleId="21">
    <w:name w:val="Subtitle"/>
    <w:basedOn w:val="1"/>
    <w:next w:val="1"/>
    <w:link w:val="49"/>
    <w:qFormat/>
    <w:uiPriority w:val="0"/>
    <w:pPr>
      <w:spacing w:before="240" w:after="60" w:line="312" w:lineRule="auto"/>
      <w:jc w:val="center"/>
      <w:outlineLvl w:val="1"/>
    </w:pPr>
    <w:rPr>
      <w:b/>
      <w:bCs/>
      <w:kern w:val="28"/>
      <w:szCs w:val="32"/>
    </w:rPr>
  </w:style>
  <w:style w:type="paragraph" w:styleId="22">
    <w:name w:val="footnote text"/>
    <w:basedOn w:val="1"/>
    <w:link w:val="56"/>
    <w:qFormat/>
    <w:uiPriority w:val="0"/>
    <w:pPr>
      <w:snapToGrid w:val="0"/>
      <w:jc w:val="left"/>
    </w:pPr>
    <w:rPr>
      <w:rFonts w:eastAsia="方正仿宋简体"/>
      <w:sz w:val="18"/>
      <w:szCs w:val="18"/>
    </w:rPr>
  </w:style>
  <w:style w:type="paragraph" w:styleId="23">
    <w:name w:val="toc 6"/>
    <w:basedOn w:val="1"/>
    <w:next w:val="1"/>
    <w:qFormat/>
    <w:uiPriority w:val="39"/>
    <w:pPr>
      <w:ind w:left="1050"/>
      <w:jc w:val="left"/>
    </w:pPr>
    <w:rPr>
      <w:rFonts w:ascii="Calibri" w:hAnsi="Calibri" w:eastAsia="宋体" w:cs="Times New Roman"/>
      <w:sz w:val="18"/>
      <w:szCs w:val="18"/>
    </w:rPr>
  </w:style>
  <w:style w:type="paragraph" w:styleId="24">
    <w:name w:val="toc 2"/>
    <w:basedOn w:val="1"/>
    <w:next w:val="1"/>
    <w:qFormat/>
    <w:uiPriority w:val="39"/>
    <w:pPr>
      <w:ind w:left="680" w:leftChars="200" w:firstLine="560"/>
    </w:pPr>
    <w:rPr>
      <w:rFonts w:eastAsia="楷体_GB2312"/>
      <w:sz w:val="28"/>
    </w:rPr>
  </w:style>
  <w:style w:type="paragraph" w:styleId="25">
    <w:name w:val="toc 9"/>
    <w:basedOn w:val="1"/>
    <w:next w:val="1"/>
    <w:qFormat/>
    <w:uiPriority w:val="39"/>
    <w:pPr>
      <w:ind w:left="1680"/>
      <w:jc w:val="left"/>
    </w:pPr>
    <w:rPr>
      <w:rFonts w:ascii="Calibri" w:hAnsi="Calibri" w:eastAsia="宋体" w:cs="Times New Roman"/>
      <w:sz w:val="18"/>
      <w:szCs w:val="18"/>
    </w:rPr>
  </w:style>
  <w:style w:type="paragraph" w:styleId="26">
    <w:name w:val="Normal (Web)"/>
    <w:basedOn w:val="1"/>
    <w:unhideWhenUsed/>
    <w:qFormat/>
    <w:uiPriority w:val="99"/>
    <w:pPr>
      <w:widowControl/>
      <w:spacing w:before="100" w:beforeAutospacing="1" w:after="100" w:afterAutospacing="1" w:line="560" w:lineRule="exact"/>
      <w:jc w:val="left"/>
    </w:pPr>
    <w:rPr>
      <w:rFonts w:ascii="宋体" w:hAnsi="宋体" w:cs="宋体"/>
      <w:kern w:val="0"/>
      <w:sz w:val="24"/>
    </w:rPr>
  </w:style>
  <w:style w:type="paragraph" w:styleId="27">
    <w:name w:val="Title"/>
    <w:basedOn w:val="1"/>
    <w:next w:val="1"/>
    <w:link w:val="109"/>
    <w:qFormat/>
    <w:uiPriority w:val="0"/>
    <w:pPr>
      <w:spacing w:before="240" w:after="240"/>
      <w:jc w:val="center"/>
      <w:outlineLvl w:val="0"/>
    </w:pPr>
    <w:rPr>
      <w:rFonts w:eastAsia="黑体" w:cstheme="majorBidi"/>
      <w:b/>
      <w:bCs/>
      <w:sz w:val="36"/>
      <w:szCs w:val="32"/>
    </w:rPr>
  </w:style>
  <w:style w:type="paragraph" w:styleId="28">
    <w:name w:val="annotation subject"/>
    <w:basedOn w:val="10"/>
    <w:next w:val="10"/>
    <w:link w:val="45"/>
    <w:qFormat/>
    <w:uiPriority w:val="0"/>
    <w:rPr>
      <w:b/>
      <w:bCs/>
    </w:rPr>
  </w:style>
  <w:style w:type="table" w:styleId="30">
    <w:name w:val="Table Grid"/>
    <w:basedOn w:val="29"/>
    <w:qFormat/>
    <w:uiPriority w:val="0"/>
    <w:pPr>
      <w:widowControl w:val="0"/>
      <w:jc w:val="both"/>
    </w:pPr>
    <w:rPr>
      <w:rFonts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800080"/>
      <w:u w:val="single"/>
    </w:rPr>
  </w:style>
  <w:style w:type="character" w:styleId="35">
    <w:name w:val="Emphasis"/>
    <w:qFormat/>
    <w:uiPriority w:val="20"/>
    <w:rPr>
      <w:color w:val="CC0000"/>
    </w:rPr>
  </w:style>
  <w:style w:type="character" w:styleId="36">
    <w:name w:val="Hyperlink"/>
    <w:basedOn w:val="31"/>
    <w:unhideWhenUsed/>
    <w:qFormat/>
    <w:uiPriority w:val="99"/>
    <w:rPr>
      <w:color w:val="0563C1" w:themeColor="hyperlink"/>
      <w:u w:val="single"/>
      <w14:textFill>
        <w14:solidFill>
          <w14:schemeClr w14:val="hlink"/>
        </w14:solidFill>
      </w14:textFill>
    </w:rPr>
  </w:style>
  <w:style w:type="character" w:styleId="37">
    <w:name w:val="annotation reference"/>
    <w:basedOn w:val="31"/>
    <w:qFormat/>
    <w:uiPriority w:val="0"/>
    <w:rPr>
      <w:sz w:val="21"/>
      <w:szCs w:val="21"/>
    </w:rPr>
  </w:style>
  <w:style w:type="character" w:styleId="38">
    <w:name w:val="footnote reference"/>
    <w:qFormat/>
    <w:uiPriority w:val="0"/>
    <w:rPr>
      <w:vertAlign w:val="superscript"/>
    </w:rPr>
  </w:style>
  <w:style w:type="character" w:customStyle="1" w:styleId="39">
    <w:name w:val="标题 1 Char"/>
    <w:basedOn w:val="31"/>
    <w:link w:val="2"/>
    <w:qFormat/>
    <w:uiPriority w:val="9"/>
    <w:rPr>
      <w:rFonts w:ascii="仿宋_GB2312" w:eastAsia="方正小标宋简体" w:cs="Times New Roman"/>
      <w:bCs/>
      <w:kern w:val="44"/>
      <w:sz w:val="36"/>
      <w:szCs w:val="44"/>
    </w:rPr>
  </w:style>
  <w:style w:type="character" w:customStyle="1" w:styleId="40">
    <w:name w:val="标题 3 Char"/>
    <w:basedOn w:val="31"/>
    <w:link w:val="4"/>
    <w:qFormat/>
    <w:uiPriority w:val="0"/>
    <w:rPr>
      <w:rFonts w:ascii="仿宋_GB2312" w:eastAsia="楷体_GB2312" w:cs="Times New Roman"/>
      <w:bCs/>
      <w:kern w:val="2"/>
      <w:sz w:val="32"/>
      <w:szCs w:val="32"/>
    </w:rPr>
  </w:style>
  <w:style w:type="character" w:customStyle="1" w:styleId="41">
    <w:name w:val="标题 4 Char"/>
    <w:basedOn w:val="31"/>
    <w:link w:val="5"/>
    <w:qFormat/>
    <w:uiPriority w:val="0"/>
    <w:rPr>
      <w:rFonts w:ascii="仿宋_GB2312" w:eastAsia="仿宋_GB2312" w:cs="Times New Roman"/>
      <w:bCs/>
      <w:kern w:val="2"/>
      <w:sz w:val="32"/>
      <w:szCs w:val="28"/>
    </w:rPr>
  </w:style>
  <w:style w:type="character" w:customStyle="1" w:styleId="42">
    <w:name w:val="批注文字 Char"/>
    <w:basedOn w:val="31"/>
    <w:link w:val="10"/>
    <w:qFormat/>
    <w:uiPriority w:val="0"/>
    <w:rPr>
      <w:rFonts w:asciiTheme="minorHAnsi" w:hAnsiTheme="minorHAnsi" w:eastAsiaTheme="minorEastAsia"/>
      <w:kern w:val="2"/>
      <w:sz w:val="21"/>
      <w:szCs w:val="24"/>
    </w:rPr>
  </w:style>
  <w:style w:type="character" w:customStyle="1" w:styleId="43">
    <w:name w:val="批注框文本 Char"/>
    <w:basedOn w:val="31"/>
    <w:link w:val="16"/>
    <w:qFormat/>
    <w:uiPriority w:val="0"/>
    <w:rPr>
      <w:rFonts w:ascii="黑体" w:hAnsi="黑体" w:eastAsia="黑体"/>
      <w:kern w:val="2"/>
      <w:sz w:val="44"/>
      <w:szCs w:val="44"/>
    </w:rPr>
  </w:style>
  <w:style w:type="character" w:customStyle="1" w:styleId="44">
    <w:name w:val="页脚 Char"/>
    <w:link w:val="17"/>
    <w:qFormat/>
    <w:uiPriority w:val="99"/>
    <w:rPr>
      <w:rFonts w:eastAsia="仿宋_GB2312" w:asciiTheme="minorHAnsi" w:hAnsiTheme="minorHAnsi"/>
      <w:kern w:val="2"/>
      <w:sz w:val="18"/>
      <w:szCs w:val="24"/>
    </w:rPr>
  </w:style>
  <w:style w:type="character" w:customStyle="1" w:styleId="45">
    <w:name w:val="批注主题 Char"/>
    <w:basedOn w:val="42"/>
    <w:link w:val="28"/>
    <w:qFormat/>
    <w:uiPriority w:val="0"/>
    <w:rPr>
      <w:rFonts w:asciiTheme="minorHAnsi" w:hAnsiTheme="minorHAnsi" w:eastAsiaTheme="minorEastAsia"/>
      <w:b/>
      <w:bCs/>
      <w:kern w:val="2"/>
      <w:sz w:val="21"/>
      <w:szCs w:val="24"/>
    </w:rPr>
  </w:style>
  <w:style w:type="paragraph" w:customStyle="1" w:styleId="46">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8">
    <w:name w:val="Table Paragraph"/>
    <w:basedOn w:val="1"/>
    <w:qFormat/>
    <w:uiPriority w:val="1"/>
    <w:pPr>
      <w:autoSpaceDE w:val="0"/>
      <w:autoSpaceDN w:val="0"/>
      <w:adjustRightInd w:val="0"/>
      <w:ind w:left="354" w:right="49"/>
      <w:jc w:val="center"/>
    </w:pPr>
    <w:rPr>
      <w:rFonts w:ascii="宋体" w:eastAsia="宋体" w:cs="宋体"/>
      <w:kern w:val="0"/>
      <w:sz w:val="24"/>
    </w:rPr>
  </w:style>
  <w:style w:type="character" w:customStyle="1" w:styleId="49">
    <w:name w:val="副标题 Char"/>
    <w:basedOn w:val="31"/>
    <w:link w:val="21"/>
    <w:qFormat/>
    <w:uiPriority w:val="0"/>
    <w:rPr>
      <w:rFonts w:asciiTheme="minorHAnsi" w:hAnsiTheme="minorHAnsi" w:eastAsiaTheme="minorEastAsia"/>
      <w:b/>
      <w:bCs/>
      <w:kern w:val="28"/>
      <w:sz w:val="32"/>
      <w:szCs w:val="32"/>
    </w:rPr>
  </w:style>
  <w:style w:type="paragraph" w:styleId="50">
    <w:name w:val="List Paragraph"/>
    <w:basedOn w:val="1"/>
    <w:qFormat/>
    <w:uiPriority w:val="99"/>
    <w:pPr>
      <w:ind w:firstLine="420"/>
    </w:pPr>
  </w:style>
  <w:style w:type="character" w:customStyle="1" w:styleId="51">
    <w:name w:val="样式 (西文) 仿宋_GB2312 (中文) 仿宋_GB2312 黑色 Char"/>
    <w:basedOn w:val="31"/>
    <w:qFormat/>
    <w:uiPriority w:val="0"/>
    <w:rPr>
      <w:rFonts w:ascii="仿宋_GB2312" w:hAnsi="Times New Roman" w:eastAsia="仿宋_GB2312" w:cs="Times New Roman"/>
      <w:color w:val="000000"/>
      <w:sz w:val="28"/>
      <w:szCs w:val="24"/>
    </w:rPr>
  </w:style>
  <w:style w:type="character" w:customStyle="1" w:styleId="52">
    <w:name w:val="p0 Char"/>
    <w:link w:val="53"/>
    <w:qFormat/>
    <w:uiPriority w:val="0"/>
    <w:rPr>
      <w:rFonts w:eastAsia="宋体"/>
      <w:sz w:val="21"/>
      <w:szCs w:val="21"/>
    </w:rPr>
  </w:style>
  <w:style w:type="paragraph" w:customStyle="1" w:styleId="53">
    <w:name w:val="p0"/>
    <w:basedOn w:val="1"/>
    <w:link w:val="52"/>
    <w:qFormat/>
    <w:uiPriority w:val="0"/>
    <w:pPr>
      <w:widowControl/>
    </w:pPr>
    <w:rPr>
      <w:rFonts w:eastAsia="宋体"/>
      <w:kern w:val="0"/>
      <w:sz w:val="21"/>
      <w:szCs w:val="21"/>
    </w:rPr>
  </w:style>
  <w:style w:type="character" w:customStyle="1" w:styleId="54">
    <w:name w:val="访问过的超链接1"/>
    <w:unhideWhenUsed/>
    <w:qFormat/>
    <w:uiPriority w:val="99"/>
    <w:rPr>
      <w:color w:val="954F72"/>
      <w:u w:val="single"/>
    </w:rPr>
  </w:style>
  <w:style w:type="character" w:customStyle="1" w:styleId="55">
    <w:name w:val="文档结构图 Char"/>
    <w:link w:val="9"/>
    <w:qFormat/>
    <w:uiPriority w:val="0"/>
    <w:rPr>
      <w:rFonts w:ascii="宋体" w:eastAsia="宋体"/>
      <w:b/>
      <w:kern w:val="2"/>
      <w:sz w:val="28"/>
      <w:szCs w:val="18"/>
    </w:rPr>
  </w:style>
  <w:style w:type="character" w:customStyle="1" w:styleId="56">
    <w:name w:val="脚注文本 Char"/>
    <w:basedOn w:val="31"/>
    <w:link w:val="22"/>
    <w:qFormat/>
    <w:uiPriority w:val="0"/>
    <w:rPr>
      <w:kern w:val="2"/>
      <w:sz w:val="18"/>
      <w:szCs w:val="18"/>
    </w:rPr>
  </w:style>
  <w:style w:type="character" w:customStyle="1" w:styleId="57">
    <w:name w:val="apple-style-span"/>
    <w:qFormat/>
    <w:uiPriority w:val="0"/>
  </w:style>
  <w:style w:type="character" w:customStyle="1" w:styleId="58">
    <w:name w:val="表格内容 字符"/>
    <w:link w:val="59"/>
    <w:qFormat/>
    <w:locked/>
    <w:uiPriority w:val="0"/>
    <w:rPr>
      <w:rFonts w:ascii="仿宋_GB2312" w:eastAsia="仿宋_GB2312"/>
      <w:kern w:val="2"/>
      <w:sz w:val="21"/>
      <w:szCs w:val="30"/>
    </w:rPr>
  </w:style>
  <w:style w:type="paragraph" w:customStyle="1" w:styleId="59">
    <w:name w:val="表格内容"/>
    <w:basedOn w:val="1"/>
    <w:link w:val="58"/>
    <w:qFormat/>
    <w:uiPriority w:val="0"/>
    <w:pPr>
      <w:adjustRightInd w:val="0"/>
      <w:snapToGrid w:val="0"/>
      <w:spacing w:line="400" w:lineRule="exact"/>
      <w:ind w:firstLine="0" w:firstLineChars="0"/>
      <w:contextualSpacing/>
      <w:jc w:val="center"/>
    </w:pPr>
    <w:rPr>
      <w:sz w:val="21"/>
      <w:szCs w:val="30"/>
    </w:rPr>
  </w:style>
  <w:style w:type="character" w:customStyle="1" w:styleId="60">
    <w:name w:val="题注 Char"/>
    <w:link w:val="8"/>
    <w:qFormat/>
    <w:uiPriority w:val="0"/>
    <w:rPr>
      <w:rFonts w:ascii="Cambria" w:hAnsi="Cambria" w:eastAsia="黑体"/>
      <w:kern w:val="2"/>
    </w:rPr>
  </w:style>
  <w:style w:type="character" w:customStyle="1" w:styleId="61">
    <w:name w:val="日期 Char"/>
    <w:link w:val="15"/>
    <w:qFormat/>
    <w:uiPriority w:val="0"/>
    <w:rPr>
      <w:kern w:val="2"/>
      <w:sz w:val="24"/>
      <w:szCs w:val="24"/>
    </w:rPr>
  </w:style>
  <w:style w:type="paragraph" w:customStyle="1" w:styleId="62">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63">
    <w:name w:val="List Paragraph1"/>
    <w:basedOn w:val="1"/>
    <w:qFormat/>
    <w:uiPriority w:val="99"/>
    <w:pPr>
      <w:ind w:firstLine="420"/>
    </w:pPr>
    <w:rPr>
      <w:rFonts w:ascii="Calibri" w:hAnsi="Calibri" w:eastAsia="宋体" w:cs="黑体"/>
      <w:sz w:val="24"/>
      <w:szCs w:val="22"/>
    </w:rPr>
  </w:style>
  <w:style w:type="paragraph" w:customStyle="1" w:styleId="64">
    <w:name w:val="xl92"/>
    <w:basedOn w:val="1"/>
    <w:qFormat/>
    <w:uiPriority w:val="0"/>
    <w:pPr>
      <w:widowControl/>
      <w:pBdr>
        <w:top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65">
    <w:name w:val="xl66"/>
    <w:basedOn w:val="1"/>
    <w:qFormat/>
    <w:uiPriority w:val="0"/>
    <w:pPr>
      <w:widowControl/>
      <w:pBdr>
        <w:bottom w:val="single" w:color="auto" w:sz="8" w:space="0"/>
        <w:right w:val="single" w:color="auto" w:sz="8"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66">
    <w:name w:val="列表段落1"/>
    <w:basedOn w:val="1"/>
    <w:unhideWhenUsed/>
    <w:qFormat/>
    <w:uiPriority w:val="99"/>
    <w:pPr>
      <w:ind w:firstLine="420"/>
    </w:pPr>
    <w:rPr>
      <w:rFonts w:eastAsia="宋体" w:cs="Times New Roman"/>
      <w:sz w:val="24"/>
    </w:rPr>
  </w:style>
  <w:style w:type="paragraph" w:customStyle="1" w:styleId="67">
    <w:name w:val="xl79"/>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8">
    <w:name w:val="xl7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69">
    <w:name w:val="font8"/>
    <w:basedOn w:val="1"/>
    <w:qFormat/>
    <w:uiPriority w:val="0"/>
    <w:pPr>
      <w:widowControl/>
      <w:spacing w:before="100" w:beforeAutospacing="1" w:after="100" w:afterAutospacing="1"/>
      <w:jc w:val="left"/>
    </w:pPr>
    <w:rPr>
      <w:rFonts w:eastAsia="宋体" w:cs="Times New Roman"/>
      <w:color w:val="000000"/>
      <w:kern w:val="0"/>
      <w:sz w:val="20"/>
      <w:szCs w:val="20"/>
    </w:rPr>
  </w:style>
  <w:style w:type="paragraph" w:customStyle="1" w:styleId="70">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71">
    <w:name w:val="xl88"/>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72">
    <w:name w:val="xl67"/>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eastAsia="宋体" w:cs="Times New Roman"/>
      <w:kern w:val="0"/>
      <w:sz w:val="20"/>
      <w:szCs w:val="20"/>
    </w:rPr>
  </w:style>
  <w:style w:type="paragraph" w:customStyle="1" w:styleId="73">
    <w:name w:val="font7"/>
    <w:basedOn w:val="1"/>
    <w:qFormat/>
    <w:uiPriority w:val="0"/>
    <w:pPr>
      <w:widowControl/>
      <w:spacing w:before="100" w:beforeAutospacing="1" w:after="100" w:afterAutospacing="1"/>
      <w:jc w:val="left"/>
    </w:pPr>
    <w:rPr>
      <w:rFonts w:eastAsia="宋体" w:cs="Times New Roman"/>
      <w:color w:val="000000"/>
      <w:kern w:val="0"/>
      <w:sz w:val="20"/>
      <w:szCs w:val="20"/>
    </w:rPr>
  </w:style>
  <w:style w:type="paragraph" w:customStyle="1" w:styleId="74">
    <w:name w:val="xl71"/>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eastAsia="宋体" w:cs="Times New Roman"/>
      <w:kern w:val="0"/>
      <w:sz w:val="20"/>
      <w:szCs w:val="20"/>
    </w:rPr>
  </w:style>
  <w:style w:type="paragraph" w:customStyle="1" w:styleId="75">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6">
    <w:name w:val="xl81"/>
    <w:basedOn w:val="1"/>
    <w:qFormat/>
    <w:uiPriority w:val="0"/>
    <w:pPr>
      <w:widowControl/>
      <w:pBdr>
        <w:top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77">
    <w:name w:val="font5"/>
    <w:basedOn w:val="1"/>
    <w:qFormat/>
    <w:uiPriority w:val="0"/>
    <w:pPr>
      <w:widowControl/>
      <w:spacing w:before="100" w:beforeAutospacing="1" w:after="100" w:afterAutospacing="1"/>
      <w:jc w:val="left"/>
    </w:pPr>
    <w:rPr>
      <w:rFonts w:eastAsia="宋体" w:cs="Times New Roman"/>
      <w:color w:val="000000"/>
      <w:kern w:val="0"/>
      <w:sz w:val="20"/>
      <w:szCs w:val="20"/>
    </w:rPr>
  </w:style>
  <w:style w:type="paragraph" w:customStyle="1" w:styleId="78">
    <w:name w:val="xl94"/>
    <w:basedOn w:val="1"/>
    <w:qFormat/>
    <w:uiPriority w:val="0"/>
    <w:pPr>
      <w:widowControl/>
      <w:pBdr>
        <w:right w:val="single" w:color="auto" w:sz="8" w:space="0"/>
      </w:pBdr>
      <w:spacing w:before="100" w:beforeAutospacing="1" w:after="100" w:afterAutospacing="1"/>
    </w:pPr>
    <w:rPr>
      <w:rFonts w:ascii="宋体" w:hAnsi="宋体" w:eastAsia="宋体" w:cs="宋体"/>
      <w:kern w:val="0"/>
      <w:sz w:val="20"/>
      <w:szCs w:val="20"/>
    </w:rPr>
  </w:style>
  <w:style w:type="paragraph" w:customStyle="1" w:styleId="79">
    <w:name w:val="xl93"/>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80">
    <w:name w:val="列出段落1"/>
    <w:basedOn w:val="1"/>
    <w:qFormat/>
    <w:uiPriority w:val="99"/>
    <w:pPr>
      <w:ind w:firstLine="420"/>
    </w:pPr>
    <w:rPr>
      <w:rFonts w:ascii="Calibri" w:hAnsi="Calibri" w:eastAsia="宋体" w:cs="Times New Roman"/>
      <w:sz w:val="21"/>
      <w:szCs w:val="22"/>
    </w:rPr>
  </w:style>
  <w:style w:type="paragraph" w:customStyle="1" w:styleId="81">
    <w:name w:val="xl68"/>
    <w:basedOn w:val="1"/>
    <w:qFormat/>
    <w:uiPriority w:val="0"/>
    <w:pPr>
      <w:widowControl/>
      <w:pBdr>
        <w:bottom w:val="single" w:color="auto" w:sz="8" w:space="0"/>
        <w:right w:val="single" w:color="auto" w:sz="8" w:space="0"/>
      </w:pBdr>
      <w:spacing w:before="100" w:beforeAutospacing="1" w:after="100" w:afterAutospacing="1"/>
    </w:pPr>
    <w:rPr>
      <w:rFonts w:ascii="宋体" w:hAnsi="宋体" w:eastAsia="宋体" w:cs="宋体"/>
      <w:kern w:val="0"/>
      <w:sz w:val="20"/>
      <w:szCs w:val="20"/>
    </w:rPr>
  </w:style>
  <w:style w:type="paragraph" w:customStyle="1" w:styleId="82">
    <w:name w:val="xl90"/>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eastAsia="宋体" w:cs="宋体"/>
      <w:kern w:val="0"/>
      <w:sz w:val="20"/>
      <w:szCs w:val="20"/>
    </w:rPr>
  </w:style>
  <w:style w:type="paragraph" w:customStyle="1" w:styleId="83">
    <w:name w:val="xl8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64"/>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20"/>
      <w:szCs w:val="20"/>
    </w:rPr>
  </w:style>
  <w:style w:type="paragraph" w:customStyle="1" w:styleId="85">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86">
    <w:name w:val="Char"/>
    <w:basedOn w:val="1"/>
    <w:semiHidden/>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87">
    <w:name w:val="xl72"/>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eastAsia="宋体" w:cs="宋体"/>
      <w:kern w:val="0"/>
      <w:sz w:val="20"/>
      <w:szCs w:val="20"/>
    </w:rPr>
  </w:style>
  <w:style w:type="character" w:customStyle="1" w:styleId="88">
    <w:name w:val="文档结构图 字符1"/>
    <w:basedOn w:val="31"/>
    <w:qFormat/>
    <w:uiPriority w:val="0"/>
    <w:rPr>
      <w:rFonts w:ascii="Microsoft YaHei UI" w:eastAsia="Microsoft YaHei UI" w:hAnsiTheme="minorHAnsi"/>
      <w:kern w:val="2"/>
      <w:sz w:val="18"/>
      <w:szCs w:val="18"/>
    </w:rPr>
  </w:style>
  <w:style w:type="character" w:customStyle="1" w:styleId="89">
    <w:name w:val="日期 字符1"/>
    <w:basedOn w:val="31"/>
    <w:qFormat/>
    <w:uiPriority w:val="0"/>
    <w:rPr>
      <w:rFonts w:eastAsia="仿宋_GB2312" w:asciiTheme="minorHAnsi" w:hAnsiTheme="minorHAnsi"/>
      <w:kern w:val="2"/>
      <w:sz w:val="34"/>
      <w:szCs w:val="24"/>
    </w:rPr>
  </w:style>
  <w:style w:type="character" w:customStyle="1" w:styleId="90">
    <w:name w:val="脚注文本 字符1"/>
    <w:basedOn w:val="31"/>
    <w:qFormat/>
    <w:uiPriority w:val="0"/>
    <w:rPr>
      <w:rFonts w:eastAsia="仿宋_GB2312" w:asciiTheme="minorHAnsi" w:hAnsiTheme="minorHAnsi"/>
      <w:kern w:val="2"/>
      <w:sz w:val="18"/>
      <w:szCs w:val="18"/>
    </w:rPr>
  </w:style>
  <w:style w:type="paragraph" w:customStyle="1" w:styleId="91">
    <w:name w:val="xl9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92">
    <w:name w:val="xl70"/>
    <w:basedOn w:val="1"/>
    <w:qFormat/>
    <w:uiPriority w:val="0"/>
    <w:pPr>
      <w:widowControl/>
      <w:pBdr>
        <w:bottom w:val="single" w:color="auto" w:sz="8" w:space="0"/>
        <w:right w:val="single" w:color="auto" w:sz="8" w:space="0"/>
      </w:pBdr>
      <w:spacing w:before="100" w:beforeAutospacing="1" w:after="100" w:afterAutospacing="1"/>
      <w:jc w:val="left"/>
    </w:pPr>
    <w:rPr>
      <w:rFonts w:eastAsia="宋体" w:cs="Times New Roman"/>
      <w:kern w:val="0"/>
      <w:sz w:val="20"/>
      <w:szCs w:val="20"/>
    </w:rPr>
  </w:style>
  <w:style w:type="paragraph" w:customStyle="1" w:styleId="93">
    <w:name w:val="xl7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b/>
      <w:bCs/>
      <w:kern w:val="0"/>
      <w:sz w:val="20"/>
      <w:szCs w:val="20"/>
    </w:rPr>
  </w:style>
  <w:style w:type="paragraph" w:customStyle="1" w:styleId="94">
    <w:name w:val="TOC 标题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95">
    <w:name w:val="xl65"/>
    <w:basedOn w:val="1"/>
    <w:qFormat/>
    <w:uiPriority w:val="0"/>
    <w:pPr>
      <w:widowControl/>
      <w:pBdr>
        <w:bottom w:val="single" w:color="auto" w:sz="8" w:space="0"/>
        <w:right w:val="single" w:color="auto" w:sz="8" w:space="0"/>
      </w:pBdr>
      <w:spacing w:before="100" w:beforeAutospacing="1" w:after="100" w:afterAutospacing="1"/>
      <w:jc w:val="center"/>
    </w:pPr>
    <w:rPr>
      <w:rFonts w:eastAsia="宋体" w:cs="Times New Roman"/>
      <w:kern w:val="0"/>
      <w:sz w:val="20"/>
      <w:szCs w:val="20"/>
    </w:rPr>
  </w:style>
  <w:style w:type="paragraph" w:customStyle="1" w:styleId="96">
    <w:name w:val="xl8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97">
    <w:name w:val="xl86"/>
    <w:basedOn w:val="1"/>
    <w:qFormat/>
    <w:uiPriority w:val="0"/>
    <w:pPr>
      <w:widowControl/>
      <w:pBdr>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98">
    <w:name w:val="xl6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eastAsia="宋体" w:cs="Times New Roman"/>
      <w:kern w:val="0"/>
      <w:sz w:val="20"/>
      <w:szCs w:val="20"/>
    </w:rPr>
  </w:style>
  <w:style w:type="paragraph" w:customStyle="1" w:styleId="99">
    <w:name w:val="列出段落2"/>
    <w:basedOn w:val="1"/>
    <w:unhideWhenUsed/>
    <w:qFormat/>
    <w:uiPriority w:val="34"/>
    <w:pPr>
      <w:ind w:firstLine="420"/>
    </w:pPr>
    <w:rPr>
      <w:rFonts w:eastAsia="宋体" w:cs="Times New Roman"/>
      <w:sz w:val="24"/>
    </w:rPr>
  </w:style>
  <w:style w:type="paragraph" w:customStyle="1" w:styleId="100">
    <w:name w:val="xl74"/>
    <w:basedOn w:val="1"/>
    <w:qFormat/>
    <w:uiPriority w:val="0"/>
    <w:pPr>
      <w:widowControl/>
      <w:pBdr>
        <w:bottom w:val="single" w:color="auto" w:sz="8" w:space="0"/>
        <w:right w:val="single" w:color="auto" w:sz="8" w:space="0"/>
      </w:pBdr>
      <w:spacing w:before="100" w:beforeAutospacing="1" w:after="100" w:afterAutospacing="1"/>
      <w:jc w:val="center"/>
    </w:pPr>
    <w:rPr>
      <w:rFonts w:eastAsia="宋体" w:cs="Times New Roman"/>
      <w:kern w:val="0"/>
      <w:sz w:val="20"/>
      <w:szCs w:val="20"/>
    </w:rPr>
  </w:style>
  <w:style w:type="paragraph" w:customStyle="1" w:styleId="101">
    <w:name w:val="xl7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102">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103">
    <w:name w:val="xl95"/>
    <w:basedOn w:val="1"/>
    <w:qFormat/>
    <w:uiPriority w:val="0"/>
    <w:pPr>
      <w:widowControl/>
      <w:pBdr>
        <w:right w:val="single" w:color="auto" w:sz="8" w:space="0"/>
      </w:pBdr>
      <w:spacing w:before="100" w:beforeAutospacing="1" w:after="100" w:afterAutospacing="1"/>
      <w:jc w:val="center"/>
    </w:pPr>
    <w:rPr>
      <w:rFonts w:eastAsia="宋体" w:cs="Times New Roman"/>
      <w:kern w:val="0"/>
      <w:sz w:val="20"/>
      <w:szCs w:val="20"/>
    </w:rPr>
  </w:style>
  <w:style w:type="paragraph" w:customStyle="1" w:styleId="104">
    <w:name w:val="xl85"/>
    <w:basedOn w:val="1"/>
    <w:qFormat/>
    <w:uiPriority w:val="0"/>
    <w:pPr>
      <w:widowControl/>
      <w:pBdr>
        <w:left w:val="single" w:color="auto" w:sz="8" w:space="0"/>
        <w:bottom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105">
    <w:name w:val="xl69"/>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6">
    <w:name w:val="xl87"/>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eastAsia="宋体" w:cs="宋体"/>
      <w:b/>
      <w:bCs/>
      <w:kern w:val="0"/>
      <w:sz w:val="20"/>
      <w:szCs w:val="20"/>
    </w:rPr>
  </w:style>
  <w:style w:type="paragraph" w:customStyle="1" w:styleId="107">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20"/>
      <w:szCs w:val="20"/>
    </w:rPr>
  </w:style>
  <w:style w:type="paragraph" w:customStyle="1" w:styleId="108">
    <w:name w:val="xl89"/>
    <w:basedOn w:val="1"/>
    <w:qFormat/>
    <w:uiPriority w:val="0"/>
    <w:pPr>
      <w:widowControl/>
      <w:pBdr>
        <w:bottom w:val="single" w:color="auto" w:sz="8" w:space="0"/>
      </w:pBdr>
      <w:spacing w:before="100" w:beforeAutospacing="1" w:after="100" w:afterAutospacing="1"/>
      <w:jc w:val="center"/>
    </w:pPr>
    <w:rPr>
      <w:rFonts w:ascii="宋体" w:hAnsi="宋体" w:eastAsia="宋体" w:cs="宋体"/>
      <w:kern w:val="0"/>
      <w:sz w:val="20"/>
      <w:szCs w:val="20"/>
    </w:rPr>
  </w:style>
  <w:style w:type="character" w:customStyle="1" w:styleId="109">
    <w:name w:val="标题 Char"/>
    <w:basedOn w:val="31"/>
    <w:link w:val="27"/>
    <w:qFormat/>
    <w:uiPriority w:val="0"/>
    <w:rPr>
      <w:rFonts w:eastAsia="黑体" w:cstheme="majorBidi"/>
      <w:b/>
      <w:bCs/>
      <w:kern w:val="2"/>
      <w:sz w:val="36"/>
      <w:szCs w:val="32"/>
    </w:rPr>
  </w:style>
  <w:style w:type="character" w:customStyle="1" w:styleId="110">
    <w:name w:val="fontstyle01"/>
    <w:basedOn w:val="31"/>
    <w:qFormat/>
    <w:uiPriority w:val="0"/>
    <w:rPr>
      <w:rFonts w:hint="eastAsia" w:ascii="仿宋_GB2312" w:eastAsia="仿宋_GB2312"/>
      <w:color w:val="000000"/>
      <w:sz w:val="24"/>
      <w:szCs w:val="24"/>
    </w:rPr>
  </w:style>
  <w:style w:type="character" w:customStyle="1" w:styleId="111">
    <w:name w:val="fontstyle21"/>
    <w:basedOn w:val="3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1162;&#21147;&#24037;&#20316;&#65292;&#24555;&#24555;&#21464;&#25104;&#23567;&#23500;&#23110;\&#21313;&#22235;&#20116;&#35268;&#21010;\&#21271;&#36784;&#21306;&#36164;&#26009;\&#21508;&#39033;&#35268;&#21010;\&#30417;&#27979;&#25968;&#25454;15-20\&#22823;&#27668;&#27745;&#2657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8794838145232"/>
          <c:y val="0.046712962962963"/>
          <c:w val="0.879564960629921"/>
          <c:h val="0.420456765820939"/>
        </c:manualLayout>
      </c:layout>
      <c:barChart>
        <c:barDir val="col"/>
        <c:grouping val="clustered"/>
        <c:varyColors val="0"/>
        <c:ser>
          <c:idx val="0"/>
          <c:order val="0"/>
          <c:tx>
            <c:strRef>
              <c:f>2017年</c:f>
              <c:strCache>
                <c:ptCount val="1"/>
                <c:pt idx="0">
                  <c:v>2017年</c:v>
                </c:pt>
              </c:strCache>
            </c:strRef>
          </c:tx>
          <c:spPr>
            <a:solidFill>
              <a:schemeClr val="accent1"/>
            </a:solidFill>
            <a:ln>
              <a:noFill/>
            </a:ln>
            <a:effectLst/>
          </c:spPr>
          <c:invertIfNegative val="0"/>
          <c:dLbls>
            <c:delete val="1"/>
          </c:dLbls>
          <c:cat>
            <c:strRef>
              <c:f>Sheet5!$A$3:$A$24</c:f>
              <c:strCache>
                <c:ptCount val="22"/>
                <c:pt idx="0">
                  <c:v>北京排污河（东堤头闸）</c:v>
                </c:pt>
                <c:pt idx="1">
                  <c:v>北丰产河（色织十七厂）</c:v>
                </c:pt>
                <c:pt idx="2">
                  <c:v>淀南引河（津围公路）</c:v>
                </c:pt>
                <c:pt idx="3">
                  <c:v>北丰产河（丰产河中）</c:v>
                </c:pt>
                <c:pt idx="4">
                  <c:v>外环河（宜兴埠桥）</c:v>
                </c:pt>
                <c:pt idx="5">
                  <c:v>北丰产河（丰产河西）</c:v>
                </c:pt>
                <c:pt idx="6">
                  <c:v>永定新河（京山线铁路桥）</c:v>
                </c:pt>
                <c:pt idx="7">
                  <c:v>永定新河（大张庄）</c:v>
                </c:pt>
                <c:pt idx="8">
                  <c:v>永金水库</c:v>
                </c:pt>
                <c:pt idx="9">
                  <c:v>永金引河（津榆公路）</c:v>
                </c:pt>
                <c:pt idx="10">
                  <c:v>机场排水河（津围公路）</c:v>
                </c:pt>
                <c:pt idx="11">
                  <c:v>大兴水库</c:v>
                </c:pt>
                <c:pt idx="12">
                  <c:v>外环河（京津公路）</c:v>
                </c:pt>
                <c:pt idx="13">
                  <c:v>北运河（外环河交口）</c:v>
                </c:pt>
                <c:pt idx="14">
                  <c:v>外环河（王秦庄）</c:v>
                </c:pt>
                <c:pt idx="15">
                  <c:v>永清渠（河北工业大学）</c:v>
                </c:pt>
                <c:pt idx="16">
                  <c:v>中泓故道（立新园林场）</c:v>
                </c:pt>
                <c:pt idx="17">
                  <c:v>永定河（屈店）</c:v>
                </c:pt>
                <c:pt idx="18">
                  <c:v>北运河（屈店）</c:v>
                </c:pt>
                <c:pt idx="19">
                  <c:v>新引河（屈店）</c:v>
                </c:pt>
                <c:pt idx="20">
                  <c:v>永定新河（屈店）</c:v>
                </c:pt>
                <c:pt idx="21">
                  <c:v>新引河（大张庄）</c:v>
                </c:pt>
              </c:strCache>
            </c:strRef>
          </c:cat>
          <c:val>
            <c:numRef>
              <c:f>Sheet5!$B$3:$B$24</c:f>
              <c:numCache>
                <c:formatCode>General</c:formatCode>
                <c:ptCount val="22"/>
                <c:pt idx="0">
                  <c:v>20</c:v>
                </c:pt>
                <c:pt idx="1">
                  <c:v>0</c:v>
                </c:pt>
                <c:pt idx="2">
                  <c:v>0</c:v>
                </c:pt>
                <c:pt idx="3">
                  <c:v>0</c:v>
                </c:pt>
                <c:pt idx="4">
                  <c:v>50</c:v>
                </c:pt>
                <c:pt idx="5">
                  <c:v>0</c:v>
                </c:pt>
                <c:pt idx="6">
                  <c:v>0</c:v>
                </c:pt>
                <c:pt idx="7">
                  <c:v>20</c:v>
                </c:pt>
                <c:pt idx="8">
                  <c:v>100</c:v>
                </c:pt>
                <c:pt idx="9">
                  <c:v>100</c:v>
                </c:pt>
                <c:pt idx="10">
                  <c:v>50</c:v>
                </c:pt>
                <c:pt idx="11">
                  <c:v>0</c:v>
                </c:pt>
                <c:pt idx="12">
                  <c:v>100</c:v>
                </c:pt>
                <c:pt idx="13">
                  <c:v>100</c:v>
                </c:pt>
                <c:pt idx="14">
                  <c:v>100</c:v>
                </c:pt>
                <c:pt idx="15">
                  <c:v>0</c:v>
                </c:pt>
                <c:pt idx="16">
                  <c:v>50</c:v>
                </c:pt>
                <c:pt idx="17">
                  <c:v>20</c:v>
                </c:pt>
                <c:pt idx="18">
                  <c:v>100</c:v>
                </c:pt>
                <c:pt idx="19">
                  <c:v>100</c:v>
                </c:pt>
                <c:pt idx="20">
                  <c:v>50</c:v>
                </c:pt>
                <c:pt idx="21">
                  <c:v>100</c:v>
                </c:pt>
              </c:numCache>
            </c:numRef>
          </c:val>
        </c:ser>
        <c:ser>
          <c:idx val="1"/>
          <c:order val="1"/>
          <c:tx>
            <c:strRef>
              <c:f>2018年</c:f>
              <c:strCache>
                <c:ptCount val="1"/>
                <c:pt idx="0">
                  <c:v>2018年</c:v>
                </c:pt>
              </c:strCache>
            </c:strRef>
          </c:tx>
          <c:spPr>
            <a:solidFill>
              <a:schemeClr val="accent2"/>
            </a:solidFill>
            <a:ln>
              <a:noFill/>
            </a:ln>
            <a:effectLst/>
          </c:spPr>
          <c:invertIfNegative val="0"/>
          <c:dLbls>
            <c:delete val="1"/>
          </c:dLbls>
          <c:cat>
            <c:strRef>
              <c:f>Sheet5!$A$3:$A$24</c:f>
              <c:strCache>
                <c:ptCount val="22"/>
                <c:pt idx="0">
                  <c:v>北京排污河（东堤头闸）</c:v>
                </c:pt>
                <c:pt idx="1">
                  <c:v>北丰产河（色织十七厂）</c:v>
                </c:pt>
                <c:pt idx="2">
                  <c:v>淀南引河（津围公路）</c:v>
                </c:pt>
                <c:pt idx="3">
                  <c:v>北丰产河（丰产河中）</c:v>
                </c:pt>
                <c:pt idx="4">
                  <c:v>外环河（宜兴埠桥）</c:v>
                </c:pt>
                <c:pt idx="5">
                  <c:v>北丰产河（丰产河西）</c:v>
                </c:pt>
                <c:pt idx="6">
                  <c:v>永定新河（京山线铁路桥）</c:v>
                </c:pt>
                <c:pt idx="7">
                  <c:v>永定新河（大张庄）</c:v>
                </c:pt>
                <c:pt idx="8">
                  <c:v>永金水库</c:v>
                </c:pt>
                <c:pt idx="9">
                  <c:v>永金引河（津榆公路）</c:v>
                </c:pt>
                <c:pt idx="10">
                  <c:v>机场排水河（津围公路）</c:v>
                </c:pt>
                <c:pt idx="11">
                  <c:v>大兴水库</c:v>
                </c:pt>
                <c:pt idx="12">
                  <c:v>外环河（京津公路）</c:v>
                </c:pt>
                <c:pt idx="13">
                  <c:v>北运河（外环河交口）</c:v>
                </c:pt>
                <c:pt idx="14">
                  <c:v>外环河（王秦庄）</c:v>
                </c:pt>
                <c:pt idx="15">
                  <c:v>永清渠（河北工业大学）</c:v>
                </c:pt>
                <c:pt idx="16">
                  <c:v>中泓故道（立新园林场）</c:v>
                </c:pt>
                <c:pt idx="17">
                  <c:v>永定河（屈店）</c:v>
                </c:pt>
                <c:pt idx="18">
                  <c:v>北运河（屈店）</c:v>
                </c:pt>
                <c:pt idx="19">
                  <c:v>新引河（屈店）</c:v>
                </c:pt>
                <c:pt idx="20">
                  <c:v>永定新河（屈店）</c:v>
                </c:pt>
                <c:pt idx="21">
                  <c:v>新引河（大张庄）</c:v>
                </c:pt>
              </c:strCache>
            </c:strRef>
          </c:cat>
          <c:val>
            <c:numRef>
              <c:f>Sheet5!$C$3:$C$24</c:f>
              <c:numCache>
                <c:formatCode>General</c:formatCode>
                <c:ptCount val="22"/>
                <c:pt idx="0">
                  <c:v>33.3</c:v>
                </c:pt>
                <c:pt idx="1">
                  <c:v>0</c:v>
                </c:pt>
                <c:pt idx="2">
                  <c:v>33.3</c:v>
                </c:pt>
                <c:pt idx="3">
                  <c:v>33.3</c:v>
                </c:pt>
                <c:pt idx="4">
                  <c:v>66.7</c:v>
                </c:pt>
                <c:pt idx="5">
                  <c:v>66.7</c:v>
                </c:pt>
                <c:pt idx="6">
                  <c:v>66.7</c:v>
                </c:pt>
                <c:pt idx="7">
                  <c:v>33.3</c:v>
                </c:pt>
                <c:pt idx="8">
                  <c:v>50</c:v>
                </c:pt>
                <c:pt idx="9">
                  <c:v>50</c:v>
                </c:pt>
                <c:pt idx="10">
                  <c:v>33.3</c:v>
                </c:pt>
                <c:pt idx="11">
                  <c:v>33.3</c:v>
                </c:pt>
                <c:pt idx="12">
                  <c:v>33.3</c:v>
                </c:pt>
                <c:pt idx="13">
                  <c:v>66.7</c:v>
                </c:pt>
                <c:pt idx="14">
                  <c:v>66.7</c:v>
                </c:pt>
                <c:pt idx="15">
                  <c:v>0</c:v>
                </c:pt>
                <c:pt idx="16">
                  <c:v>33.3</c:v>
                </c:pt>
                <c:pt idx="17">
                  <c:v>0</c:v>
                </c:pt>
                <c:pt idx="18">
                  <c:v>33.3</c:v>
                </c:pt>
                <c:pt idx="19">
                  <c:v>33.3</c:v>
                </c:pt>
                <c:pt idx="20">
                  <c:v>0</c:v>
                </c:pt>
                <c:pt idx="21">
                  <c:v>100</c:v>
                </c:pt>
              </c:numCache>
            </c:numRef>
          </c:val>
        </c:ser>
        <c:ser>
          <c:idx val="2"/>
          <c:order val="2"/>
          <c:tx>
            <c:strRef>
              <c:f>2019年</c:f>
              <c:strCache>
                <c:ptCount val="1"/>
                <c:pt idx="0">
                  <c:v>2019年</c:v>
                </c:pt>
              </c:strCache>
            </c:strRef>
          </c:tx>
          <c:spPr>
            <a:solidFill>
              <a:schemeClr val="accent3"/>
            </a:solidFill>
            <a:ln>
              <a:noFill/>
            </a:ln>
            <a:effectLst/>
          </c:spPr>
          <c:invertIfNegative val="0"/>
          <c:dLbls>
            <c:delete val="1"/>
          </c:dLbls>
          <c:cat>
            <c:strRef>
              <c:f>Sheet5!$A$3:$A$24</c:f>
              <c:strCache>
                <c:ptCount val="22"/>
                <c:pt idx="0">
                  <c:v>北京排污河（东堤头闸）</c:v>
                </c:pt>
                <c:pt idx="1">
                  <c:v>北丰产河（色织十七厂）</c:v>
                </c:pt>
                <c:pt idx="2">
                  <c:v>淀南引河（津围公路）</c:v>
                </c:pt>
                <c:pt idx="3">
                  <c:v>北丰产河（丰产河中）</c:v>
                </c:pt>
                <c:pt idx="4">
                  <c:v>外环河（宜兴埠桥）</c:v>
                </c:pt>
                <c:pt idx="5">
                  <c:v>北丰产河（丰产河西）</c:v>
                </c:pt>
                <c:pt idx="6">
                  <c:v>永定新河（京山线铁路桥）</c:v>
                </c:pt>
                <c:pt idx="7">
                  <c:v>永定新河（大张庄）</c:v>
                </c:pt>
                <c:pt idx="8">
                  <c:v>永金水库</c:v>
                </c:pt>
                <c:pt idx="9">
                  <c:v>永金引河（津榆公路）</c:v>
                </c:pt>
                <c:pt idx="10">
                  <c:v>机场排水河（津围公路）</c:v>
                </c:pt>
                <c:pt idx="11">
                  <c:v>大兴水库</c:v>
                </c:pt>
                <c:pt idx="12">
                  <c:v>外环河（京津公路）</c:v>
                </c:pt>
                <c:pt idx="13">
                  <c:v>北运河（外环河交口）</c:v>
                </c:pt>
                <c:pt idx="14">
                  <c:v>外环河（王秦庄）</c:v>
                </c:pt>
                <c:pt idx="15">
                  <c:v>永清渠（河北工业大学）</c:v>
                </c:pt>
                <c:pt idx="16">
                  <c:v>中泓故道（立新园林场）</c:v>
                </c:pt>
                <c:pt idx="17">
                  <c:v>永定河（屈店）</c:v>
                </c:pt>
                <c:pt idx="18">
                  <c:v>北运河（屈店）</c:v>
                </c:pt>
                <c:pt idx="19">
                  <c:v>新引河（屈店）</c:v>
                </c:pt>
                <c:pt idx="20">
                  <c:v>永定新河（屈店）</c:v>
                </c:pt>
                <c:pt idx="21">
                  <c:v>新引河（大张庄）</c:v>
                </c:pt>
              </c:strCache>
            </c:strRef>
          </c:cat>
          <c:val>
            <c:numRef>
              <c:f>Sheet5!$D$3:$D$24</c:f>
              <c:numCache>
                <c:formatCode>General</c:formatCode>
                <c:ptCount val="22"/>
                <c:pt idx="0">
                  <c:v>66.7</c:v>
                </c:pt>
                <c:pt idx="1">
                  <c:v>66.7</c:v>
                </c:pt>
                <c:pt idx="2">
                  <c:v>33.3</c:v>
                </c:pt>
                <c:pt idx="3">
                  <c:v>100</c:v>
                </c:pt>
                <c:pt idx="4">
                  <c:v>100</c:v>
                </c:pt>
                <c:pt idx="5">
                  <c:v>66.7</c:v>
                </c:pt>
                <c:pt idx="6">
                  <c:v>33.3</c:v>
                </c:pt>
                <c:pt idx="7">
                  <c:v>66.7</c:v>
                </c:pt>
                <c:pt idx="8">
                  <c:v>50</c:v>
                </c:pt>
                <c:pt idx="9">
                  <c:v>100</c:v>
                </c:pt>
                <c:pt idx="10">
                  <c:v>100</c:v>
                </c:pt>
                <c:pt idx="11">
                  <c:v>33.3</c:v>
                </c:pt>
                <c:pt idx="12">
                  <c:v>100</c:v>
                </c:pt>
                <c:pt idx="13">
                  <c:v>100</c:v>
                </c:pt>
                <c:pt idx="14">
                  <c:v>100</c:v>
                </c:pt>
                <c:pt idx="15">
                  <c:v>66.7</c:v>
                </c:pt>
                <c:pt idx="16">
                  <c:v>33.3</c:v>
                </c:pt>
                <c:pt idx="17">
                  <c:v>66.7</c:v>
                </c:pt>
                <c:pt idx="18">
                  <c:v>100</c:v>
                </c:pt>
                <c:pt idx="19">
                  <c:v>100</c:v>
                </c:pt>
                <c:pt idx="20">
                  <c:v>66.7</c:v>
                </c:pt>
                <c:pt idx="21">
                  <c:v>100</c:v>
                </c:pt>
              </c:numCache>
            </c:numRef>
          </c:val>
        </c:ser>
        <c:dLbls>
          <c:showLegendKey val="0"/>
          <c:showVal val="0"/>
          <c:showCatName val="0"/>
          <c:showSerName val="0"/>
          <c:showPercent val="0"/>
          <c:showBubbleSize val="0"/>
        </c:dLbls>
        <c:gapWidth val="219"/>
        <c:overlap val="-27"/>
        <c:axId val="168841216"/>
        <c:axId val="168842752"/>
      </c:barChart>
      <c:catAx>
        <c:axId val="1688412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zh-CN" sz="900" b="0" i="0" u="none" strike="noStrike" kern="1200" baseline="0">
                <a:solidFill>
                  <a:schemeClr val="tx1"/>
                </a:solidFill>
                <a:latin typeface="Times New Roman" panose="02020603050405020304" charset="0"/>
                <a:ea typeface="+mn-ea"/>
                <a:cs typeface="Times New Roman" panose="02020603050405020304" charset="0"/>
              </a:defRPr>
            </a:pPr>
          </a:p>
        </c:txPr>
        <c:crossAx val="168842752"/>
        <c:crosses val="autoZero"/>
        <c:auto val="1"/>
        <c:lblAlgn val="ctr"/>
        <c:lblOffset val="100"/>
        <c:noMultiLvlLbl val="0"/>
      </c:catAx>
      <c:valAx>
        <c:axId val="168842752"/>
        <c:scaling>
          <c:orientation val="minMax"/>
          <c:max val="100"/>
        </c:scaling>
        <c:delete val="0"/>
        <c:axPos val="l"/>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crossAx val="168841216"/>
        <c:crosses val="autoZero"/>
        <c:crossBetween val="between"/>
        <c:majorUnit val="20"/>
      </c:valAx>
      <c:spPr>
        <a:noFill/>
        <a:ln w="12700">
          <a:solidFill>
            <a:schemeClr val="tx1"/>
          </a:solid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solidFill>
              <a:latin typeface="Times New Roman" panose="02020603050405020304" charset="0"/>
              <a:ea typeface="+mn-ea"/>
              <a:cs typeface="Times New Roman" panose="02020603050405020304" charset="0"/>
            </a:defRPr>
          </a:pPr>
        </a:p>
      </c:txPr>
    </c:legend>
    <c:plotVisOnly val="1"/>
    <c:dispBlanksAs val="gap"/>
    <c:showDLblsOverMax val="0"/>
    <c:extLst>
      <c:ext uri="{0b15fc19-7d7d-44ad-8c2d-2c3a37ce22c3}">
        <chartProps xmlns="https://web.wps.cn/et/2018/main" chartId="{08f56de9-c8fd-4f1d-8f28-47597effbad7}"/>
      </c:ext>
    </c:extLst>
  </c:chart>
  <c:spPr>
    <a:solidFill>
      <a:schemeClr val="bg1"/>
    </a:solidFill>
    <a:ln w="9525" cap="flat" cmpd="sng" algn="ctr">
      <a:noFill/>
      <a:round/>
    </a:ln>
    <a:effectLst/>
  </c:spPr>
  <c:txPr>
    <a:bodyPr/>
    <a:lstStyle/>
    <a:p>
      <a:pPr>
        <a:defRPr lang="zh-CN" sz="1100">
          <a:solidFill>
            <a:schemeClr val="tx1"/>
          </a:solidFill>
          <a:latin typeface="Times New Roman" panose="02020603050405020304" charset="0"/>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10BF2-32D6-44A9-A0C0-EEE662D7D5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143</Pages>
  <Words>937</Words>
  <Characters>940</Characters>
  <Lines>39</Lines>
  <Paragraphs>143</Paragraphs>
  <TotalTime>350</TotalTime>
  <ScaleCrop>false</ScaleCrop>
  <LinksUpToDate>false</LinksUpToDate>
  <CharactersWithSpaces>942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2021-05-21T02:04:00Z</dcterms:created>
  <dc:creator>QZB</dc:creator>
  <cp:lastModifiedBy>    -</cp:lastModifiedBy>
  <cp:lastPrinted>2021-03-03T04:13:00Z</cp:lastPrinted>
  <dcterms:modified xsi:type="dcterms:W3CDTF">2025-09-08T00:49:19Z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39EAB8E6C9BE411E868D6E6C8B68A549_13</vt:lpwstr>
  </property>
  <property fmtid="{D5CDD505-2E9C-101B-9397-08002B2CF9AE}" pid="4" name="KSOTemplateDocerSaveRecord">
    <vt:lpwstr>eyJoZGlkIjoiZjRlMjMwNmRkZjAxNmRjNGVlODVjODk0YjkxZmYxZjYiLCJ1c2VySWQiOiI2MDM2NzIyNDQifQ==</vt:lpwstr>
  </property>
</Properties>
</file>