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92533">
      <w:pPr>
        <w:keepNext w:val="0"/>
        <w:keepLines w:val="0"/>
        <w:pageBreakBefore w:val="0"/>
        <w:kinsoku/>
        <w:wordWrap/>
        <w:overflowPunct/>
        <w:topLinePunct w:val="0"/>
        <w:autoSpaceDE/>
        <w:autoSpaceDN/>
        <w:bidi w:val="0"/>
        <w:adjustRightInd w:val="0"/>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天津市北辰区人民政府办公室</w:t>
      </w:r>
    </w:p>
    <w:p w14:paraId="344F0862">
      <w:pPr>
        <w:keepNext w:val="0"/>
        <w:keepLines w:val="0"/>
        <w:pageBreakBefore w:val="0"/>
        <w:kinsoku/>
        <w:wordWrap/>
        <w:overflowPunct/>
        <w:topLinePunct w:val="0"/>
        <w:autoSpaceDE/>
        <w:autoSpaceDN/>
        <w:bidi w:val="0"/>
        <w:adjustRightInd w:val="0"/>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关于印发北辰区水安全保障</w:t>
      </w:r>
    </w:p>
    <w:p w14:paraId="5A7C873C">
      <w:pPr>
        <w:keepNext w:val="0"/>
        <w:keepLines w:val="0"/>
        <w:pageBreakBefore w:val="0"/>
        <w:kinsoku/>
        <w:wordWrap/>
        <w:overflowPunct/>
        <w:topLinePunct w:val="0"/>
        <w:autoSpaceDE/>
        <w:autoSpaceDN/>
        <w:bidi w:val="0"/>
        <w:adjustRightInd w:val="0"/>
        <w:snapToGrid/>
        <w:spacing w:line="600" w:lineRule="exact"/>
        <w:jc w:val="center"/>
        <w:textAlignment w:val="auto"/>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“十四五”规划的通知</w:t>
      </w:r>
    </w:p>
    <w:p w14:paraId="08F39BF1">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_GB2312" w:hAnsi="仿宋_GB2312" w:eastAsia="仿宋_GB2312" w:cs="仿宋_GB2312"/>
          <w:sz w:val="44"/>
          <w:szCs w:val="44"/>
        </w:rPr>
      </w:pPr>
    </w:p>
    <w:p w14:paraId="7A64627B">
      <w:pPr>
        <w:keepNext w:val="0"/>
        <w:keepLines w:val="0"/>
        <w:pageBreakBefore w:val="0"/>
        <w:widowControl w:val="0"/>
        <w:tabs>
          <w:tab w:val="left" w:pos="180"/>
          <w:tab w:val="left" w:pos="720"/>
          <w:tab w:val="left" w:pos="8460"/>
          <w:tab w:val="left" w:pos="8640"/>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各镇人民政府、街道办事处，各委、办、局，区直各单位：</w:t>
      </w:r>
    </w:p>
    <w:p w14:paraId="6B5F23BC">
      <w:pPr>
        <w:keepNext w:val="0"/>
        <w:keepLines w:val="0"/>
        <w:pageBreakBefore w:val="0"/>
        <w:widowControl w:val="0"/>
        <w:tabs>
          <w:tab w:val="left" w:pos="180"/>
          <w:tab w:val="left" w:pos="720"/>
          <w:tab w:val="left" w:pos="8460"/>
          <w:tab w:val="left" w:pos="864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经北辰区人民政府同意，现将《北辰区水安全保障“十四五”规划》印发给你们，请</w:t>
      </w:r>
      <w:r>
        <w:rPr>
          <w:rFonts w:hint="eastAsia" w:ascii="仿宋_GB2312" w:hAnsi="仿宋_GB2312" w:eastAsia="仿宋_GB2312" w:cs="仿宋_GB2312"/>
          <w:sz w:val="32"/>
          <w:szCs w:val="32"/>
          <w:lang w:eastAsia="zh-CN"/>
        </w:rPr>
        <w:t>遵照</w:t>
      </w:r>
      <w:r>
        <w:rPr>
          <w:rFonts w:hint="eastAsia" w:ascii="仿宋_GB2312" w:hAnsi="仿宋_GB2312" w:eastAsia="仿宋_GB2312" w:cs="仿宋_GB2312"/>
          <w:sz w:val="32"/>
          <w:szCs w:val="32"/>
        </w:rPr>
        <w:t>执行。</w:t>
      </w:r>
    </w:p>
    <w:p w14:paraId="59B1C58B">
      <w:pPr>
        <w:keepNext w:val="0"/>
        <w:keepLines w:val="0"/>
        <w:pageBreakBefore w:val="0"/>
        <w:widowControl w:val="0"/>
        <w:tabs>
          <w:tab w:val="left" w:pos="180"/>
          <w:tab w:val="left" w:pos="720"/>
          <w:tab w:val="left" w:pos="8460"/>
          <w:tab w:val="left" w:pos="8640"/>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2AC22FAB">
      <w:pPr>
        <w:keepNext w:val="0"/>
        <w:keepLines w:val="0"/>
        <w:pageBreakBefore w:val="0"/>
        <w:widowControl w:val="0"/>
        <w:tabs>
          <w:tab w:val="left" w:pos="180"/>
          <w:tab w:val="left" w:pos="720"/>
          <w:tab w:val="left" w:pos="8460"/>
          <w:tab w:val="left" w:pos="8640"/>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2808889A">
      <w:pPr>
        <w:pStyle w:val="27"/>
        <w:keepNext w:val="0"/>
        <w:keepLines w:val="0"/>
        <w:pageBreakBefore w:val="0"/>
        <w:widowControl w:val="0"/>
        <w:kinsoku/>
        <w:wordWrap/>
        <w:overflowPunct/>
        <w:topLinePunct w:val="0"/>
        <w:bidi w:val="0"/>
        <w:adjustRightInd/>
        <w:snapToGrid/>
        <w:spacing w:line="600" w:lineRule="exact"/>
        <w:ind w:left="0" w:leftChars="0" w:firstLine="0" w:firstLineChars="0"/>
        <w:textAlignment w:val="auto"/>
        <w:rPr>
          <w:rFonts w:hint="eastAsia"/>
        </w:rPr>
      </w:pPr>
    </w:p>
    <w:p w14:paraId="2E71D4E2">
      <w:pPr>
        <w:keepNext w:val="0"/>
        <w:keepLines w:val="0"/>
        <w:pageBreakBefore w:val="0"/>
        <w:widowControl w:val="0"/>
        <w:tabs>
          <w:tab w:val="left" w:pos="180"/>
          <w:tab w:val="left" w:pos="720"/>
          <w:tab w:val="left" w:pos="7560"/>
          <w:tab w:val="left" w:pos="8460"/>
          <w:tab w:val="left" w:pos="8640"/>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cs="仿宋_GB2312"/>
          <w:sz w:val="32"/>
          <w:szCs w:val="32"/>
          <w:lang w:val="en-US" w:eastAsia="zh-CN"/>
        </w:rPr>
        <w:t>2</w:t>
      </w:r>
      <w:r>
        <w:rPr>
          <w:rFonts w:hint="eastAsia" w:ascii="仿宋_GB2312" w:hAnsi="仿宋_GB2312" w:eastAsia="仿宋_GB2312" w:cs="仿宋_GB2312"/>
          <w:sz w:val="32"/>
          <w:szCs w:val="32"/>
        </w:rPr>
        <w:t>日</w:t>
      </w:r>
    </w:p>
    <w:p w14:paraId="20BEBF99">
      <w:pPr>
        <w:keepNext w:val="0"/>
        <w:keepLines w:val="0"/>
        <w:pageBreakBefore w:val="0"/>
        <w:widowControl w:val="0"/>
        <w:kinsoku/>
        <w:wordWrap/>
        <w:overflowPunct/>
        <w:topLinePunct w:val="0"/>
        <w:bidi w:val="0"/>
        <w:adjustRightInd/>
        <w:snapToGrid/>
        <w:spacing w:before="28" w:line="6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w:t>
      </w: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p w14:paraId="5757A350">
      <w:pPr>
        <w:keepNext w:val="0"/>
        <w:keepLines w:val="0"/>
        <w:pageBreakBefore w:val="0"/>
        <w:kinsoku/>
        <w:overflowPunct/>
        <w:topLinePunct w:val="0"/>
        <w:bidi w:val="0"/>
        <w:spacing w:before="28" w:line="600" w:lineRule="exact"/>
        <w:ind w:firstLine="640"/>
        <w:jc w:val="center"/>
        <w:textAlignment w:val="auto"/>
        <w:rPr>
          <w:rFonts w:hint="eastAsia" w:eastAsia="方正小标宋简体"/>
          <w:bCs/>
          <w:spacing w:val="16"/>
          <w:sz w:val="44"/>
          <w:szCs w:val="44"/>
          <w:highlight w:val="none"/>
        </w:rPr>
      </w:pPr>
    </w:p>
    <w:p w14:paraId="2BCB829C">
      <w:pPr>
        <w:pStyle w:val="2"/>
        <w:rPr>
          <w:rFonts w:hint="eastAsia" w:eastAsia="方正小标宋简体"/>
          <w:bCs/>
          <w:spacing w:val="16"/>
          <w:sz w:val="44"/>
          <w:szCs w:val="44"/>
          <w:highlight w:val="none"/>
        </w:rPr>
      </w:pPr>
    </w:p>
    <w:p w14:paraId="6B2FD169">
      <w:pPr>
        <w:pStyle w:val="2"/>
        <w:rPr>
          <w:rFonts w:hint="eastAsia" w:eastAsia="方正小标宋简体"/>
          <w:bCs/>
          <w:spacing w:val="16"/>
          <w:sz w:val="44"/>
          <w:szCs w:val="44"/>
          <w:highlight w:val="none"/>
        </w:rPr>
      </w:pPr>
    </w:p>
    <w:p w14:paraId="3281D43F">
      <w:pPr>
        <w:pStyle w:val="2"/>
        <w:rPr>
          <w:rFonts w:hint="eastAsia" w:eastAsia="方正小标宋简体"/>
          <w:bCs/>
          <w:spacing w:val="16"/>
          <w:sz w:val="44"/>
          <w:szCs w:val="44"/>
          <w:highlight w:val="none"/>
        </w:rPr>
      </w:pPr>
    </w:p>
    <w:p w14:paraId="29F6546D">
      <w:pPr>
        <w:pStyle w:val="2"/>
        <w:rPr>
          <w:rFonts w:hint="eastAsia" w:eastAsia="方正小标宋简体"/>
          <w:bCs/>
          <w:spacing w:val="16"/>
          <w:sz w:val="44"/>
          <w:szCs w:val="44"/>
          <w:highlight w:val="none"/>
        </w:rPr>
      </w:pPr>
    </w:p>
    <w:p w14:paraId="1659325C">
      <w:pPr>
        <w:pStyle w:val="2"/>
        <w:rPr>
          <w:rFonts w:hint="eastAsia" w:eastAsia="方正小标宋简体"/>
          <w:bCs/>
          <w:spacing w:val="16"/>
          <w:sz w:val="44"/>
          <w:szCs w:val="44"/>
          <w:highlight w:val="none"/>
        </w:rPr>
      </w:pPr>
    </w:p>
    <w:p w14:paraId="3471F5FE">
      <w:pPr>
        <w:pStyle w:val="2"/>
        <w:rPr>
          <w:rFonts w:hint="eastAsia" w:eastAsia="方正小标宋简体"/>
          <w:bCs/>
          <w:spacing w:val="16"/>
          <w:sz w:val="44"/>
          <w:szCs w:val="44"/>
          <w:highlight w:val="none"/>
        </w:rPr>
      </w:pPr>
    </w:p>
    <w:p w14:paraId="2A336EA0">
      <w:pPr>
        <w:pStyle w:val="2"/>
        <w:ind w:left="0" w:leftChars="0" w:firstLine="0" w:firstLineChars="0"/>
        <w:rPr>
          <w:rFonts w:hint="eastAsia" w:eastAsia="方正小标宋简体"/>
          <w:bCs/>
          <w:spacing w:val="16"/>
          <w:sz w:val="44"/>
          <w:szCs w:val="44"/>
          <w:highlight w:val="none"/>
        </w:rPr>
      </w:pPr>
    </w:p>
    <w:p w14:paraId="533993CE">
      <w:pPr>
        <w:keepNext w:val="0"/>
        <w:keepLines w:val="0"/>
        <w:pageBreakBefore w:val="0"/>
        <w:kinsoku/>
        <w:overflowPunct/>
        <w:topLinePunct w:val="0"/>
        <w:bidi w:val="0"/>
        <w:spacing w:before="28" w:line="600" w:lineRule="exact"/>
        <w:jc w:val="center"/>
        <w:textAlignment w:val="auto"/>
        <w:rPr>
          <w:rFonts w:hint="eastAsia" w:eastAsia="方正小标宋简体"/>
          <w:bCs/>
          <w:spacing w:val="16"/>
          <w:sz w:val="44"/>
          <w:szCs w:val="44"/>
          <w:highlight w:val="none"/>
        </w:rPr>
      </w:pPr>
      <w:r>
        <w:rPr>
          <w:rFonts w:hint="eastAsia" w:eastAsia="方正小标宋简体"/>
          <w:bCs/>
          <w:spacing w:val="16"/>
          <w:sz w:val="44"/>
          <w:szCs w:val="44"/>
          <w:highlight w:val="none"/>
        </w:rPr>
        <w:t>北辰区水安全保障“十四五”规划</w:t>
      </w:r>
    </w:p>
    <w:p w14:paraId="4DE7EF62">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eastAsia="方正小标宋简体"/>
          <w:sz w:val="44"/>
          <w:szCs w:val="44"/>
          <w:highlight w:val="none"/>
        </w:rPr>
      </w:pPr>
      <w:r>
        <w:rPr>
          <w:rFonts w:hint="eastAsia" w:eastAsia="方正小标宋简体"/>
          <w:sz w:val="44"/>
          <w:szCs w:val="44"/>
          <w:highlight w:val="none"/>
          <w:lang w:val="en-US" w:eastAsia="zh-CN"/>
        </w:rPr>
        <w:t xml:space="preserve">序    </w:t>
      </w:r>
      <w:r>
        <w:rPr>
          <w:rFonts w:eastAsia="方正小标宋简体"/>
          <w:sz w:val="44"/>
          <w:szCs w:val="44"/>
          <w:highlight w:val="none"/>
        </w:rPr>
        <w:t>言</w:t>
      </w:r>
    </w:p>
    <w:p w14:paraId="7D274D8D">
      <w:pPr>
        <w:keepNext w:val="0"/>
        <w:keepLines w:val="0"/>
        <w:pageBreakBefore w:val="0"/>
        <w:kinsoku/>
        <w:overflowPunct/>
        <w:topLinePunct w:val="0"/>
        <w:bidi w:val="0"/>
        <w:spacing w:line="600" w:lineRule="exact"/>
        <w:jc w:val="center"/>
        <w:textAlignment w:val="auto"/>
        <w:rPr>
          <w:rFonts w:eastAsia="方正小标宋简体"/>
          <w:sz w:val="32"/>
          <w:szCs w:val="32"/>
          <w:highlight w:val="none"/>
        </w:rPr>
      </w:pPr>
    </w:p>
    <w:p w14:paraId="78AF9F29">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lang w:val="en-US"/>
        </w:rPr>
      </w:pPr>
      <w:r>
        <w:rPr>
          <w:rFonts w:hint="eastAsia" w:hAnsi="仿宋" w:cs="仿宋"/>
          <w:sz w:val="32"/>
          <w:szCs w:val="32"/>
          <w:highlight w:val="none"/>
          <w:lang w:val="en-US"/>
        </w:rPr>
        <w:t>水安全是国家安全的重要组成部分，关系到资源安全、生态安全、经济安全和社会安全。党的十八大以来，党中央、国务院高度重视水安全工作，习近平总书记强调水安全是涉及国家长治久安的大事，明确提出“节水优先、空间均衡、系统治理、两手发力”的新时期治水思路，把水安全上升为国家战略，作出了一系列重大决策部署。党的十九大提出决胜全面建设社会主义现代化</w:t>
      </w:r>
      <w:r>
        <w:rPr>
          <w:rFonts w:hint="eastAsia" w:hAnsi="仿宋" w:cs="仿宋"/>
          <w:sz w:val="32"/>
          <w:szCs w:val="32"/>
          <w:highlight w:val="none"/>
          <w:lang w:val="en-US" w:eastAsia="zh-CN"/>
        </w:rPr>
        <w:t>国家</w:t>
      </w:r>
      <w:r>
        <w:rPr>
          <w:rFonts w:hint="eastAsia" w:hAnsi="仿宋" w:cs="仿宋"/>
          <w:sz w:val="32"/>
          <w:szCs w:val="32"/>
          <w:highlight w:val="none"/>
          <w:lang w:val="en-US"/>
        </w:rPr>
        <w:t>的宏伟目标和战略部署，党的十九届五中全会审议通过了《中共中央关于制定国民经济和社会发展第十四个五年规划和二〇三五年远景目标的建议》，对水安全保障工作提出了新要求。</w:t>
      </w:r>
    </w:p>
    <w:p w14:paraId="2669E594">
      <w:pPr>
        <w:pStyle w:val="3"/>
        <w:keepNext w:val="0"/>
        <w:keepLines w:val="0"/>
        <w:pageBreakBefore w:val="0"/>
        <w:kinsoku/>
        <w:overflowPunct/>
        <w:topLinePunct w:val="0"/>
        <w:bidi w:val="0"/>
        <w:spacing w:line="600" w:lineRule="exact"/>
        <w:ind w:firstLine="612" w:firstLineChars="200"/>
        <w:jc w:val="both"/>
        <w:textAlignment w:val="auto"/>
        <w:rPr>
          <w:rFonts w:hAnsi="仿宋" w:cs="仿宋"/>
          <w:sz w:val="32"/>
          <w:szCs w:val="32"/>
          <w:highlight w:val="none"/>
          <w:lang w:val="en-US"/>
        </w:rPr>
      </w:pPr>
      <w:r>
        <w:rPr>
          <w:rFonts w:hint="eastAsia" w:hAnsi="仿宋" w:cs="仿宋"/>
          <w:bCs/>
          <w:spacing w:val="-7"/>
          <w:sz w:val="32"/>
          <w:szCs w:val="32"/>
          <w:highlight w:val="none"/>
          <w:lang w:val="en-US"/>
        </w:rPr>
        <w:t>“十三五”时期，在区委</w:t>
      </w:r>
      <w:r>
        <w:rPr>
          <w:rFonts w:hint="eastAsia" w:hAnsi="仿宋" w:cs="仿宋"/>
          <w:bCs/>
          <w:spacing w:val="-7"/>
          <w:sz w:val="32"/>
          <w:szCs w:val="32"/>
          <w:highlight w:val="none"/>
          <w:lang w:val="en-US" w:eastAsia="zh-CN"/>
        </w:rPr>
        <w:t>、</w:t>
      </w:r>
      <w:r>
        <w:rPr>
          <w:rFonts w:hint="eastAsia" w:hAnsi="仿宋" w:cs="仿宋"/>
          <w:bCs/>
          <w:spacing w:val="-7"/>
          <w:sz w:val="32"/>
          <w:szCs w:val="32"/>
          <w:highlight w:val="none"/>
          <w:lang w:val="en-US"/>
        </w:rPr>
        <w:t>区政府正确领导下，本区水务投入持续增加，水务工程建设取得重大进展，水务基础设施不断完善，水务管理能力不断增强，水安全保障水平稳步提升，有力地保障和促进了本区国民经济和社会发展，也为今后的发展打下了坚实的基础。</w:t>
      </w:r>
    </w:p>
    <w:p w14:paraId="679B7EB9">
      <w:pPr>
        <w:keepNext w:val="0"/>
        <w:keepLines w:val="0"/>
        <w:pageBreakBefore w:val="0"/>
        <w:kinsoku/>
        <w:overflowPunct/>
        <w:topLinePunct w:val="0"/>
        <w:bidi w:val="0"/>
        <w:spacing w:line="600" w:lineRule="exact"/>
        <w:ind w:firstLine="600"/>
        <w:jc w:val="both"/>
        <w:textAlignment w:val="auto"/>
        <w:rPr>
          <w:rFonts w:hAnsi="仿宋" w:cs="仿宋"/>
          <w:sz w:val="32"/>
          <w:szCs w:val="32"/>
          <w:highlight w:val="none"/>
        </w:rPr>
      </w:pPr>
      <w:r>
        <w:rPr>
          <w:rFonts w:hint="eastAsia" w:hAnsi="仿宋" w:cs="仿宋"/>
          <w:sz w:val="32"/>
          <w:szCs w:val="32"/>
          <w:highlight w:val="none"/>
        </w:rPr>
        <w:t>“十四五”时期，是天津市在全面建成高质量小康社会基础上，开启全面建设社会主义现代化大都市新征程的第一个五年，也是本区推动高质量发展、构建新发展格局、建设繁荣富裕、文明和谐、宜居美丽新北辰的重要五年。</w:t>
      </w:r>
      <w:r>
        <w:rPr>
          <w:rFonts w:hint="default" w:hAnsi="仿宋" w:cs="仿宋"/>
          <w:sz w:val="32"/>
          <w:szCs w:val="32"/>
          <w:highlight w:val="none"/>
          <w:lang w:val="en"/>
        </w:rPr>
        <w:t xml:space="preserve"> </w:t>
      </w:r>
      <w:r>
        <w:rPr>
          <w:rFonts w:hint="eastAsia" w:hAnsi="仿宋" w:cs="仿宋"/>
          <w:sz w:val="32"/>
          <w:szCs w:val="32"/>
          <w:highlight w:val="none"/>
          <w:lang w:val="en-US"/>
        </w:rPr>
        <w:t>面临经济社会高质量发展</w:t>
      </w:r>
      <w:r>
        <w:rPr>
          <w:rFonts w:hint="eastAsia" w:hAnsi="仿宋" w:cs="仿宋"/>
          <w:sz w:val="32"/>
          <w:szCs w:val="32"/>
          <w:highlight w:val="none"/>
        </w:rPr>
        <w:t>对水资源、水生态、水环境、水安全的需求与水</w:t>
      </w:r>
      <w:r>
        <w:rPr>
          <w:rFonts w:hint="eastAsia" w:hAnsi="仿宋" w:cs="仿宋"/>
          <w:sz w:val="32"/>
          <w:szCs w:val="32"/>
          <w:highlight w:val="none"/>
          <w:lang w:val="en-US"/>
        </w:rPr>
        <w:t>务</w:t>
      </w:r>
      <w:r>
        <w:rPr>
          <w:rFonts w:hint="eastAsia" w:hAnsi="仿宋" w:cs="仿宋"/>
          <w:sz w:val="32"/>
          <w:szCs w:val="32"/>
          <w:highlight w:val="none"/>
        </w:rPr>
        <w:t>工程能力不足、行业监管能力不足的矛盾，需要转变治水思路，从科学配置水资源、不断改善水环境、加强保护水生态、严格确保水安全四个方面入手，从全局和战略高度，构建水资源</w:t>
      </w:r>
      <w:r>
        <w:rPr>
          <w:rFonts w:hint="eastAsia" w:hAnsi="仿宋" w:cs="仿宋"/>
          <w:sz w:val="32"/>
          <w:szCs w:val="32"/>
          <w:highlight w:val="none"/>
          <w:lang w:val="en-US"/>
        </w:rPr>
        <w:t>统筹利用</w:t>
      </w:r>
      <w:r>
        <w:rPr>
          <w:rFonts w:hint="eastAsia" w:hAnsi="仿宋" w:cs="仿宋"/>
          <w:sz w:val="32"/>
          <w:szCs w:val="32"/>
          <w:highlight w:val="none"/>
        </w:rPr>
        <w:t>、水</w:t>
      </w:r>
      <w:r>
        <w:rPr>
          <w:rFonts w:hint="eastAsia" w:hAnsi="仿宋" w:cs="仿宋"/>
          <w:sz w:val="32"/>
          <w:szCs w:val="32"/>
          <w:highlight w:val="none"/>
          <w:lang w:val="en-US"/>
        </w:rPr>
        <w:t>环境治理、</w:t>
      </w:r>
      <w:r>
        <w:rPr>
          <w:rFonts w:hint="eastAsia" w:hAnsi="仿宋" w:cs="仿宋"/>
          <w:sz w:val="32"/>
          <w:szCs w:val="32"/>
          <w:highlight w:val="none"/>
        </w:rPr>
        <w:t>水生态</w:t>
      </w:r>
      <w:r>
        <w:rPr>
          <w:rFonts w:hint="eastAsia" w:hAnsi="仿宋" w:cs="仿宋"/>
          <w:sz w:val="32"/>
          <w:szCs w:val="32"/>
          <w:highlight w:val="none"/>
          <w:lang w:val="en-US"/>
        </w:rPr>
        <w:t>保护</w:t>
      </w:r>
      <w:r>
        <w:rPr>
          <w:rFonts w:hint="eastAsia" w:hAnsi="仿宋" w:cs="仿宋"/>
          <w:sz w:val="32"/>
          <w:szCs w:val="32"/>
          <w:highlight w:val="none"/>
        </w:rPr>
        <w:t>和</w:t>
      </w:r>
      <w:r>
        <w:rPr>
          <w:rFonts w:hint="eastAsia" w:hAnsi="仿宋" w:cs="仿宋"/>
          <w:sz w:val="32"/>
          <w:szCs w:val="32"/>
          <w:highlight w:val="none"/>
          <w:lang w:val="en-US"/>
        </w:rPr>
        <w:t>水安全保障</w:t>
      </w:r>
      <w:r>
        <w:rPr>
          <w:rFonts w:hint="eastAsia" w:hAnsi="仿宋" w:cs="仿宋"/>
          <w:sz w:val="32"/>
          <w:szCs w:val="32"/>
          <w:highlight w:val="none"/>
        </w:rPr>
        <w:t>战略布局，充分发挥水资源的引导约束和服务保障功能，科学编制水安全保障“十</w:t>
      </w:r>
      <w:r>
        <w:rPr>
          <w:rFonts w:hint="eastAsia" w:hAnsi="仿宋" w:cs="仿宋"/>
          <w:sz w:val="32"/>
          <w:szCs w:val="32"/>
          <w:highlight w:val="none"/>
          <w:lang w:val="en-US"/>
        </w:rPr>
        <w:t>四</w:t>
      </w:r>
      <w:r>
        <w:rPr>
          <w:rFonts w:hint="eastAsia" w:hAnsi="仿宋" w:cs="仿宋"/>
          <w:sz w:val="32"/>
          <w:szCs w:val="32"/>
          <w:highlight w:val="none"/>
        </w:rPr>
        <w:t>五”规划，</w:t>
      </w:r>
      <w:r>
        <w:rPr>
          <w:rFonts w:hint="eastAsia" w:hAnsi="仿宋" w:cs="仿宋"/>
          <w:sz w:val="32"/>
          <w:szCs w:val="32"/>
          <w:highlight w:val="none"/>
          <w:lang w:val="en-US"/>
        </w:rPr>
        <w:t>为本区</w:t>
      </w:r>
      <w:r>
        <w:rPr>
          <w:rFonts w:hint="eastAsia" w:hAnsi="仿宋" w:cs="仿宋"/>
          <w:sz w:val="32"/>
          <w:szCs w:val="32"/>
          <w:highlight w:val="none"/>
        </w:rPr>
        <w:t>经济社会的</w:t>
      </w:r>
      <w:r>
        <w:rPr>
          <w:rFonts w:hint="eastAsia" w:hAnsi="仿宋" w:cs="仿宋"/>
          <w:sz w:val="32"/>
          <w:szCs w:val="32"/>
          <w:highlight w:val="none"/>
          <w:lang w:val="en-US"/>
        </w:rPr>
        <w:t>高质量发展和</w:t>
      </w:r>
      <w:r>
        <w:rPr>
          <w:rFonts w:hint="eastAsia" w:hAnsi="仿宋" w:cs="仿宋"/>
          <w:sz w:val="32"/>
          <w:szCs w:val="32"/>
          <w:highlight w:val="none"/>
        </w:rPr>
        <w:t>可持续发展，</w:t>
      </w:r>
      <w:r>
        <w:rPr>
          <w:rFonts w:hint="eastAsia" w:hAnsi="仿宋" w:cs="仿宋"/>
          <w:sz w:val="32"/>
          <w:szCs w:val="32"/>
          <w:highlight w:val="none"/>
          <w:lang w:val="en-US"/>
        </w:rPr>
        <w:t>提供基础保障和有力支撑</w:t>
      </w:r>
      <w:r>
        <w:rPr>
          <w:rFonts w:hint="eastAsia" w:hAnsi="仿宋" w:cs="仿宋"/>
          <w:sz w:val="32"/>
          <w:szCs w:val="32"/>
          <w:highlight w:val="none"/>
        </w:rPr>
        <w:t>。</w:t>
      </w:r>
    </w:p>
    <w:p w14:paraId="2759DAE2">
      <w:pPr>
        <w:pStyle w:val="3"/>
        <w:keepNext w:val="0"/>
        <w:keepLines w:val="0"/>
        <w:pageBreakBefore w:val="0"/>
        <w:kinsoku/>
        <w:overflowPunct/>
        <w:topLinePunct w:val="0"/>
        <w:bidi w:val="0"/>
        <w:spacing w:line="600" w:lineRule="exact"/>
        <w:ind w:firstLine="640" w:firstLineChars="200"/>
        <w:jc w:val="both"/>
        <w:textAlignment w:val="auto"/>
        <w:rPr>
          <w:sz w:val="32"/>
          <w:szCs w:val="32"/>
          <w:highlight w:val="none"/>
        </w:rPr>
      </w:pPr>
      <w:r>
        <w:rPr>
          <w:rFonts w:hint="eastAsia" w:hAnsi="仿宋" w:cs="仿宋"/>
          <w:sz w:val="32"/>
          <w:szCs w:val="32"/>
          <w:highlight w:val="none"/>
        </w:rPr>
        <w:t>北辰区水安全保障“十四五”规划</w:t>
      </w:r>
      <w:r>
        <w:rPr>
          <w:rFonts w:hint="eastAsia" w:hAnsi="仿宋" w:cs="仿宋"/>
          <w:sz w:val="32"/>
          <w:szCs w:val="32"/>
          <w:highlight w:val="none"/>
          <w:lang w:val="en-US"/>
        </w:rPr>
        <w:t>是</w:t>
      </w:r>
      <w:r>
        <w:rPr>
          <w:rFonts w:hint="eastAsia" w:hAnsi="仿宋" w:cs="仿宋"/>
          <w:sz w:val="32"/>
          <w:szCs w:val="32"/>
          <w:highlight w:val="none"/>
        </w:rPr>
        <w:t>本区国民经济和社会发展“十四五”规划的重要专题规划之一。本规划</w:t>
      </w:r>
      <w:r>
        <w:rPr>
          <w:rFonts w:hint="eastAsia" w:hAnsi="仿宋" w:cs="仿宋"/>
          <w:sz w:val="32"/>
          <w:szCs w:val="32"/>
          <w:highlight w:val="none"/>
          <w:lang w:eastAsia="zh-CN"/>
        </w:rPr>
        <w:t>依据《天津市北辰区国民经济和社会发展第十四个五年规划和二〇三五年远景目标纲要》和《天津市水安全保障“十四五”规划》，</w:t>
      </w:r>
      <w:r>
        <w:rPr>
          <w:rFonts w:hint="eastAsia" w:hAnsi="仿宋" w:cs="仿宋"/>
          <w:sz w:val="32"/>
          <w:szCs w:val="32"/>
          <w:highlight w:val="none"/>
        </w:rPr>
        <w:t>以保障水安全为总体目标，积极转变治水思路，准确把握形势要求，统筹水资源短缺、水环境污染、水生态退化、</w:t>
      </w:r>
      <w:r>
        <w:rPr>
          <w:rFonts w:hint="eastAsia" w:hAnsi="仿宋" w:cs="仿宋"/>
          <w:sz w:val="32"/>
          <w:szCs w:val="32"/>
          <w:highlight w:val="none"/>
          <w:lang w:val="en-US"/>
        </w:rPr>
        <w:t>水灾害隐患</w:t>
      </w:r>
      <w:r>
        <w:rPr>
          <w:rFonts w:hint="eastAsia" w:hAnsi="仿宋" w:cs="仿宋"/>
          <w:sz w:val="32"/>
          <w:szCs w:val="32"/>
          <w:highlight w:val="none"/>
        </w:rPr>
        <w:t>等新老水问题，重点突出工程补短板、行业强监管、改革促发展，全力打造供水、防汛、水生态、</w:t>
      </w:r>
      <w:r>
        <w:rPr>
          <w:rFonts w:hint="eastAsia" w:hAnsi="仿宋" w:cs="仿宋"/>
          <w:sz w:val="32"/>
          <w:szCs w:val="32"/>
          <w:highlight w:val="none"/>
          <w:lang w:val="en-US"/>
        </w:rPr>
        <w:t>水治理</w:t>
      </w:r>
      <w:r>
        <w:rPr>
          <w:rFonts w:hint="eastAsia" w:hAnsi="仿宋" w:cs="仿宋"/>
          <w:sz w:val="32"/>
          <w:szCs w:val="32"/>
          <w:highlight w:val="none"/>
        </w:rPr>
        <w:t>保障体系，是未来五年</w:t>
      </w:r>
      <w:r>
        <w:rPr>
          <w:rFonts w:hint="eastAsia" w:hAnsi="仿宋" w:cs="仿宋"/>
          <w:sz w:val="32"/>
          <w:szCs w:val="32"/>
          <w:highlight w:val="none"/>
          <w:lang w:val="en-US"/>
        </w:rPr>
        <w:t>本区</w:t>
      </w:r>
      <w:r>
        <w:rPr>
          <w:rFonts w:hint="eastAsia" w:hAnsi="仿宋" w:cs="仿宋"/>
          <w:sz w:val="32"/>
          <w:szCs w:val="32"/>
          <w:highlight w:val="none"/>
        </w:rPr>
        <w:t>水务发展的指导性文件。</w:t>
      </w:r>
    </w:p>
    <w:p w14:paraId="7C199B59">
      <w:pPr>
        <w:pStyle w:val="6"/>
        <w:keepNext w:val="0"/>
        <w:keepLines w:val="0"/>
        <w:pageBreakBefore w:val="0"/>
        <w:kinsoku/>
        <w:overflowPunct/>
        <w:topLinePunct w:val="0"/>
        <w:bidi w:val="0"/>
        <w:spacing w:line="600" w:lineRule="exact"/>
        <w:textAlignment w:val="auto"/>
      </w:pPr>
    </w:p>
    <w:p w14:paraId="25BDB487">
      <w:pPr>
        <w:keepNext w:val="0"/>
        <w:keepLines w:val="0"/>
        <w:pageBreakBefore w:val="0"/>
        <w:numPr>
          <w:ilvl w:val="0"/>
          <w:numId w:val="0"/>
        </w:numPr>
        <w:kinsoku/>
        <w:overflowPunct/>
        <w:topLinePunct w:val="0"/>
        <w:autoSpaceDE/>
        <w:autoSpaceDN/>
        <w:bidi w:val="0"/>
        <w:spacing w:before="120" w:beforeLines="50" w:after="120" w:afterLines="50" w:line="600" w:lineRule="exact"/>
        <w:jc w:val="both"/>
        <w:textAlignment w:val="auto"/>
        <w:outlineLvl w:val="0"/>
        <w:rPr>
          <w:rFonts w:ascii="方正小标宋简体" w:hAnsi="方正小标宋简体" w:eastAsia="方正小标宋简体" w:cs="方正小标宋简体"/>
          <w:bCs/>
          <w:kern w:val="2"/>
          <w:sz w:val="36"/>
          <w:szCs w:val="36"/>
          <w:highlight w:val="none"/>
          <w:lang w:bidi="ar-SA"/>
        </w:rPr>
        <w:sectPr>
          <w:headerReference r:id="rId3" w:type="default"/>
          <w:footerReference r:id="rId4"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sectPr>
      </w:pPr>
      <w:bookmarkStart w:id="0" w:name="_bookmark0"/>
      <w:bookmarkEnd w:id="0"/>
      <w:bookmarkStart w:id="1" w:name="_Toc66804145"/>
    </w:p>
    <w:p w14:paraId="0639AA9E">
      <w:pPr>
        <w:keepNext w:val="0"/>
        <w:keepLines w:val="0"/>
        <w:pageBreakBefore w:val="0"/>
        <w:numPr>
          <w:ilvl w:val="0"/>
          <w:numId w:val="1"/>
        </w:numPr>
        <w:kinsoku/>
        <w:overflowPunct/>
        <w:topLinePunct w:val="0"/>
        <w:autoSpaceDE/>
        <w:autoSpaceDN/>
        <w:bidi w:val="0"/>
        <w:spacing w:before="120" w:beforeLines="50" w:after="120" w:afterLines="50" w:line="600" w:lineRule="exact"/>
        <w:jc w:val="center"/>
        <w:textAlignment w:val="auto"/>
        <w:outlineLvl w:val="0"/>
        <w:rPr>
          <w:rFonts w:ascii="方正小标宋简体" w:hAnsi="方正小标宋简体" w:eastAsia="方正小标宋简体" w:cs="方正小标宋简体"/>
          <w:bCs/>
          <w:kern w:val="2"/>
          <w:sz w:val="36"/>
          <w:szCs w:val="36"/>
          <w:highlight w:val="none"/>
          <w:lang w:bidi="ar-SA"/>
        </w:rPr>
      </w:pPr>
      <w:r>
        <w:rPr>
          <w:rFonts w:hint="eastAsia" w:ascii="方正小标宋简体" w:hAnsi="方正小标宋简体" w:eastAsia="方正小标宋简体" w:cs="方正小标宋简体"/>
          <w:b w:val="0"/>
          <w:bCs/>
          <w:sz w:val="36"/>
          <w:szCs w:val="36"/>
          <w:highlight w:val="none"/>
        </w:rPr>
        <w:t xml:space="preserve">  </w:t>
      </w:r>
      <w:r>
        <w:rPr>
          <w:rFonts w:hint="eastAsia" w:ascii="方正小标宋简体" w:hAnsi="方正小标宋简体" w:eastAsia="方正小标宋简体" w:cs="方正小标宋简体"/>
          <w:bCs/>
          <w:kern w:val="2"/>
          <w:sz w:val="36"/>
          <w:szCs w:val="36"/>
          <w:highlight w:val="none"/>
          <w:lang w:bidi="ar-SA"/>
        </w:rPr>
        <w:t>“十三五”水安全保障现状</w:t>
      </w:r>
      <w:bookmarkEnd w:id="1"/>
    </w:p>
    <w:p w14:paraId="34E767AA">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600" w:lineRule="exact"/>
        <w:jc w:val="center"/>
        <w:textAlignment w:val="auto"/>
        <w:outlineLvl w:val="1"/>
        <w:rPr>
          <w:rFonts w:ascii="Times New Roman" w:hAnsi="Times New Roman" w:eastAsia="黑体" w:cs="黑体"/>
          <w:sz w:val="32"/>
          <w:szCs w:val="32"/>
          <w:highlight w:val="none"/>
        </w:rPr>
      </w:pPr>
      <w:r>
        <w:rPr>
          <w:rFonts w:hint="eastAsia" w:ascii="Times New Roman" w:hAnsi="Times New Roman" w:eastAsia="黑体" w:cs="黑体"/>
          <w:sz w:val="32"/>
          <w:szCs w:val="32"/>
          <w:highlight w:val="none"/>
          <w:lang w:eastAsia="zh-CN"/>
        </w:rPr>
        <w:t>第一节</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黑体" w:cs="黑体"/>
          <w:sz w:val="32"/>
          <w:szCs w:val="32"/>
          <w:highlight w:val="none"/>
        </w:rPr>
        <w:t>建设项目完成总体情况</w:t>
      </w:r>
    </w:p>
    <w:p w14:paraId="10B4F7F4">
      <w:pPr>
        <w:pStyle w:val="3"/>
        <w:keepNext w:val="0"/>
        <w:keepLines w:val="0"/>
        <w:pageBreakBefore w:val="0"/>
        <w:kinsoku/>
        <w:overflowPunct/>
        <w:topLinePunct w:val="0"/>
        <w:bidi w:val="0"/>
        <w:spacing w:line="600" w:lineRule="exact"/>
        <w:ind w:firstLine="640" w:firstLineChars="200"/>
        <w:jc w:val="both"/>
        <w:textAlignment w:val="auto"/>
        <w:rPr>
          <w:rFonts w:hint="eastAsia" w:hAnsi="仿宋" w:cs="仿宋"/>
          <w:sz w:val="32"/>
          <w:szCs w:val="32"/>
          <w:highlight w:val="none"/>
        </w:rPr>
      </w:pPr>
      <w:r>
        <w:rPr>
          <w:rFonts w:hint="eastAsia" w:hAnsi="仿宋" w:cs="仿宋"/>
          <w:sz w:val="32"/>
          <w:szCs w:val="32"/>
          <w:highlight w:val="none"/>
        </w:rPr>
        <w:t>“十三五”时期，区委</w:t>
      </w:r>
      <w:r>
        <w:rPr>
          <w:rFonts w:hint="eastAsia" w:hAnsi="仿宋" w:cs="仿宋"/>
          <w:sz w:val="32"/>
          <w:szCs w:val="32"/>
          <w:highlight w:val="none"/>
          <w:lang w:eastAsia="zh-CN"/>
        </w:rPr>
        <w:t>、</w:t>
      </w:r>
      <w:r>
        <w:rPr>
          <w:rFonts w:hint="eastAsia" w:hAnsi="仿宋" w:cs="仿宋"/>
          <w:sz w:val="32"/>
          <w:szCs w:val="32"/>
          <w:highlight w:val="none"/>
        </w:rPr>
        <w:t>区政府高度重视水资源保障、水生态修复、水灾害防御等水安全保障工作，共安排了水资源配置及城乡供水、水环境治理及水生态修复、防洪除涝减灾、水务综合管理等4方面18个项目</w:t>
      </w:r>
      <w:r>
        <w:rPr>
          <w:rFonts w:hint="eastAsia" w:hAnsi="仿宋" w:cs="仿宋"/>
          <w:sz w:val="32"/>
          <w:szCs w:val="32"/>
          <w:highlight w:val="none"/>
          <w:lang w:eastAsia="zh-CN"/>
        </w:rPr>
        <w:t>，</w:t>
      </w:r>
      <w:r>
        <w:rPr>
          <w:rFonts w:hint="eastAsia" w:hAnsi="仿宋" w:cs="仿宋"/>
          <w:sz w:val="32"/>
          <w:szCs w:val="32"/>
          <w:highlight w:val="none"/>
        </w:rPr>
        <w:t>其中农村饮水提质增效、生活污水收集及处理、城乡雨污合流改造、坑塘沟渠治理、黑臭水体治理、河流生态廊道建设、地下水保护、分层标</w:t>
      </w:r>
      <w:r>
        <w:rPr>
          <w:rFonts w:hint="eastAsia" w:hAnsi="仿宋" w:cs="仿宋"/>
          <w:sz w:val="32"/>
          <w:szCs w:val="32"/>
          <w:highlight w:val="none"/>
          <w:lang w:eastAsia="zh-CN"/>
        </w:rPr>
        <w:t>组</w:t>
      </w:r>
      <w:r>
        <w:rPr>
          <w:rFonts w:hint="eastAsia" w:hAnsi="仿宋" w:cs="仿宋"/>
          <w:sz w:val="32"/>
          <w:szCs w:val="32"/>
          <w:highlight w:val="none"/>
        </w:rPr>
        <w:t>建设、水利风景区运营管理、节水载体创建、防汛会商决策支持系统建设、信息化办公、局域网建设</w:t>
      </w:r>
      <w:r>
        <w:rPr>
          <w:rFonts w:hint="eastAsia" w:hAnsi="仿宋" w:cs="仿宋"/>
          <w:sz w:val="32"/>
          <w:szCs w:val="32"/>
          <w:highlight w:val="none"/>
          <w:lang w:val="en-US"/>
        </w:rPr>
        <w:t>13</w:t>
      </w:r>
      <w:r>
        <w:rPr>
          <w:rFonts w:hint="eastAsia" w:hAnsi="仿宋" w:cs="仿宋"/>
          <w:sz w:val="32"/>
          <w:szCs w:val="32"/>
          <w:highlight w:val="none"/>
        </w:rPr>
        <w:t>项已完成，河道排水能力提升、水源切换、污水处理厂网改扩建、水土保持工程、“以奖代补”资金发放</w:t>
      </w:r>
      <w:r>
        <w:rPr>
          <w:rFonts w:hint="eastAsia" w:hAnsi="仿宋" w:cs="仿宋"/>
          <w:sz w:val="32"/>
          <w:szCs w:val="32"/>
          <w:highlight w:val="none"/>
          <w:lang w:val="en-US"/>
        </w:rPr>
        <w:t>5项</w:t>
      </w:r>
      <w:r>
        <w:rPr>
          <w:rFonts w:hint="eastAsia" w:hAnsi="仿宋" w:cs="仿宋"/>
          <w:sz w:val="32"/>
          <w:szCs w:val="32"/>
          <w:highlight w:val="none"/>
        </w:rPr>
        <w:t>受投融资渠道收窄等原因影响</w:t>
      </w:r>
      <w:r>
        <w:rPr>
          <w:rFonts w:hint="eastAsia" w:hAnsi="仿宋" w:cs="仿宋"/>
          <w:sz w:val="32"/>
          <w:szCs w:val="32"/>
          <w:highlight w:val="none"/>
          <w:lang w:val="en-US"/>
        </w:rPr>
        <w:t>未完成</w:t>
      </w:r>
      <w:r>
        <w:rPr>
          <w:rFonts w:hint="eastAsia" w:hAnsi="仿宋" w:cs="仿宋"/>
          <w:sz w:val="32"/>
          <w:szCs w:val="32"/>
          <w:highlight w:val="none"/>
        </w:rPr>
        <w:t>。</w:t>
      </w:r>
    </w:p>
    <w:p w14:paraId="534BE539">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经统计，“十三五”时期共完成投资43.97亿元</w:t>
      </w:r>
      <w:r>
        <w:rPr>
          <w:rFonts w:hint="default" w:hAnsi="仿宋" w:cs="仿宋"/>
          <w:sz w:val="32"/>
          <w:szCs w:val="32"/>
          <w:highlight w:val="none"/>
          <w:lang w:val="en"/>
        </w:rPr>
        <w:t>,</w:t>
      </w:r>
      <w:r>
        <w:rPr>
          <w:rFonts w:hint="eastAsia" w:hAnsi="仿宋" w:cs="仿宋"/>
          <w:sz w:val="32"/>
          <w:szCs w:val="32"/>
          <w:highlight w:val="none"/>
        </w:rPr>
        <w:t>完成投资呈逐年上升趋势，年均投资</w:t>
      </w:r>
      <w:r>
        <w:rPr>
          <w:rFonts w:hAnsi="仿宋" w:cs="仿宋"/>
          <w:sz w:val="32"/>
          <w:szCs w:val="32"/>
          <w:highlight w:val="none"/>
        </w:rPr>
        <w:t>8.79</w:t>
      </w:r>
      <w:r>
        <w:rPr>
          <w:rFonts w:hint="eastAsia" w:hAnsi="仿宋" w:cs="仿宋"/>
          <w:sz w:val="32"/>
          <w:szCs w:val="32"/>
          <w:highlight w:val="none"/>
        </w:rPr>
        <w:t>亿元。从投资结构看，防洪除涝减灾工程投资1.41亿元，城乡供水工程投资</w:t>
      </w:r>
      <w:r>
        <w:rPr>
          <w:rFonts w:hAnsi="仿宋" w:cs="仿宋"/>
          <w:sz w:val="32"/>
          <w:szCs w:val="32"/>
          <w:highlight w:val="none"/>
        </w:rPr>
        <w:t>5.50</w:t>
      </w:r>
      <w:r>
        <w:rPr>
          <w:rFonts w:hint="eastAsia" w:hAnsi="仿宋" w:cs="仿宋"/>
          <w:sz w:val="32"/>
          <w:szCs w:val="32"/>
          <w:highlight w:val="none"/>
        </w:rPr>
        <w:t>亿元，水环境治理及水生态修复工程投资</w:t>
      </w:r>
      <w:r>
        <w:rPr>
          <w:rFonts w:hAnsi="仿宋" w:cs="仿宋"/>
          <w:sz w:val="32"/>
          <w:szCs w:val="32"/>
          <w:highlight w:val="none"/>
        </w:rPr>
        <w:t>36.47</w:t>
      </w:r>
      <w:r>
        <w:rPr>
          <w:rFonts w:hint="eastAsia" w:hAnsi="仿宋" w:cs="仿宋"/>
          <w:sz w:val="32"/>
          <w:szCs w:val="32"/>
          <w:highlight w:val="none"/>
        </w:rPr>
        <w:t>亿元，行业能力建设及其他工程投资</w:t>
      </w:r>
      <w:r>
        <w:rPr>
          <w:rFonts w:hAnsi="仿宋" w:cs="仿宋"/>
          <w:sz w:val="32"/>
          <w:szCs w:val="32"/>
          <w:highlight w:val="none"/>
        </w:rPr>
        <w:t>0.59</w:t>
      </w:r>
      <w:r>
        <w:rPr>
          <w:rFonts w:hint="eastAsia" w:hAnsi="仿宋" w:cs="仿宋"/>
          <w:sz w:val="32"/>
          <w:szCs w:val="32"/>
          <w:highlight w:val="none"/>
        </w:rPr>
        <w:t>亿元，分别占完成投资的3%、</w:t>
      </w:r>
      <w:r>
        <w:rPr>
          <w:rFonts w:hAnsi="仿宋" w:cs="仿宋"/>
          <w:sz w:val="32"/>
          <w:szCs w:val="32"/>
          <w:highlight w:val="none"/>
        </w:rPr>
        <w:t>13</w:t>
      </w:r>
      <w:r>
        <w:rPr>
          <w:rFonts w:hint="eastAsia" w:hAnsi="仿宋" w:cs="仿宋"/>
          <w:sz w:val="32"/>
          <w:szCs w:val="32"/>
          <w:highlight w:val="none"/>
        </w:rPr>
        <w:t>%、</w:t>
      </w:r>
      <w:r>
        <w:rPr>
          <w:rFonts w:hAnsi="仿宋" w:cs="仿宋"/>
          <w:sz w:val="32"/>
          <w:szCs w:val="32"/>
          <w:highlight w:val="none"/>
        </w:rPr>
        <w:t>83</w:t>
      </w:r>
      <w:r>
        <w:rPr>
          <w:rFonts w:hint="eastAsia" w:hAnsi="仿宋" w:cs="仿宋"/>
          <w:sz w:val="32"/>
          <w:szCs w:val="32"/>
          <w:highlight w:val="none"/>
        </w:rPr>
        <w:t>%、</w:t>
      </w:r>
      <w:r>
        <w:rPr>
          <w:rFonts w:hAnsi="仿宋" w:cs="仿宋"/>
          <w:sz w:val="32"/>
          <w:szCs w:val="32"/>
          <w:highlight w:val="none"/>
        </w:rPr>
        <w:t>1</w:t>
      </w:r>
      <w:r>
        <w:rPr>
          <w:rFonts w:hint="eastAsia" w:hAnsi="仿宋" w:cs="仿宋"/>
          <w:sz w:val="32"/>
          <w:szCs w:val="32"/>
          <w:highlight w:val="none"/>
        </w:rPr>
        <w:t>%。综上所述，本区水安全保障建设已呈现以水环境治理与水生态修复为主，水资源配置及城乡供水、防洪减灾均衡协调发展的治水新特点。</w:t>
      </w:r>
    </w:p>
    <w:p w14:paraId="3953259E">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600" w:lineRule="exact"/>
        <w:jc w:val="both"/>
        <w:textAlignment w:val="auto"/>
        <w:outlineLvl w:val="1"/>
        <w:rPr>
          <w:rFonts w:hint="eastAsia" w:ascii="Times New Roman" w:hAnsi="Times New Roman" w:eastAsia="黑体" w:cs="黑体"/>
          <w:sz w:val="32"/>
          <w:szCs w:val="32"/>
          <w:highlight w:val="none"/>
          <w:lang w:eastAsia="zh-CN"/>
        </w:rPr>
        <w:sectPr>
          <w:footerReference r:id="rId5"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sectPr>
      </w:pPr>
    </w:p>
    <w:p w14:paraId="56268C87">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600" w:lineRule="exact"/>
        <w:jc w:val="center"/>
        <w:textAlignment w:val="auto"/>
        <w:outlineLvl w:val="1"/>
        <w:rPr>
          <w:rFonts w:ascii="Times New Roman" w:hAnsi="Times New Roman" w:eastAsia="黑体" w:cs="黑体"/>
          <w:sz w:val="32"/>
          <w:szCs w:val="32"/>
          <w:highlight w:val="none"/>
        </w:rPr>
      </w:pPr>
      <w:r>
        <w:rPr>
          <w:rFonts w:hint="eastAsia" w:ascii="Times New Roman" w:hAnsi="Times New Roman" w:eastAsia="黑体" w:cs="黑体"/>
          <w:sz w:val="32"/>
          <w:szCs w:val="32"/>
          <w:highlight w:val="none"/>
          <w:lang w:eastAsia="zh-CN"/>
        </w:rPr>
        <w:t>第二节</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黑体" w:cs="黑体"/>
          <w:sz w:val="32"/>
          <w:szCs w:val="32"/>
          <w:highlight w:val="none"/>
        </w:rPr>
        <w:t>规划目标指标完成情况</w:t>
      </w:r>
    </w:p>
    <w:p w14:paraId="02AA1F94">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对“十三五”规划目标指标主要评估</w:t>
      </w:r>
      <w:r>
        <w:rPr>
          <w:rFonts w:hint="eastAsia" w:hAnsi="仿宋" w:cs="仿宋"/>
          <w:sz w:val="32"/>
          <w:szCs w:val="32"/>
          <w:highlight w:val="none"/>
          <w:lang w:val="en-US"/>
        </w:rPr>
        <w:t>8</w:t>
      </w:r>
      <w:r>
        <w:rPr>
          <w:rFonts w:hint="eastAsia" w:hAnsi="仿宋" w:cs="仿宋"/>
          <w:sz w:val="32"/>
          <w:szCs w:val="32"/>
          <w:highlight w:val="none"/>
        </w:rPr>
        <w:t>项，其中城镇供水普及率、深层地下水开采量、城镇建成区雨水管网覆盖率、城镇综合污水处理率、黑臭水体治理</w:t>
      </w:r>
      <w:r>
        <w:rPr>
          <w:rFonts w:hint="eastAsia" w:hAnsi="仿宋" w:cs="仿宋"/>
          <w:sz w:val="32"/>
          <w:szCs w:val="32"/>
          <w:highlight w:val="none"/>
          <w:lang w:val="en-US"/>
        </w:rPr>
        <w:t>6</w:t>
      </w:r>
      <w:r>
        <w:rPr>
          <w:rFonts w:hint="eastAsia" w:hAnsi="仿宋" w:cs="仿宋"/>
          <w:sz w:val="32"/>
          <w:szCs w:val="32"/>
          <w:highlight w:val="none"/>
        </w:rPr>
        <w:t>项指标已完成；万元工业增加值用水量、万元地区生产总值用水量2项指标由于本区经济发展处于由高速发展向高质量发展转变、产业结构不断优化和新旧动能加速转换的阶段，受GDP数据和万元工业增加值的变化和统计部门统一核算改革的影响，没有完成预期目标。</w:t>
      </w:r>
    </w:p>
    <w:p w14:paraId="12241599">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600" w:lineRule="exact"/>
        <w:jc w:val="center"/>
        <w:textAlignment w:val="auto"/>
        <w:outlineLvl w:val="1"/>
        <w:rPr>
          <w:rFonts w:ascii="Times New Roman" w:hAnsi="Times New Roman" w:eastAsia="黑体" w:cs="Times New Roman"/>
          <w:bCs/>
          <w:kern w:val="2"/>
          <w:sz w:val="32"/>
          <w:szCs w:val="32"/>
          <w:highlight w:val="none"/>
          <w:lang w:val="en-US" w:bidi="ar-SA"/>
        </w:rPr>
      </w:pPr>
      <w:r>
        <w:rPr>
          <w:rFonts w:hint="eastAsia" w:ascii="Times New Roman" w:hAnsi="Times New Roman" w:eastAsia="黑体" w:cs="黑体"/>
          <w:sz w:val="32"/>
          <w:szCs w:val="32"/>
          <w:highlight w:val="none"/>
          <w:lang w:eastAsia="zh-CN"/>
        </w:rPr>
        <w:t>第三节</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黑体" w:cs="黑体"/>
          <w:sz w:val="32"/>
          <w:szCs w:val="32"/>
          <w:highlight w:val="none"/>
        </w:rPr>
        <w:t>水安全保障主要成就</w:t>
      </w:r>
    </w:p>
    <w:p w14:paraId="1385FFEB">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“十三五”期间，</w:t>
      </w:r>
      <w:r>
        <w:rPr>
          <w:rFonts w:hint="eastAsia" w:hAnsi="仿宋" w:cs="仿宋"/>
          <w:sz w:val="32"/>
          <w:szCs w:val="32"/>
          <w:highlight w:val="none"/>
          <w:lang w:eastAsia="zh-CN"/>
        </w:rPr>
        <w:t>本区</w:t>
      </w:r>
      <w:r>
        <w:rPr>
          <w:rFonts w:hint="eastAsia" w:hAnsi="仿宋" w:cs="仿宋"/>
          <w:sz w:val="32"/>
          <w:szCs w:val="32"/>
          <w:highlight w:val="none"/>
        </w:rPr>
        <w:t>坚持以科学规划为引领，以重点工程为依托，以改革创新为动力，集中建成一大批水务重大基础设施，完善形成了一系列治水管水兴水的良性体制机制，基本实现了由单一的水安全到水资源、水环境、水生态、水安全四位一体的跨越式发展，水务内涵大大丰富，服务领域不断拓宽。初步建成水资源及城乡供水、水环境与水生态、防洪除涝减灾、水务综合管理</w:t>
      </w:r>
      <w:r>
        <w:rPr>
          <w:rFonts w:hAnsi="仿宋" w:cs="仿宋"/>
          <w:sz w:val="32"/>
          <w:szCs w:val="32"/>
          <w:highlight w:val="none"/>
        </w:rPr>
        <w:t>4</w:t>
      </w:r>
      <w:r>
        <w:rPr>
          <w:rFonts w:hint="eastAsia" w:hAnsi="仿宋" w:cs="仿宋"/>
          <w:sz w:val="32"/>
          <w:szCs w:val="32"/>
          <w:highlight w:val="none"/>
        </w:rPr>
        <w:t>大水务体系，为本区经济社会发展提供了有力支撑。</w:t>
      </w:r>
    </w:p>
    <w:p w14:paraId="12FB9571">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节水型社会建设成效显著</w:t>
      </w:r>
    </w:p>
    <w:p w14:paraId="34B203FC">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实行最严格水资源管理制度和管理体系，加强节约用水管理，全面推进节水型社会建设。五年来，全区用水总量控制在</w:t>
      </w:r>
      <w:r>
        <w:rPr>
          <w:rFonts w:hAnsi="仿宋" w:cs="仿宋"/>
          <w:sz w:val="32"/>
          <w:szCs w:val="32"/>
          <w:highlight w:val="none"/>
          <w:lang w:val="en"/>
        </w:rPr>
        <w:t>5.3</w:t>
      </w:r>
      <w:r>
        <w:rPr>
          <w:rFonts w:hint="eastAsia" w:hAnsi="仿宋" w:cs="仿宋"/>
          <w:sz w:val="32"/>
          <w:szCs w:val="32"/>
          <w:highlight w:val="none"/>
        </w:rPr>
        <w:t>亿</w:t>
      </w:r>
      <w:r>
        <w:rPr>
          <w:rFonts w:hAnsi="仿宋" w:cs="仿宋"/>
          <w:sz w:val="32"/>
          <w:szCs w:val="32"/>
          <w:highlight w:val="none"/>
        </w:rPr>
        <w:t>立方米</w:t>
      </w:r>
      <w:r>
        <w:rPr>
          <w:rFonts w:hint="eastAsia" w:hAnsi="仿宋" w:cs="仿宋"/>
          <w:sz w:val="32"/>
          <w:szCs w:val="32"/>
          <w:highlight w:val="none"/>
        </w:rPr>
        <w:t>以内，其中地下水开采总量控制在</w:t>
      </w:r>
      <w:r>
        <w:rPr>
          <w:rFonts w:hint="eastAsia" w:hAnsi="仿宋" w:cs="仿宋"/>
          <w:sz w:val="32"/>
          <w:szCs w:val="32"/>
          <w:highlight w:val="none"/>
          <w:lang w:val="en-US"/>
        </w:rPr>
        <w:t>0.4亿立方米以内</w:t>
      </w:r>
      <w:r>
        <w:rPr>
          <w:rFonts w:hint="eastAsia" w:hAnsi="仿宋" w:cs="仿宋"/>
          <w:sz w:val="32"/>
          <w:szCs w:val="32"/>
          <w:highlight w:val="none"/>
        </w:rPr>
        <w:t>，节水器具普及率达到100%。全区</w:t>
      </w:r>
      <w:r>
        <w:rPr>
          <w:rFonts w:hint="eastAsia" w:hAnsi="仿宋" w:cs="仿宋"/>
          <w:sz w:val="32"/>
          <w:szCs w:val="32"/>
          <w:highlight w:val="none"/>
          <w:lang w:val="en-US"/>
        </w:rPr>
        <w:t>76家公共机构全部完成节水型单位创建工作，区内共38家单位（企业）、82个居民小区获得节水单位（企业）、节水型小区荣誉称号，</w:t>
      </w:r>
      <w:r>
        <w:rPr>
          <w:rFonts w:hint="eastAsia" w:hAnsi="仿宋" w:cs="仿宋"/>
          <w:sz w:val="32"/>
          <w:szCs w:val="32"/>
          <w:highlight w:val="none"/>
        </w:rPr>
        <w:t>全社会节水意识显著增强，形成了“政府领导、部门落实、政策引导、社会参与、上下联动、共同创建”的全域创建局面，顺利通过部级节水型社会达标验收。</w:t>
      </w:r>
    </w:p>
    <w:p w14:paraId="5BA83DBF">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二、城乡一体化供水格局初步形成</w:t>
      </w:r>
    </w:p>
    <w:p w14:paraId="23CDE3AB">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实施了农村饮水提质增效</w:t>
      </w:r>
      <w:r>
        <w:rPr>
          <w:rFonts w:hint="eastAsia" w:hAnsi="仿宋" w:cs="仿宋"/>
          <w:sz w:val="32"/>
          <w:szCs w:val="32"/>
          <w:highlight w:val="none"/>
          <w:lang w:eastAsia="zh-CN"/>
        </w:rPr>
        <w:t>和企事业单位</w:t>
      </w:r>
      <w:r>
        <w:rPr>
          <w:rFonts w:hint="eastAsia" w:hAnsi="仿宋" w:cs="仿宋"/>
          <w:sz w:val="32"/>
          <w:szCs w:val="32"/>
          <w:highlight w:val="none"/>
        </w:rPr>
        <w:t>水源转换工程，通过延伸城市供水管网，双口、西堤头2镇2</w:t>
      </w:r>
      <w:r>
        <w:rPr>
          <w:rFonts w:hAnsi="仿宋" w:cs="仿宋"/>
          <w:sz w:val="32"/>
          <w:szCs w:val="32"/>
          <w:highlight w:val="none"/>
        </w:rPr>
        <w:t>7</w:t>
      </w:r>
      <w:r>
        <w:rPr>
          <w:rFonts w:hint="eastAsia" w:hAnsi="仿宋" w:cs="仿宋"/>
          <w:sz w:val="32"/>
          <w:szCs w:val="32"/>
          <w:highlight w:val="none"/>
        </w:rPr>
        <w:t>个规划保留村用上城市自来水，消除了部分农村饮水安全隐患，全区</w:t>
      </w:r>
      <w:r>
        <w:rPr>
          <w:rFonts w:hint="eastAsia" w:hAnsi="仿宋" w:cs="仿宋"/>
          <w:sz w:val="32"/>
          <w:szCs w:val="32"/>
          <w:highlight w:val="none"/>
          <w:lang w:val="en-US"/>
        </w:rPr>
        <w:t>2000余家</w:t>
      </w:r>
      <w:r>
        <w:rPr>
          <w:rFonts w:hint="eastAsia" w:hAnsi="仿宋" w:cs="仿宋"/>
          <w:sz w:val="32"/>
          <w:szCs w:val="32"/>
          <w:highlight w:val="none"/>
        </w:rPr>
        <w:t>企事业单位生产生活用水由地下水改为引江水，城乡生活和工业供水得到了有力保障。</w:t>
      </w:r>
    </w:p>
    <w:p w14:paraId="74C0ED43">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三、区域排水能力稳步提升</w:t>
      </w:r>
    </w:p>
    <w:p w14:paraId="4672FAE6">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实施北丰产河治理</w:t>
      </w:r>
      <w:r>
        <w:rPr>
          <w:rFonts w:hint="eastAsia" w:hAnsi="仿宋" w:cs="仿宋"/>
          <w:sz w:val="32"/>
          <w:szCs w:val="32"/>
          <w:highlight w:val="none"/>
          <w:lang w:eastAsia="zh-CN"/>
        </w:rPr>
        <w:t>工程</w:t>
      </w:r>
      <w:r>
        <w:rPr>
          <w:rFonts w:hint="eastAsia" w:hAnsi="仿宋" w:cs="仿宋"/>
          <w:sz w:val="32"/>
          <w:szCs w:val="32"/>
          <w:highlight w:val="none"/>
        </w:rPr>
        <w:t>，扩建大张庄、郎园、河岔、三号桥4座泵站，新增排水能力27立方米/秒，显著提高了二级河道及骨干排水沟渠的外排能力。</w:t>
      </w:r>
    </w:p>
    <w:p w14:paraId="45F57D20">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四、水生态环境质量显著改善</w:t>
      </w:r>
    </w:p>
    <w:p w14:paraId="5AD515A4">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实施了生活污水收集处理工程、城乡雨污合流地区改造工程、坑塘沟渠治理工程和黑臭水体治理工程，加快污水处理厂提升改造和管网建设步伐。建成双口、西堤头镇2镇27个规划保留村的污水收集管网及处理设施，完成建成区20个雨污合流片区的雨污分流改造、环内地区101个雨污水混接点切改、环外地区29个雨污水混接点切改及污水管网补建、双街镇15个小区的雨污分流改造，污水管网覆盖率达到98%，新增污水处理能力13万</w:t>
      </w:r>
      <w:r>
        <w:rPr>
          <w:rFonts w:hAnsi="仿宋" w:cs="仿宋"/>
          <w:sz w:val="32"/>
          <w:szCs w:val="32"/>
          <w:highlight w:val="none"/>
        </w:rPr>
        <w:t>立方米</w:t>
      </w:r>
      <w:r>
        <w:rPr>
          <w:rFonts w:hint="eastAsia" w:hAnsi="仿宋" w:cs="仿宋"/>
          <w:sz w:val="32"/>
          <w:szCs w:val="32"/>
          <w:highlight w:val="none"/>
        </w:rPr>
        <w:t>/日，全区污水处理总规模达37万</w:t>
      </w:r>
      <w:r>
        <w:rPr>
          <w:rFonts w:hAnsi="仿宋" w:cs="仿宋"/>
          <w:sz w:val="32"/>
          <w:szCs w:val="32"/>
          <w:highlight w:val="none"/>
        </w:rPr>
        <w:t>立方米</w:t>
      </w:r>
      <w:r>
        <w:rPr>
          <w:rFonts w:hint="eastAsia" w:hAnsi="仿宋" w:cs="仿宋"/>
          <w:sz w:val="32"/>
          <w:szCs w:val="32"/>
          <w:highlight w:val="none"/>
        </w:rPr>
        <w:t>/日，城市污水处理率达到96</w:t>
      </w:r>
      <w:r>
        <w:rPr>
          <w:rFonts w:hAnsi="仿宋" w:cs="仿宋"/>
          <w:sz w:val="32"/>
          <w:szCs w:val="32"/>
          <w:highlight w:val="none"/>
        </w:rPr>
        <w:t>.3</w:t>
      </w:r>
      <w:r>
        <w:rPr>
          <w:rFonts w:hint="eastAsia" w:hAnsi="仿宋" w:cs="仿宋"/>
          <w:sz w:val="32"/>
          <w:szCs w:val="32"/>
          <w:highlight w:val="none"/>
        </w:rPr>
        <w:t>%，实现污水处理水质水量双提升；治理黑臭水体117处，有效改善农村水环境。水体优良比例逐年上升，区域地表水环境质量稳中向好。严控地下水开采，2015年至2020年压采地下水共计1109万</w:t>
      </w:r>
      <w:r>
        <w:rPr>
          <w:rFonts w:hAnsi="仿宋" w:cs="仿宋"/>
          <w:sz w:val="32"/>
          <w:szCs w:val="32"/>
          <w:highlight w:val="none"/>
        </w:rPr>
        <w:t>立方米</w:t>
      </w:r>
      <w:r>
        <w:rPr>
          <w:rFonts w:hint="eastAsia" w:hAnsi="仿宋" w:cs="仿宋"/>
          <w:sz w:val="32"/>
          <w:szCs w:val="32"/>
          <w:highlight w:val="none"/>
        </w:rPr>
        <w:t>，地下水水位总体呈现稳定及弱上升态势。</w:t>
      </w:r>
    </w:p>
    <w:p w14:paraId="5C044FAA">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五、河湖综合管理能力显著加强</w:t>
      </w:r>
    </w:p>
    <w:p w14:paraId="4C4ADAD8">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基本建立河（湖）长制的制度体系，形成区、镇（街、开发区）、村三级组织体系,全力推动河湖“清四乱”专项行动，实现了从“多头管”到“统一管”、从“管不住”到“管得好”的转变，区域内的河湖健康得到有效守护。</w:t>
      </w:r>
    </w:p>
    <w:p w14:paraId="7456BD7B">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六、水务管理水平稳步提高</w:t>
      </w:r>
    </w:p>
    <w:p w14:paraId="2EB9004B">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Ansi="仿宋" w:cs="仿宋"/>
          <w:sz w:val="32"/>
          <w:szCs w:val="32"/>
          <w:highlight w:val="none"/>
        </w:rPr>
        <w:t>机构改革完成相关职责界定、单位转隶、人员划转和权责清单移交，生产类事业单位改革初见成效</w:t>
      </w:r>
      <w:r>
        <w:rPr>
          <w:rFonts w:hint="eastAsia" w:hAnsi="仿宋" w:cs="仿宋"/>
          <w:sz w:val="32"/>
          <w:szCs w:val="32"/>
          <w:highlight w:val="none"/>
        </w:rPr>
        <w:t>，机构职能得到进一步优化。初步搭建了水务业务管理平台，梳理公共服务事项</w:t>
      </w:r>
      <w:r>
        <w:rPr>
          <w:rFonts w:hint="eastAsia" w:hAnsi="仿宋" w:cs="仿宋"/>
          <w:color w:val="auto"/>
          <w:sz w:val="32"/>
          <w:szCs w:val="32"/>
          <w:highlight w:val="none"/>
        </w:rPr>
        <w:t>，健全涉水工程行政审批制度，深化“一制三化”改革，强化事中事后监管。制定了区管</w:t>
      </w:r>
      <w:r>
        <w:rPr>
          <w:rFonts w:hint="eastAsia" w:hAnsi="仿宋" w:cs="仿宋"/>
          <w:sz w:val="32"/>
          <w:szCs w:val="32"/>
          <w:highlight w:val="none"/>
        </w:rPr>
        <w:t>水利工程管理工作标准，推进水务工程标准化管理。完成防汛会商决策支持系统建设，实现按水务管理职能信息化办公，管理能力和管理水平稳步提高。</w:t>
      </w:r>
    </w:p>
    <w:p w14:paraId="3B709D91">
      <w:pPr>
        <w:pStyle w:val="3"/>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jc w:val="both"/>
        <w:textAlignment w:val="auto"/>
        <w:rPr>
          <w:rFonts w:ascii="仿宋" w:hAnsi="仿宋" w:eastAsia="仿宋"/>
          <w:highlight w:val="none"/>
        </w:rPr>
        <w:sectPr>
          <w:footerReference r:id="rId6"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sectPr>
      </w:pPr>
    </w:p>
    <w:p w14:paraId="6E782B62">
      <w:pPr>
        <w:keepNext w:val="0"/>
        <w:keepLines w:val="0"/>
        <w:pageBreakBefore w:val="0"/>
        <w:numPr>
          <w:ilvl w:val="0"/>
          <w:numId w:val="1"/>
        </w:numPr>
        <w:kinsoku/>
        <w:overflowPunct/>
        <w:topLinePunct w:val="0"/>
        <w:autoSpaceDE/>
        <w:autoSpaceDN/>
        <w:bidi w:val="0"/>
        <w:spacing w:before="120" w:beforeLines="50" w:after="120" w:afterLines="50" w:line="600" w:lineRule="exact"/>
        <w:jc w:val="center"/>
        <w:textAlignment w:val="auto"/>
        <w:outlineLvl w:val="0"/>
        <w:rPr>
          <w:rFonts w:ascii="方正小标宋简体" w:hAnsi="方正小标宋简体" w:eastAsia="方正小标宋简体" w:cs="方正小标宋简体"/>
          <w:bCs/>
          <w:kern w:val="2"/>
          <w:sz w:val="36"/>
          <w:szCs w:val="36"/>
          <w:highlight w:val="none"/>
          <w:lang w:bidi="ar-SA"/>
        </w:rPr>
      </w:pPr>
      <w:bookmarkStart w:id="2" w:name="_Toc66804149"/>
      <w:r>
        <w:rPr>
          <w:rFonts w:hint="eastAsia" w:ascii="方正小标宋简体" w:hAnsi="方正小标宋简体" w:eastAsia="方正小标宋简体" w:cs="方正小标宋简体"/>
          <w:bCs/>
          <w:kern w:val="2"/>
          <w:sz w:val="36"/>
          <w:szCs w:val="36"/>
          <w:highlight w:val="none"/>
          <w:lang w:bidi="ar-SA"/>
        </w:rPr>
        <w:t xml:space="preserve"> 面临形势与问题</w:t>
      </w:r>
      <w:bookmarkEnd w:id="2"/>
    </w:p>
    <w:p w14:paraId="508A385E">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党中央、国务院高度重视水安全工作，习近平总书记对水安全保障作出一系列重要指示批示，提出“节水优先、空间均衡、系统治理、两手发力”的新时期治水思路，先后对京津冀协同发展、推动长江经济带发展、黄河流域生态保护和高质量发展发表了重要讲话，为水安全保障和河湖生态保护指明了方向，提供了根本遵循。党的十九大站在新的历史方位，明确作出实施国家节水行动、加快水污染防治、加强水利基础设施网络建设、重要生态系统保护和修复等重大决策部署。党的十九届五中全会审议通过了《中共中央关于制定国民经济和社会发展第十四个五年规划和二〇三五年远景目标的建议》，对加强水利基础设施建设、提升水资源优化配置能力、增强城市防洪排涝能力、强化河（湖）长制、推进城镇污水管网全覆盖、实施国家节水行动等水安全保障工作提出了新的要求。</w:t>
      </w:r>
    </w:p>
    <w:p w14:paraId="301C5956">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“十四五”时期，是我国在建成小康社会基础上开启全面建设社会主义现代化</w:t>
      </w:r>
      <w:r>
        <w:rPr>
          <w:rFonts w:hint="eastAsia" w:cs="仿宋_GB2312"/>
          <w:sz w:val="32"/>
          <w:szCs w:val="32"/>
          <w:highlight w:val="none"/>
          <w:lang w:eastAsia="zh-CN"/>
        </w:rPr>
        <w:t>国家</w:t>
      </w:r>
      <w:r>
        <w:rPr>
          <w:rFonts w:hint="eastAsia" w:ascii="仿宋_GB2312" w:hAnsi="仿宋_GB2312" w:eastAsia="仿宋_GB2312" w:cs="仿宋_GB2312"/>
          <w:sz w:val="32"/>
          <w:szCs w:val="32"/>
          <w:highlight w:val="none"/>
        </w:rPr>
        <w:t>新征程的第一个五年，是天津深入实施京津冀协同发展战略、加快落实“一基地三区”定位、全面建设社会主义现代化大都市的关键五年，也是本区推动高质量发展、构建新发展格局，建设繁荣富裕、文明和谐、宜居美丽新北辰的重要五年。</w:t>
      </w:r>
    </w:p>
    <w:p w14:paraId="228F36DE">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共天津市北辰区第十一届委员会第十三次会议通过《中共天津市北辰区区委关于制定北辰区国民经济和社会发展第十四个五年规划和二〇三五年远景目标的建议》，确定到二〇三五年基本建成繁荣富裕、文明和谐、宜居美丽的社会主义现代化强区的远景目标；提出“十四五”时期经济社会发展主要目标为融入京津冀协同发展进入新阶段、高质量发展取得新成效、精神文明建设</w:t>
      </w:r>
      <w:r>
        <w:rPr>
          <w:rFonts w:hint="eastAsia" w:ascii="仿宋_GB2312" w:hAnsi="仿宋_GB2312" w:eastAsia="仿宋_GB2312" w:cs="仿宋_GB2312"/>
          <w:sz w:val="32"/>
          <w:szCs w:val="32"/>
          <w:highlight w:val="none"/>
          <w:lang w:eastAsia="zh-CN"/>
        </w:rPr>
        <w:t>迈</w:t>
      </w:r>
      <w:r>
        <w:rPr>
          <w:rFonts w:hint="eastAsia" w:ascii="仿宋_GB2312" w:hAnsi="仿宋_GB2312" w:eastAsia="仿宋_GB2312" w:cs="仿宋_GB2312"/>
          <w:sz w:val="32"/>
          <w:szCs w:val="32"/>
          <w:highlight w:val="none"/>
        </w:rPr>
        <w:t>上新台阶、社会治理效能得到新提升、生态环境保护实现新进步；明确融入京津冀协同发展、推进产业转型升级、完善城市综合功能、实施乡村振兴战略、深化改革开放、推动绿色发展、提高民生服务水平、推进治理体系和治理能力现代化、充分发挥党的领导核心作用等任务，对水安全保障能力提出了新任务。</w:t>
      </w:r>
    </w:p>
    <w:p w14:paraId="778B3725">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对标党中央国务院治水兴水的新要求和经济社会发展的新需求，“十四五”时期</w:t>
      </w:r>
      <w:r>
        <w:rPr>
          <w:rFonts w:hint="eastAsia" w:ascii="仿宋_GB2312" w:hAnsi="仿宋_GB2312" w:eastAsia="仿宋_GB2312" w:cs="仿宋_GB2312"/>
          <w:sz w:val="32"/>
          <w:szCs w:val="32"/>
          <w:highlight w:val="none"/>
          <w:lang w:eastAsia="zh-CN"/>
        </w:rPr>
        <w:t>本区</w:t>
      </w:r>
      <w:r>
        <w:rPr>
          <w:rFonts w:hint="eastAsia" w:ascii="仿宋_GB2312" w:hAnsi="仿宋_GB2312" w:eastAsia="仿宋_GB2312" w:cs="仿宋_GB2312"/>
          <w:sz w:val="32"/>
          <w:szCs w:val="32"/>
          <w:highlight w:val="none"/>
        </w:rPr>
        <w:t>在水资源保障、水灾害防御、水生态环境和行业监管能力等方面仍存在一些亟待解决的薄弱环节和突出问题。</w:t>
      </w:r>
    </w:p>
    <w:p w14:paraId="795FC1DF">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600" w:lineRule="exact"/>
        <w:jc w:val="center"/>
        <w:textAlignment w:val="auto"/>
        <w:rPr>
          <w:rFonts w:ascii="黑体" w:hAnsi="黑体" w:eastAsia="黑体" w:cs="黑体"/>
          <w:color w:val="auto"/>
          <w:sz w:val="32"/>
          <w:szCs w:val="32"/>
          <w:highlight w:val="none"/>
        </w:rPr>
      </w:pPr>
      <w:r>
        <w:rPr>
          <w:rFonts w:hint="eastAsia" w:ascii="黑体" w:hAnsi="黑体" w:eastAsia="黑体" w:cs="黑体"/>
          <w:sz w:val="32"/>
          <w:szCs w:val="32"/>
          <w:highlight w:val="none"/>
          <w:lang w:eastAsia="zh-CN"/>
        </w:rPr>
        <w:t>第一节</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供水安全性</w:t>
      </w:r>
      <w:r>
        <w:rPr>
          <w:rFonts w:hint="eastAsia" w:ascii="黑体" w:hAnsi="黑体" w:eastAsia="黑体" w:cs="黑体"/>
          <w:sz w:val="32"/>
          <w:szCs w:val="32"/>
          <w:highlight w:val="none"/>
          <w:lang w:eastAsia="zh-CN"/>
        </w:rPr>
        <w:t>与</w:t>
      </w:r>
      <w:r>
        <w:rPr>
          <w:rFonts w:hint="eastAsia" w:ascii="黑体" w:hAnsi="黑体" w:eastAsia="黑体" w:cs="黑体"/>
          <w:sz w:val="32"/>
          <w:szCs w:val="32"/>
          <w:highlight w:val="none"/>
        </w:rPr>
        <w:t>水资源综合利用</w:t>
      </w:r>
      <w:r>
        <w:rPr>
          <w:rFonts w:hint="eastAsia" w:ascii="黑体" w:hAnsi="黑体" w:eastAsia="黑体" w:cs="黑体"/>
          <w:sz w:val="32"/>
          <w:szCs w:val="32"/>
          <w:highlight w:val="none"/>
          <w:lang w:eastAsia="zh-CN"/>
        </w:rPr>
        <w:t>水平</w:t>
      </w:r>
      <w:r>
        <w:rPr>
          <w:rFonts w:hint="eastAsia" w:ascii="黑体" w:hAnsi="黑体" w:eastAsia="黑体" w:cs="黑体"/>
          <w:color w:val="auto"/>
          <w:sz w:val="32"/>
          <w:szCs w:val="32"/>
          <w:highlight w:val="none"/>
        </w:rPr>
        <w:t>有待提高</w:t>
      </w:r>
    </w:p>
    <w:p w14:paraId="2482D1CD">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color w:val="auto"/>
          <w:sz w:val="32"/>
          <w:szCs w:val="32"/>
          <w:highlight w:val="none"/>
        </w:rPr>
        <w:t>北辰区属重度资源性缺水地区，多年平均水资源量0.36亿立方米,远不能满足全区用水需求，生活用水和工业生产用水主要依靠引滦水、南水北调中线引</w:t>
      </w:r>
      <w:r>
        <w:rPr>
          <w:rFonts w:hint="eastAsia" w:hAnsi="仿宋" w:cs="仿宋"/>
          <w:sz w:val="32"/>
          <w:szCs w:val="32"/>
          <w:highlight w:val="none"/>
        </w:rPr>
        <w:t>江水和地下水。目前，外调水源存在水量不足、水质污染和生态破坏、工程安全影响供水等风险，供水安全风险不容忽视；除中心城区以外，本区其他地区输水管网多为支状，尚未成环布置，各管网相互独立，缺乏有效衔接和连通，不能形成安全保障体系；地下水超采综合治理后，部分区域农业用水存在水源紧缺问题；部分农村和居民小区供水的水量、水质、水压均存在安全隐患；现状供水主要依靠外调水、地表水和地下水，再生水利用仅限用于农业用水、生态用水和少量的工业用水，水资源综合利用</w:t>
      </w:r>
      <w:r>
        <w:rPr>
          <w:rFonts w:hint="eastAsia" w:hAnsi="仿宋" w:cs="仿宋"/>
          <w:color w:val="auto"/>
          <w:sz w:val="32"/>
          <w:szCs w:val="32"/>
          <w:highlight w:val="none"/>
        </w:rPr>
        <w:t>水平有待提高。水</w:t>
      </w:r>
      <w:r>
        <w:rPr>
          <w:rFonts w:hint="eastAsia" w:hAnsi="仿宋" w:cs="仿宋"/>
          <w:sz w:val="32"/>
          <w:szCs w:val="32"/>
          <w:highlight w:val="none"/>
        </w:rPr>
        <w:t>资源保障能力还不能适应经济社会高质量发展的新要求。</w:t>
      </w:r>
    </w:p>
    <w:p w14:paraId="4E6E4A98">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600" w:lineRule="exact"/>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lang w:eastAsia="zh-CN"/>
        </w:rPr>
        <w:t>第二节</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排涝减灾仍存在短板</w:t>
      </w:r>
    </w:p>
    <w:p w14:paraId="768147E0">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城市排水基础设施建设相对滞后</w:t>
      </w:r>
      <w:r>
        <w:rPr>
          <w:rFonts w:hint="eastAsia" w:hAnsi="仿宋" w:cs="仿宋"/>
          <w:sz w:val="32"/>
          <w:szCs w:val="32"/>
          <w:highlight w:val="none"/>
          <w:lang w:eastAsia="zh-CN"/>
        </w:rPr>
        <w:t>，</w:t>
      </w:r>
      <w:r>
        <w:rPr>
          <w:rFonts w:hint="eastAsia" w:hAnsi="仿宋" w:cs="仿宋"/>
          <w:sz w:val="32"/>
          <w:szCs w:val="32"/>
          <w:highlight w:val="none"/>
        </w:rPr>
        <w:t>排水管网与雨水泵站配套不匹配，建成区部分区域排水不畅，现状排水能力尚有</w:t>
      </w:r>
      <w:r>
        <w:rPr>
          <w:rFonts w:hint="eastAsia" w:hAnsi="仿宋" w:cs="仿宋"/>
          <w:sz w:val="32"/>
          <w:szCs w:val="32"/>
          <w:highlight w:val="none"/>
          <w:lang w:eastAsia="zh-CN"/>
        </w:rPr>
        <w:t>不足</w:t>
      </w:r>
      <w:r>
        <w:rPr>
          <w:rFonts w:hint="eastAsia" w:hAnsi="仿宋" w:cs="仿宋"/>
          <w:sz w:val="32"/>
          <w:szCs w:val="32"/>
          <w:highlight w:val="none"/>
        </w:rPr>
        <w:t>；机场排水河、中泓故道等二级河道部分堤段存在超高不足、堤身薄弱等险情，威胁汛期排涝安全；部分涵闸桥存在安全隐患；部分河道出口泵站排水能力不足，需扩建改造。排涝减灾能力与平安北辰高标准建设的新要求仍存在一定差距。</w:t>
      </w:r>
    </w:p>
    <w:p w14:paraId="4EE70535">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600" w:lineRule="exact"/>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lang w:eastAsia="zh-CN"/>
        </w:rPr>
        <w:t>第三节</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水环境和水生态保护任务依然艰巨</w:t>
      </w:r>
    </w:p>
    <w:p w14:paraId="6ED07342">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尽管本区河湖</w:t>
      </w:r>
      <w:r>
        <w:rPr>
          <w:rFonts w:hAnsi="仿宋" w:cs="仿宋"/>
          <w:sz w:val="32"/>
          <w:szCs w:val="32"/>
          <w:highlight w:val="none"/>
        </w:rPr>
        <w:t>水生态环境状况持续改善，</w:t>
      </w:r>
      <w:r>
        <w:rPr>
          <w:rFonts w:hint="eastAsia" w:hAnsi="仿宋" w:cs="仿宋"/>
          <w:sz w:val="32"/>
          <w:szCs w:val="32"/>
          <w:highlight w:val="none"/>
        </w:rPr>
        <w:t>呈现</w:t>
      </w:r>
      <w:r>
        <w:rPr>
          <w:rFonts w:hAnsi="仿宋" w:cs="仿宋"/>
          <w:sz w:val="32"/>
          <w:szCs w:val="32"/>
          <w:highlight w:val="none"/>
        </w:rPr>
        <w:t>稳中向好的趋势</w:t>
      </w:r>
      <w:r>
        <w:rPr>
          <w:rFonts w:hint="eastAsia" w:hAnsi="仿宋" w:cs="仿宋"/>
          <w:sz w:val="32"/>
          <w:szCs w:val="32"/>
          <w:highlight w:val="none"/>
        </w:rPr>
        <w:t>，但水环境承载力仍较弱，农村生产面源污染、城镇排水初期雨水污染依然存在，部分二级河道及干支排水沟</w:t>
      </w:r>
      <w:r>
        <w:rPr>
          <w:rFonts w:hint="eastAsia" w:hAnsi="仿宋" w:cs="仿宋"/>
          <w:color w:val="auto"/>
          <w:sz w:val="32"/>
          <w:szCs w:val="32"/>
          <w:highlight w:val="none"/>
        </w:rPr>
        <w:t>渠水质在个别月份不能</w:t>
      </w:r>
      <w:r>
        <w:rPr>
          <w:rFonts w:hint="eastAsia" w:hAnsi="仿宋" w:cs="仿宋"/>
          <w:sz w:val="32"/>
          <w:szCs w:val="32"/>
          <w:highlight w:val="none"/>
        </w:rPr>
        <w:t>稳定达到地表水Ⅴ类标准，水环境质量改善任务依然艰巨。由于水资源短缺，生态环境用水没有保障，水系连通工程还有待提升，水体循环不足，河湖生态功能逐渐退化尚未得到有效遏制，河湖水生态系统还需加强保护和修复。水生态环境治理能力与生态宜居美丽北辰建设的新要求不相适应。</w:t>
      </w:r>
    </w:p>
    <w:p w14:paraId="283C46A2">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600" w:lineRule="exact"/>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lang w:eastAsia="zh-CN"/>
        </w:rPr>
        <w:t>第四节</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水务综合管理的能力和水平亟需提升</w:t>
      </w:r>
    </w:p>
    <w:p w14:paraId="05983572">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sectPr>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sectPr>
      </w:pPr>
      <w:r>
        <w:rPr>
          <w:rFonts w:hint="eastAsia" w:ascii="仿宋_GB2312" w:hAnsi="仿宋_GB2312" w:eastAsia="仿宋_GB2312" w:cs="仿宋_GB2312"/>
          <w:sz w:val="32"/>
          <w:szCs w:val="32"/>
          <w:highlight w:val="none"/>
        </w:rPr>
        <w:t>水务一体化管理职能尚未完全实现，协调高效的工作机制还没有完全建立，还需重点强化河湖水生态环境监管的体制机制、从水厂到龙头全过程供水行业监管、“厂、网、闸、站、河”一体化城镇排水监管，进一步扭转重建轻管的局面。主动优化营商环境的服务意识有待加强，还需继续深化“放管服”、“一制三化”改革，不断优化“政务一网通”等服务措施。在节约用水、河湖健康、水土保持、工程运行管理等方面，仍存在制度体系不健全、权责划分不清晰、水安全管理不精细、智慧化水平不高、执法力度不够严等问题，管理队伍、管理设施、管理能力、管理水平尚不能满足经济社会高质量发展和社会主义现代化</w:t>
      </w:r>
      <w:r>
        <w:rPr>
          <w:rFonts w:hint="eastAsia" w:cs="仿宋_GB2312"/>
          <w:sz w:val="32"/>
          <w:szCs w:val="32"/>
          <w:highlight w:val="none"/>
          <w:lang w:eastAsia="zh-CN"/>
        </w:rPr>
        <w:t>强区发展</w:t>
      </w:r>
      <w:r>
        <w:rPr>
          <w:rFonts w:hint="eastAsia" w:ascii="仿宋_GB2312" w:hAnsi="仿宋_GB2312" w:eastAsia="仿宋_GB2312" w:cs="仿宋_GB2312"/>
          <w:sz w:val="32"/>
          <w:szCs w:val="32"/>
          <w:highlight w:val="none"/>
        </w:rPr>
        <w:t>的新需求。</w:t>
      </w:r>
    </w:p>
    <w:p w14:paraId="57F230E0">
      <w:pPr>
        <w:keepNext w:val="0"/>
        <w:keepLines w:val="0"/>
        <w:pageBreakBefore w:val="0"/>
        <w:widowControl w:val="0"/>
        <w:numPr>
          <w:ilvl w:val="0"/>
          <w:numId w:val="1"/>
        </w:numPr>
        <w:kinsoku/>
        <w:wordWrap/>
        <w:overflowPunct/>
        <w:topLinePunct w:val="0"/>
        <w:autoSpaceDE/>
        <w:autoSpaceDN/>
        <w:bidi w:val="0"/>
        <w:adjustRightInd/>
        <w:snapToGrid/>
        <w:spacing w:before="120" w:beforeLines="50" w:after="120" w:afterLines="50" w:line="600" w:lineRule="exact"/>
        <w:jc w:val="center"/>
        <w:textAlignment w:val="auto"/>
        <w:outlineLvl w:val="0"/>
        <w:rPr>
          <w:rFonts w:hint="eastAsia" w:ascii="方正小标宋简体" w:hAnsi="方正小标宋简体" w:eastAsia="方正小标宋简体" w:cs="方正小标宋简体"/>
          <w:sz w:val="36"/>
          <w:szCs w:val="36"/>
          <w:highlight w:val="none"/>
        </w:rPr>
      </w:pPr>
      <w:bookmarkStart w:id="3" w:name="_Toc66804152"/>
      <w:r>
        <w:rPr>
          <w:rFonts w:hint="eastAsia" w:ascii="方正小标宋简体" w:hAnsi="方正小标宋简体" w:eastAsia="方正小标宋简体" w:cs="方正小标宋简体"/>
          <w:bCs/>
          <w:kern w:val="2"/>
          <w:sz w:val="36"/>
          <w:szCs w:val="36"/>
          <w:highlight w:val="none"/>
          <w:lang w:val="en-US" w:eastAsia="zh-CN" w:bidi="ar-SA"/>
        </w:rPr>
        <w:t xml:space="preserve">  “</w:t>
      </w:r>
      <w:r>
        <w:rPr>
          <w:rFonts w:hint="eastAsia" w:ascii="方正小标宋简体" w:hAnsi="方正小标宋简体" w:eastAsia="方正小标宋简体" w:cs="方正小标宋简体"/>
          <w:bCs/>
          <w:kern w:val="2"/>
          <w:sz w:val="36"/>
          <w:szCs w:val="36"/>
          <w:highlight w:val="none"/>
          <w:lang w:bidi="ar-SA"/>
        </w:rPr>
        <w:t>十四五</w:t>
      </w:r>
      <w:r>
        <w:rPr>
          <w:rFonts w:hint="eastAsia" w:ascii="方正小标宋简体" w:hAnsi="方正小标宋简体" w:eastAsia="方正小标宋简体" w:cs="方正小标宋简体"/>
          <w:bCs/>
          <w:kern w:val="2"/>
          <w:sz w:val="36"/>
          <w:szCs w:val="36"/>
          <w:highlight w:val="none"/>
          <w:lang w:val="en-US" w:eastAsia="zh-CN" w:bidi="ar-SA"/>
        </w:rPr>
        <w:t>”</w:t>
      </w:r>
      <w:r>
        <w:rPr>
          <w:rFonts w:hint="eastAsia" w:ascii="方正小标宋简体" w:hAnsi="方正小标宋简体" w:eastAsia="方正小标宋简体" w:cs="方正小标宋简体"/>
          <w:bCs/>
          <w:kern w:val="2"/>
          <w:sz w:val="36"/>
          <w:szCs w:val="36"/>
          <w:highlight w:val="none"/>
          <w:lang w:bidi="ar-SA"/>
        </w:rPr>
        <w:t>规划总体思路和目标</w:t>
      </w:r>
      <w:bookmarkEnd w:id="3"/>
    </w:p>
    <w:p w14:paraId="2B99DAA9">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bookmarkStart w:id="4" w:name="_Toc66804153"/>
      <w:r>
        <w:rPr>
          <w:rFonts w:hint="eastAsia" w:ascii="Times New Roman" w:hAnsi="Times New Roman" w:eastAsia="黑体" w:cs="Times New Roman"/>
          <w:bCs/>
          <w:kern w:val="2"/>
          <w:sz w:val="32"/>
          <w:szCs w:val="32"/>
          <w:highlight w:val="none"/>
          <w:lang w:eastAsia="zh-CN" w:bidi="ar-SA"/>
        </w:rPr>
        <w:t>第一节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指导思想</w:t>
      </w:r>
      <w:bookmarkEnd w:id="4"/>
    </w:p>
    <w:p w14:paraId="165B4805">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以习近平新时代中国特色社会主义思想为指导，全面贯彻党的十九大和十九届二中、三中、四中、五中</w:t>
      </w:r>
      <w:r>
        <w:rPr>
          <w:rFonts w:hint="eastAsia" w:hAnsi="仿宋" w:cs="仿宋"/>
          <w:sz w:val="32"/>
          <w:szCs w:val="32"/>
          <w:highlight w:val="none"/>
          <w:lang w:eastAsia="zh-CN"/>
        </w:rPr>
        <w:t>、六中</w:t>
      </w:r>
      <w:r>
        <w:rPr>
          <w:rFonts w:hint="eastAsia" w:hAnsi="仿宋" w:cs="仿宋"/>
          <w:sz w:val="32"/>
          <w:szCs w:val="32"/>
          <w:highlight w:val="none"/>
        </w:rPr>
        <w:t>全会精神，深入贯彻落实习近平总书记对天津工作“三个着力”重要要求和一系列重要指示批示精神，以及市委、区委全会精神，立足新发展阶段，贯彻新发展理念，构建新发展格局，坚持“节水优先、空间均衡、系统治理、两手发力”的新时期治水思路，遵循确有需要、生态安全、可以持续的重大水利工程论证原则，坚持稳中求进工作总基调，坚持以人民为中心的发展思想不动摇，坚持用系统观念推动水务高质量发展，把水安全风险防控作为底线，把水资源承载力作为刚性约束上限，把水生态保护作为控制红线，加快水务基础设施网络建设，强化涉水事务监管，激发水治理效能，实现本区水安全保障能力明显增强，为建设繁荣富裕、文明和谐、宜居美丽新北辰提供基础保障和有力支撑。</w:t>
      </w:r>
    </w:p>
    <w:p w14:paraId="3B71C26B">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bookmarkStart w:id="5" w:name="_Toc66804154"/>
      <w:r>
        <w:rPr>
          <w:rFonts w:hint="eastAsia" w:ascii="Times New Roman" w:hAnsi="Times New Roman" w:eastAsia="黑体" w:cs="Times New Roman"/>
          <w:bCs/>
          <w:kern w:val="2"/>
          <w:sz w:val="32"/>
          <w:szCs w:val="32"/>
          <w:highlight w:val="none"/>
          <w:lang w:eastAsia="zh-CN" w:bidi="ar-SA"/>
        </w:rPr>
        <w:t>第二节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基本原则</w:t>
      </w:r>
      <w:bookmarkEnd w:id="5"/>
    </w:p>
    <w:p w14:paraId="5D972E31">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坚持以人为本、节水优先。立足区情、水情，以问题和目标为导向，重点突破，着力谋划破解事关人民群众安全与健康、事关全区可持续发展的重大水资源保障问题，严格落实节水优先的根本方针，深入发挥水资源的约束引导和服务保障功能，在保障生态安全的前提下，实现水资源可持续利用。</w:t>
      </w:r>
    </w:p>
    <w:p w14:paraId="428A5317">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坚持统筹兼顾、空间均衡。统筹城乡和区域水务发展关系，统筹地表水、地下水、非常规水，统筹生活、生产、生态用水，统筹工程措施与非工程措施，着力减小或消除区域之间、城乡之间水务基础设施差距，从全局综合目标出发，系统考虑水资源开发利用与节约保护、防洪减灾与水生态修复、污水处理与再生水利用，进行系统深层次治理。</w:t>
      </w:r>
    </w:p>
    <w:p w14:paraId="7559462D">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坚持多措并举、科学施策。坚持工程措施和非工程措施并举，采取蓄、引、提、调等工程措施，研究制定节水用水、水环境治理、水资源统一调度等综合管理的政策措施，保障用水安全；合理安排水资源利用与保护、水环境治理、水生态保护的重大工程布局。</w:t>
      </w:r>
    </w:p>
    <w:p w14:paraId="6B9C1584">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坚持改革创新、科技驱动。积极践行可持续发展的治水思路，以创新的思路和方法推进改革，突破现状，破除制约水务发展的体制机制障碍。突出发挥水务科技的技术保障和引领作用，扩展高新技术的应用面，融合水务发展科技元素，推动水务发展。</w:t>
      </w:r>
    </w:p>
    <w:p w14:paraId="774B743F">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坚持政府主导、社会协同。充分发挥政府与市场在水务工程建设、水生态保护等方面的协同作用。加大公共财政对水务发展的投入，鼓励社会资本参与水</w:t>
      </w:r>
      <w:r>
        <w:rPr>
          <w:rFonts w:hint="eastAsia" w:hAnsi="仿宋" w:cs="仿宋"/>
          <w:sz w:val="32"/>
          <w:szCs w:val="32"/>
          <w:highlight w:val="none"/>
          <w:lang w:eastAsia="zh-CN"/>
        </w:rPr>
        <w:t>务</w:t>
      </w:r>
      <w:r>
        <w:rPr>
          <w:rFonts w:hint="eastAsia" w:hAnsi="仿宋" w:cs="仿宋"/>
          <w:sz w:val="32"/>
          <w:szCs w:val="32"/>
          <w:highlight w:val="none"/>
        </w:rPr>
        <w:t>基础设施建设，充分发挥政府的主导作用，引导全社会积极参与，形成政府社会协同治水兴水的合力。</w:t>
      </w:r>
    </w:p>
    <w:p w14:paraId="4150F5F5">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bookmarkStart w:id="6" w:name="_Toc66804155"/>
      <w:r>
        <w:rPr>
          <w:rFonts w:hint="eastAsia" w:ascii="Times New Roman" w:hAnsi="Times New Roman" w:eastAsia="黑体" w:cs="Times New Roman"/>
          <w:bCs/>
          <w:kern w:val="2"/>
          <w:sz w:val="32"/>
          <w:szCs w:val="32"/>
          <w:highlight w:val="none"/>
          <w:lang w:eastAsia="zh-CN" w:bidi="ar-SA"/>
        </w:rPr>
        <w:t>第三节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发展思路</w:t>
      </w:r>
      <w:bookmarkEnd w:id="6"/>
      <w:r>
        <w:rPr>
          <w:rFonts w:hint="eastAsia" w:ascii="Times New Roman" w:hAnsi="Times New Roman" w:eastAsia="黑体" w:cs="Times New Roman"/>
          <w:bCs/>
          <w:kern w:val="2"/>
          <w:sz w:val="32"/>
          <w:szCs w:val="32"/>
          <w:highlight w:val="none"/>
          <w:lang w:bidi="ar-SA"/>
        </w:rPr>
        <w:t>及目标</w:t>
      </w:r>
    </w:p>
    <w:p w14:paraId="55BD2634">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面贯彻“节水优先、空间均衡、系统治理、两手发力”新时代治水思路，紧紧围绕“工程补短板、行业强监管、改革促发展”这一条主线，紧扣人民群众最关心最直接最现实的饮水、积水、水生态环境等问题，突出外调水、当地水、非常规水“三水”并用，通过抓节水、保供水、防洪水、排沥水、治污水“五措”并举，提高水安全保障能力，全面打造优化配置、节约高效的绿色水务，清水畅流、河湖健康的生态水务，供水无忧、洪涝安澜的安全水务，为本区经济社会高质量发展提供坚实的水务保障。</w:t>
      </w:r>
    </w:p>
    <w:p w14:paraId="56414E3C">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综合考虑水安全面临形势与问题，坚持目标和问题导向相结合，坚持分步实施与整体规划相统一，今后五年水安全保障努力实现以下目标：</w:t>
      </w:r>
    </w:p>
    <w:p w14:paraId="50B67579">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供水安全保障能力持续增强。坚持节约优先，推进发展高效节水灌溉，调整农业种植结构，逐步退还挤占河湖生态用水。以水定产、以水定城，优化产业结构布局，压减高耗水产业。以节水标准、定额</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rPr>
        <w:t>依据，发挥政府引导作用，强化监控管理考核力度，推动各行业不断提高用水效率和效益。以科技创新为动力，发挥市场对水资源的配置作用，推动各行业节水，建立全社会水资源循环利用体系。保障城乡供水，实行最严格的水资源管理制度，以保障全区经济社会发展为抓手，以外调水和当地水联合调度为重点，完善城乡供水体系，高效利用外调水，科学存蓄利用地表水，统筹用好再生水，保障发生中度干旱（P=75%）时农作物在播种期和关键生长期的用水需求，确保供水安全。积极防范供水风险，遭遇特殊干旱年份，实施应急调水。到2025年，城乡生活和工业生产供水保证率达到</w:t>
      </w:r>
      <w:r>
        <w:rPr>
          <w:rFonts w:hint="eastAsia" w:ascii="仿宋_GB2312" w:hAnsi="仿宋_GB2312" w:eastAsia="仿宋_GB2312" w:cs="仿宋_GB2312"/>
          <w:color w:val="auto"/>
          <w:sz w:val="32"/>
          <w:szCs w:val="32"/>
          <w:highlight w:val="none"/>
        </w:rPr>
        <w:t>97</w:t>
      </w:r>
      <w:r>
        <w:rPr>
          <w:rFonts w:hint="eastAsia" w:ascii="仿宋_GB2312" w:hAnsi="仿宋_GB2312" w:eastAsia="仿宋_GB2312" w:cs="仿宋_GB2312"/>
          <w:sz w:val="32"/>
          <w:szCs w:val="32"/>
          <w:highlight w:val="none"/>
        </w:rPr>
        <w:t>％</w:t>
      </w:r>
      <w:r>
        <w:rPr>
          <w:rFonts w:hint="eastAsia" w:cs="仿宋_GB2312"/>
          <w:sz w:val="32"/>
          <w:szCs w:val="32"/>
          <w:highlight w:val="none"/>
          <w:lang w:eastAsia="zh-CN"/>
        </w:rPr>
        <w:t>，</w:t>
      </w:r>
      <w:r>
        <w:rPr>
          <w:rFonts w:hint="eastAsia" w:cs="仿宋_GB2312"/>
          <w:sz w:val="32"/>
          <w:szCs w:val="32"/>
          <w:highlight w:val="none"/>
          <w:lang w:val="en-US" w:eastAsia="zh-CN"/>
        </w:rPr>
        <w:t>自来水供水水质达标率达到100%</w:t>
      </w:r>
      <w:r>
        <w:rPr>
          <w:rFonts w:hint="eastAsia" w:ascii="仿宋_GB2312" w:hAnsi="仿宋_GB2312" w:eastAsia="仿宋_GB2312" w:cs="仿宋_GB2312"/>
          <w:sz w:val="32"/>
          <w:szCs w:val="32"/>
          <w:highlight w:val="none"/>
        </w:rPr>
        <w:t>；深化节水型社会建设，再生水利用率达到40%，城镇供水管网漏损率控制在10%以内，全区年总用水量控制在1.5亿立方米以内</w:t>
      </w:r>
      <w:r>
        <w:rPr>
          <w:rFonts w:hint="eastAsia" w:cs="仿宋_GB2312"/>
          <w:sz w:val="32"/>
          <w:szCs w:val="32"/>
          <w:highlight w:val="none"/>
          <w:lang w:eastAsia="zh-CN"/>
        </w:rPr>
        <w:t>，万元</w:t>
      </w:r>
      <w:r>
        <w:rPr>
          <w:rFonts w:hint="eastAsia" w:cs="仿宋_GB2312"/>
          <w:sz w:val="32"/>
          <w:szCs w:val="32"/>
          <w:highlight w:val="none"/>
          <w:lang w:val="en-US" w:eastAsia="zh-CN"/>
        </w:rPr>
        <w:t>GDP</w:t>
      </w:r>
      <w:r>
        <w:rPr>
          <w:rFonts w:hint="eastAsia" w:cs="仿宋_GB2312"/>
          <w:sz w:val="32"/>
          <w:szCs w:val="32"/>
          <w:highlight w:val="none"/>
          <w:lang w:eastAsia="zh-CN"/>
        </w:rPr>
        <w:t>用水量和万元工业增加值用水量达到</w:t>
      </w:r>
      <w:r>
        <w:rPr>
          <w:rFonts w:hint="eastAsia" w:cs="仿宋_GB2312"/>
          <w:sz w:val="32"/>
          <w:szCs w:val="32"/>
          <w:highlight w:val="none"/>
          <w:lang w:val="en-US" w:eastAsia="zh-CN"/>
        </w:rPr>
        <w:t>市级部门下达指标</w:t>
      </w:r>
      <w:r>
        <w:rPr>
          <w:rFonts w:hint="eastAsia" w:ascii="仿宋_GB2312" w:hAnsi="仿宋_GB2312" w:eastAsia="仿宋_GB2312" w:cs="仿宋_GB2312"/>
          <w:sz w:val="32"/>
          <w:szCs w:val="32"/>
          <w:highlight w:val="none"/>
        </w:rPr>
        <w:t>。逐步构建节约高效、城乡一体的供水安全保障体系，水资源统一配置更加高效，城乡用水得到可靠保障。</w:t>
      </w:r>
    </w:p>
    <w:p w14:paraId="12353B29">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防汛安全保障效能不断提升。提高水灾害防御能力，以河道堤防达标治理建设为重点，巩固防洪屏障；结合海绵城市工程，加快城市排水管网改造和外排泵站建设，提高城市排水除涝能力；结合河道治理，加大河道深渠调蓄能力；提高组织保障能力，健全完善以行政首长负责制为核心的区、乡镇防汛责任制，实现责任体系的全覆盖、无遗漏；提高应急处突能力，加强军地、跨区、各部门的协调联动，健全联合指挥、信息共享、统筹调度的联动配合机制，科学增储防汛物资。到</w:t>
      </w:r>
      <w:r>
        <w:rPr>
          <w:rFonts w:hint="eastAsia" w:ascii="仿宋_GB2312" w:hAnsi="仿宋_GB2312" w:eastAsia="仿宋_GB2312" w:cs="仿宋_GB2312"/>
          <w:sz w:val="32"/>
          <w:szCs w:val="32"/>
          <w:highlight w:val="none"/>
          <w:lang w:val="en-US"/>
        </w:rPr>
        <w:t>2025年，</w:t>
      </w:r>
      <w:r>
        <w:rPr>
          <w:rFonts w:hint="eastAsia" w:ascii="仿宋_GB2312" w:hAnsi="仿宋_GB2312" w:eastAsia="仿宋_GB2312" w:cs="仿宋_GB2312"/>
          <w:sz w:val="32"/>
          <w:szCs w:val="32"/>
          <w:highlight w:val="none"/>
        </w:rPr>
        <w:t>完善二级河道治理，大部分城区内涝防治标准达到50年一遇。结合城市基础设施建设，</w:t>
      </w:r>
      <w:r>
        <w:rPr>
          <w:rFonts w:hint="eastAsia" w:cs="仿宋_GB2312"/>
          <w:sz w:val="32"/>
          <w:szCs w:val="32"/>
          <w:highlight w:val="none"/>
          <w:lang w:eastAsia="zh-CN"/>
        </w:rPr>
        <w:t>提高</w:t>
      </w:r>
      <w:r>
        <w:rPr>
          <w:rFonts w:hint="eastAsia" w:ascii="仿宋_GB2312" w:hAnsi="仿宋_GB2312" w:eastAsia="仿宋_GB2312" w:cs="仿宋_GB2312"/>
          <w:sz w:val="32"/>
          <w:szCs w:val="32"/>
          <w:highlight w:val="none"/>
        </w:rPr>
        <w:t>城市新建及改造区域排水标准。逐步建设蓄排统筹、洪涝同治的防汛安全保障体系，完善基础设施建设，抵御洪涝灾害能力全面提升。</w:t>
      </w:r>
    </w:p>
    <w:p w14:paraId="7DDDF6E0">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水生态环境质量稳步改善。坚持保护优先、自然恢复，强化水污染源头监控，加强初期雨水治理，以增加河湖水体流动性为重点，进一步改善水环境质量；以京津冀协同治理“六河五湖”为契机，以实施水系连通为抓手，以河流生态廊道建设为依托，建设生态补水净化工程，修复水体生态，维护河湖健康；控沉压采，加强水土保持，构筑生态宜居的美好家园。到</w:t>
      </w:r>
      <w:r>
        <w:rPr>
          <w:rFonts w:hint="eastAsia" w:ascii="仿宋_GB2312" w:hAnsi="仿宋_GB2312" w:eastAsia="仿宋_GB2312" w:cs="仿宋_GB2312"/>
          <w:sz w:val="32"/>
          <w:szCs w:val="32"/>
          <w:highlight w:val="none"/>
          <w:lang w:val="en-US"/>
        </w:rPr>
        <w:t>2025年，</w:t>
      </w:r>
      <w:r>
        <w:rPr>
          <w:rFonts w:hint="eastAsia" w:ascii="仿宋_GB2312" w:hAnsi="仿宋_GB2312" w:eastAsia="仿宋_GB2312" w:cs="仿宋_GB2312"/>
          <w:sz w:val="32"/>
          <w:szCs w:val="32"/>
          <w:highlight w:val="none"/>
        </w:rPr>
        <w:t>在综合治理水污染的基础上，强化区域协作，实施生态补水工程，河道水质得到显著改善。加强污水处理设施建设和管理，城镇污水处理率达到96%，城镇污水处理厂出水主要指标达标率达到95%，污水处理厂污泥无害化处置率达到100%。持续推动深层地下水水源转换，严控开采深层地下水，到2022年底，除应急备用水源、计划拆迁村生活井及水源无法到达地区机井外，其余地下水开采量归零，地面沉降快速发展趋势得到有效遏制，达到我市地面沉降防控目标。逐步打造河湖健康、人水和谐的水生态安全保障体系，河网水系有效连通，生态水量得到基本保障，河湖水生态环境稳步改善。</w:t>
      </w:r>
    </w:p>
    <w:p w14:paraId="3DB81F1D">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sectPr>
          <w:footerReference r:id="rId7"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sectPr>
      </w:pPr>
      <w:r>
        <w:rPr>
          <w:rFonts w:hint="eastAsia" w:ascii="仿宋_GB2312" w:hAnsi="仿宋_GB2312" w:eastAsia="仿宋_GB2312" w:cs="仿宋_GB2312"/>
          <w:sz w:val="32"/>
          <w:szCs w:val="32"/>
          <w:highlight w:val="none"/>
        </w:rPr>
        <w:t>水治理能力持续提高。强化涉水事务监管，提升依法治水管水兴水的能力和水平，增强服务企业、服务群众能力，提高社会认知度和满意度，不断优化营商环境；绘制智慧管水“一幅图”，完善水位、水量等数据智能采集设施，充分运用“互联网+监管”提升管水能力；下好改革兴水“一盘棋”，深化体制机制改革，完善政府主导、金融支持、社会参与的投融资机制，逐步打造创新引领、智慧高效的水治理能力保障体系。到2025年，基本建立有利于水务科学发展的制度体系，严格依法治水管水，初步建立符合资源型缺水地区特点、具有示范引领作用的先进管理体制，管理服务更加规范、有序、高效，基本形成水务工程良性运行机制，初步实现水务管理能力现代化。</w:t>
      </w:r>
    </w:p>
    <w:p w14:paraId="266F4F5C">
      <w:pPr>
        <w:keepNext w:val="0"/>
        <w:keepLines w:val="0"/>
        <w:pageBreakBefore w:val="0"/>
        <w:kinsoku/>
        <w:overflowPunct/>
        <w:topLinePunct w:val="0"/>
        <w:bidi w:val="0"/>
        <w:spacing w:line="600" w:lineRule="exact"/>
        <w:jc w:val="center"/>
        <w:textAlignment w:val="auto"/>
        <w:rPr>
          <w:rFonts w:ascii="黑体" w:hAnsi="黑体" w:eastAsia="黑体" w:cs="Times New Roman"/>
          <w:bCs/>
          <w:kern w:val="2"/>
          <w:sz w:val="28"/>
          <w:highlight w:val="none"/>
          <w:lang w:val="en-US" w:bidi="ar-SA"/>
        </w:rPr>
      </w:pPr>
      <w:r>
        <w:rPr>
          <w:rFonts w:hint="eastAsia" w:ascii="黑体" w:hAnsi="黑体" w:eastAsia="黑体" w:cs="Times New Roman"/>
          <w:bCs/>
          <w:kern w:val="2"/>
          <w:sz w:val="28"/>
          <w:highlight w:val="none"/>
          <w:lang w:val="en-US" w:bidi="ar-SA"/>
        </w:rPr>
        <w:t>表</w:t>
      </w:r>
      <w:r>
        <w:rPr>
          <w:rFonts w:hint="eastAsia" w:ascii="黑体" w:hAnsi="黑体" w:eastAsia="黑体" w:cs="Times New Roman"/>
          <w:bCs/>
          <w:kern w:val="2"/>
          <w:sz w:val="28"/>
          <w:highlight w:val="none"/>
          <w:lang w:val="en-US" w:eastAsia="zh-CN" w:bidi="ar-SA"/>
        </w:rPr>
        <w:t>3.</w:t>
      </w:r>
      <w:r>
        <w:rPr>
          <w:rFonts w:ascii="黑体" w:hAnsi="黑体" w:eastAsia="黑体" w:cs="Times New Roman"/>
          <w:bCs/>
          <w:kern w:val="2"/>
          <w:sz w:val="28"/>
          <w:highlight w:val="none"/>
          <w:lang w:val="en-US" w:bidi="ar-SA"/>
        </w:rPr>
        <w:t>1</w:t>
      </w:r>
      <w:r>
        <w:rPr>
          <w:rFonts w:hint="eastAsia" w:ascii="黑体" w:hAnsi="黑体" w:eastAsia="黑体" w:cs="Times New Roman"/>
          <w:bCs/>
          <w:kern w:val="2"/>
          <w:sz w:val="28"/>
          <w:highlight w:val="none"/>
          <w:lang w:val="en-US" w:bidi="ar-SA"/>
        </w:rPr>
        <w:t xml:space="preserve">  北辰区水安全保障</w:t>
      </w:r>
      <w:r>
        <w:rPr>
          <w:rFonts w:ascii="黑体" w:hAnsi="黑体" w:eastAsia="黑体" w:cs="Times New Roman"/>
          <w:bCs/>
          <w:kern w:val="2"/>
          <w:sz w:val="28"/>
          <w:highlight w:val="none"/>
          <w:lang w:val="en-US" w:bidi="ar-SA"/>
        </w:rPr>
        <w:t>“</w:t>
      </w:r>
      <w:r>
        <w:rPr>
          <w:rFonts w:hint="eastAsia" w:ascii="黑体" w:hAnsi="黑体" w:eastAsia="黑体" w:cs="Times New Roman"/>
          <w:bCs/>
          <w:kern w:val="2"/>
          <w:sz w:val="28"/>
          <w:highlight w:val="none"/>
          <w:lang w:val="en-US" w:bidi="ar-SA"/>
        </w:rPr>
        <w:t>十四五</w:t>
      </w:r>
      <w:r>
        <w:rPr>
          <w:rFonts w:ascii="黑体" w:hAnsi="黑体" w:eastAsia="黑体" w:cs="Times New Roman"/>
          <w:bCs/>
          <w:kern w:val="2"/>
          <w:sz w:val="28"/>
          <w:highlight w:val="none"/>
          <w:lang w:val="en-US" w:bidi="ar-SA"/>
        </w:rPr>
        <w:t>”</w:t>
      </w:r>
      <w:r>
        <w:rPr>
          <w:rFonts w:hint="eastAsia" w:ascii="黑体" w:hAnsi="黑体" w:eastAsia="黑体" w:cs="Times New Roman"/>
          <w:bCs/>
          <w:kern w:val="2"/>
          <w:sz w:val="28"/>
          <w:highlight w:val="none"/>
          <w:lang w:val="en-US" w:bidi="ar-SA"/>
        </w:rPr>
        <w:t>规划主要指标表</w:t>
      </w:r>
    </w:p>
    <w:tbl>
      <w:tblPr>
        <w:tblStyle w:val="28"/>
        <w:tblW w:w="8389" w:type="dxa"/>
        <w:jc w:val="center"/>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51"/>
        <w:gridCol w:w="4177"/>
        <w:gridCol w:w="2309"/>
        <w:gridCol w:w="1052"/>
      </w:tblGrid>
      <w:tr w14:paraId="0E290431">
        <w:trPr>
          <w:trHeight w:val="458" w:hRule="atLeast"/>
          <w:jc w:val="center"/>
        </w:trPr>
        <w:tc>
          <w:tcPr>
            <w:tcW w:w="851" w:type="dxa"/>
            <w:shd w:val="clear" w:color="auto" w:fill="auto"/>
            <w:tcMar>
              <w:top w:w="72" w:type="dxa"/>
              <w:left w:w="144" w:type="dxa"/>
              <w:bottom w:w="72" w:type="dxa"/>
              <w:right w:w="144" w:type="dxa"/>
            </w:tcMar>
            <w:vAlign w:val="center"/>
          </w:tcPr>
          <w:p w14:paraId="67A013E8">
            <w:pPr>
              <w:keepNext w:val="0"/>
              <w:keepLines w:val="0"/>
              <w:pageBreakBefore w:val="0"/>
              <w:kinsoku/>
              <w:overflowPunct/>
              <w:topLinePunct w:val="0"/>
              <w:bidi w:val="0"/>
              <w:spacing w:line="600" w:lineRule="exact"/>
              <w:jc w:val="center"/>
              <w:textAlignment w:val="auto"/>
              <w:rPr>
                <w:rFonts w:ascii="黑体" w:hAnsi="黑体" w:eastAsia="黑体"/>
                <w:sz w:val="21"/>
                <w:szCs w:val="21"/>
                <w:highlight w:val="none"/>
                <w:lang w:val="en-US"/>
              </w:rPr>
            </w:pPr>
            <w:r>
              <w:rPr>
                <w:rFonts w:hint="eastAsia" w:ascii="黑体" w:hAnsi="黑体" w:eastAsia="黑体"/>
                <w:sz w:val="21"/>
                <w:szCs w:val="21"/>
                <w:highlight w:val="none"/>
                <w:lang w:val="en-US"/>
              </w:rPr>
              <w:t>序号</w:t>
            </w:r>
          </w:p>
        </w:tc>
        <w:tc>
          <w:tcPr>
            <w:tcW w:w="4177" w:type="dxa"/>
            <w:shd w:val="clear" w:color="auto" w:fill="auto"/>
            <w:tcMar>
              <w:top w:w="72" w:type="dxa"/>
              <w:left w:w="144" w:type="dxa"/>
              <w:bottom w:w="72" w:type="dxa"/>
              <w:right w:w="144" w:type="dxa"/>
            </w:tcMar>
            <w:vAlign w:val="center"/>
          </w:tcPr>
          <w:p w14:paraId="216F8979">
            <w:pPr>
              <w:keepNext w:val="0"/>
              <w:keepLines w:val="0"/>
              <w:pageBreakBefore w:val="0"/>
              <w:kinsoku/>
              <w:overflowPunct/>
              <w:topLinePunct w:val="0"/>
              <w:bidi w:val="0"/>
              <w:spacing w:line="600" w:lineRule="exact"/>
              <w:jc w:val="center"/>
              <w:textAlignment w:val="auto"/>
              <w:rPr>
                <w:rFonts w:ascii="黑体" w:hAnsi="黑体" w:eastAsia="黑体"/>
                <w:sz w:val="21"/>
                <w:szCs w:val="21"/>
                <w:highlight w:val="none"/>
                <w:lang w:val="en-US"/>
              </w:rPr>
            </w:pPr>
            <w:r>
              <w:rPr>
                <w:rFonts w:hint="eastAsia" w:ascii="黑体" w:hAnsi="黑体" w:eastAsia="黑体"/>
                <w:sz w:val="21"/>
                <w:szCs w:val="21"/>
                <w:highlight w:val="none"/>
                <w:lang w:val="en-US"/>
              </w:rPr>
              <w:t>主要指标</w:t>
            </w:r>
          </w:p>
        </w:tc>
        <w:tc>
          <w:tcPr>
            <w:tcW w:w="2309" w:type="dxa"/>
            <w:vAlign w:val="center"/>
          </w:tcPr>
          <w:p w14:paraId="242FAC80">
            <w:pPr>
              <w:keepNext w:val="0"/>
              <w:keepLines w:val="0"/>
              <w:pageBreakBefore w:val="0"/>
              <w:kinsoku/>
              <w:overflowPunct/>
              <w:topLinePunct w:val="0"/>
              <w:bidi w:val="0"/>
              <w:spacing w:line="600" w:lineRule="exact"/>
              <w:jc w:val="center"/>
              <w:textAlignment w:val="auto"/>
              <w:rPr>
                <w:rFonts w:ascii="黑体" w:hAnsi="黑体" w:eastAsia="黑体"/>
                <w:sz w:val="21"/>
                <w:szCs w:val="21"/>
                <w:highlight w:val="none"/>
                <w:lang w:val="en-US"/>
              </w:rPr>
            </w:pPr>
            <w:r>
              <w:rPr>
                <w:rFonts w:hint="eastAsia" w:ascii="黑体" w:hAnsi="黑体" w:eastAsia="黑体"/>
                <w:sz w:val="21"/>
                <w:szCs w:val="21"/>
                <w:highlight w:val="none"/>
                <w:lang w:val="en-US"/>
              </w:rPr>
              <w:t>2025年</w:t>
            </w:r>
          </w:p>
        </w:tc>
        <w:tc>
          <w:tcPr>
            <w:tcW w:w="1052" w:type="dxa"/>
            <w:shd w:val="clear" w:color="auto" w:fill="auto"/>
            <w:vAlign w:val="center"/>
          </w:tcPr>
          <w:p w14:paraId="3766BB0C">
            <w:pPr>
              <w:keepNext w:val="0"/>
              <w:keepLines w:val="0"/>
              <w:pageBreakBefore w:val="0"/>
              <w:kinsoku/>
              <w:overflowPunct/>
              <w:topLinePunct w:val="0"/>
              <w:bidi w:val="0"/>
              <w:spacing w:line="600" w:lineRule="exact"/>
              <w:jc w:val="center"/>
              <w:textAlignment w:val="auto"/>
              <w:rPr>
                <w:rFonts w:ascii="黑体" w:hAnsi="黑体" w:eastAsia="黑体"/>
                <w:sz w:val="21"/>
                <w:szCs w:val="21"/>
                <w:highlight w:val="none"/>
                <w:lang w:val="en-US"/>
              </w:rPr>
            </w:pPr>
            <w:r>
              <w:rPr>
                <w:rFonts w:hint="eastAsia" w:ascii="黑体" w:hAnsi="黑体" w:eastAsia="黑体"/>
                <w:sz w:val="21"/>
                <w:szCs w:val="21"/>
                <w:highlight w:val="none"/>
                <w:lang w:val="en-US"/>
              </w:rPr>
              <w:t>属性</w:t>
            </w:r>
          </w:p>
        </w:tc>
      </w:tr>
      <w:tr w14:paraId="5A64D47C">
        <w:trPr>
          <w:trHeight w:val="180" w:hRule="atLeast"/>
          <w:jc w:val="center"/>
        </w:trPr>
        <w:tc>
          <w:tcPr>
            <w:tcW w:w="851" w:type="dxa"/>
            <w:shd w:val="clear" w:color="auto" w:fill="auto"/>
            <w:tcMar>
              <w:top w:w="72" w:type="dxa"/>
              <w:left w:w="144" w:type="dxa"/>
              <w:bottom w:w="72" w:type="dxa"/>
              <w:right w:w="144" w:type="dxa"/>
            </w:tcMar>
            <w:vAlign w:val="center"/>
          </w:tcPr>
          <w:p w14:paraId="4539751C">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1</w:t>
            </w:r>
          </w:p>
        </w:tc>
        <w:tc>
          <w:tcPr>
            <w:tcW w:w="4177" w:type="dxa"/>
            <w:shd w:val="clear" w:color="auto" w:fill="auto"/>
            <w:tcMar>
              <w:top w:w="72" w:type="dxa"/>
              <w:left w:w="144" w:type="dxa"/>
              <w:bottom w:w="72" w:type="dxa"/>
              <w:right w:w="144" w:type="dxa"/>
            </w:tcMar>
            <w:vAlign w:val="center"/>
          </w:tcPr>
          <w:p w14:paraId="0646C9F3">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年用水总量控制（亿立方米)</w:t>
            </w:r>
          </w:p>
        </w:tc>
        <w:tc>
          <w:tcPr>
            <w:tcW w:w="2309" w:type="dxa"/>
            <w:vAlign w:val="center"/>
          </w:tcPr>
          <w:p w14:paraId="71B29C72">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1.5</w:t>
            </w:r>
          </w:p>
        </w:tc>
        <w:tc>
          <w:tcPr>
            <w:tcW w:w="1052" w:type="dxa"/>
            <w:shd w:val="clear" w:color="auto" w:fill="auto"/>
            <w:vAlign w:val="center"/>
          </w:tcPr>
          <w:p w14:paraId="7E5647EC">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约束性</w:t>
            </w:r>
          </w:p>
        </w:tc>
      </w:tr>
      <w:tr w14:paraId="5D374CB2">
        <w:trPr>
          <w:trHeight w:val="178" w:hRule="atLeast"/>
          <w:jc w:val="center"/>
        </w:trPr>
        <w:tc>
          <w:tcPr>
            <w:tcW w:w="851" w:type="dxa"/>
            <w:shd w:val="clear" w:color="auto" w:fill="auto"/>
            <w:tcMar>
              <w:top w:w="72" w:type="dxa"/>
              <w:left w:w="144" w:type="dxa"/>
              <w:bottom w:w="72" w:type="dxa"/>
              <w:right w:w="144" w:type="dxa"/>
            </w:tcMar>
            <w:vAlign w:val="center"/>
          </w:tcPr>
          <w:p w14:paraId="09083AF5">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2</w:t>
            </w:r>
          </w:p>
        </w:tc>
        <w:tc>
          <w:tcPr>
            <w:tcW w:w="4177" w:type="dxa"/>
            <w:shd w:val="clear" w:color="auto" w:fill="auto"/>
            <w:tcMar>
              <w:top w:w="72" w:type="dxa"/>
              <w:left w:w="144" w:type="dxa"/>
              <w:bottom w:w="72" w:type="dxa"/>
              <w:right w:w="144" w:type="dxa"/>
            </w:tcMar>
            <w:vAlign w:val="center"/>
          </w:tcPr>
          <w:p w14:paraId="31720A20">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Times New Roman"/>
                <w:color w:val="auto"/>
                <w:sz w:val="21"/>
                <w:szCs w:val="21"/>
                <w:highlight w:val="none"/>
              </w:rPr>
              <w:t>万元</w:t>
            </w:r>
            <w:r>
              <w:rPr>
                <w:rFonts w:hint="eastAsia" w:hAnsi="Times New Roman"/>
                <w:color w:val="auto"/>
                <w:sz w:val="21"/>
                <w:szCs w:val="21"/>
                <w:highlight w:val="none"/>
                <w:lang w:val="en-US"/>
              </w:rPr>
              <w:t>GDP</w:t>
            </w:r>
            <w:r>
              <w:rPr>
                <w:rFonts w:hint="eastAsia" w:hAnsi="Times New Roman"/>
                <w:color w:val="auto"/>
                <w:sz w:val="21"/>
                <w:szCs w:val="21"/>
                <w:highlight w:val="none"/>
              </w:rPr>
              <w:t>用水量</w:t>
            </w:r>
            <w:r>
              <w:rPr>
                <w:rFonts w:hint="eastAsia" w:hAnsi="Times New Roman"/>
                <w:color w:val="auto"/>
                <w:sz w:val="21"/>
                <w:szCs w:val="21"/>
                <w:highlight w:val="none"/>
                <w:lang w:val="en-US"/>
              </w:rPr>
              <w:t>（</w:t>
            </w:r>
            <w:r>
              <w:rPr>
                <w:rFonts w:hint="eastAsia" w:hAnsi="Times New Roman"/>
                <w:color w:val="auto"/>
                <w:sz w:val="21"/>
                <w:szCs w:val="21"/>
                <w:highlight w:val="none"/>
              </w:rPr>
              <w:t>立方米</w:t>
            </w:r>
            <w:r>
              <w:rPr>
                <w:rFonts w:hint="eastAsia" w:hAnsi="Times New Roman"/>
                <w:color w:val="auto"/>
                <w:sz w:val="21"/>
                <w:szCs w:val="21"/>
                <w:highlight w:val="none"/>
                <w:lang w:val="en-US"/>
              </w:rPr>
              <w:t>）</w:t>
            </w:r>
          </w:p>
        </w:tc>
        <w:tc>
          <w:tcPr>
            <w:tcW w:w="2309" w:type="dxa"/>
            <w:vAlign w:val="center"/>
          </w:tcPr>
          <w:p w14:paraId="56BE1803">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≤市级部门下达指标</w:t>
            </w:r>
          </w:p>
        </w:tc>
        <w:tc>
          <w:tcPr>
            <w:tcW w:w="1052" w:type="dxa"/>
            <w:shd w:val="clear" w:color="auto" w:fill="auto"/>
            <w:vAlign w:val="center"/>
          </w:tcPr>
          <w:p w14:paraId="220C3571">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约束性</w:t>
            </w:r>
          </w:p>
        </w:tc>
      </w:tr>
      <w:tr w14:paraId="6166C4AD">
        <w:trPr>
          <w:trHeight w:val="178" w:hRule="atLeast"/>
          <w:jc w:val="center"/>
        </w:trPr>
        <w:tc>
          <w:tcPr>
            <w:tcW w:w="851" w:type="dxa"/>
            <w:shd w:val="clear" w:color="auto" w:fill="auto"/>
            <w:tcMar>
              <w:top w:w="72" w:type="dxa"/>
              <w:left w:w="144" w:type="dxa"/>
              <w:bottom w:w="72" w:type="dxa"/>
              <w:right w:w="144" w:type="dxa"/>
            </w:tcMar>
            <w:vAlign w:val="center"/>
          </w:tcPr>
          <w:p w14:paraId="0E5E469E">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3</w:t>
            </w:r>
          </w:p>
        </w:tc>
        <w:tc>
          <w:tcPr>
            <w:tcW w:w="4177" w:type="dxa"/>
            <w:shd w:val="clear" w:color="auto" w:fill="auto"/>
            <w:tcMar>
              <w:top w:w="72" w:type="dxa"/>
              <w:left w:w="144" w:type="dxa"/>
              <w:bottom w:w="72" w:type="dxa"/>
              <w:right w:w="144" w:type="dxa"/>
            </w:tcMar>
            <w:vAlign w:val="center"/>
          </w:tcPr>
          <w:p w14:paraId="6957976C">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Times New Roman"/>
                <w:color w:val="auto"/>
                <w:sz w:val="21"/>
                <w:szCs w:val="21"/>
                <w:highlight w:val="none"/>
              </w:rPr>
              <w:t>万元工业增加值用水量（立方米）</w:t>
            </w:r>
          </w:p>
        </w:tc>
        <w:tc>
          <w:tcPr>
            <w:tcW w:w="2309" w:type="dxa"/>
            <w:vAlign w:val="center"/>
          </w:tcPr>
          <w:p w14:paraId="3818E9DC">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≤市级部门下达指标</w:t>
            </w:r>
          </w:p>
        </w:tc>
        <w:tc>
          <w:tcPr>
            <w:tcW w:w="1052" w:type="dxa"/>
            <w:shd w:val="clear" w:color="auto" w:fill="auto"/>
            <w:vAlign w:val="center"/>
          </w:tcPr>
          <w:p w14:paraId="2A122F96">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约束性</w:t>
            </w:r>
          </w:p>
        </w:tc>
      </w:tr>
      <w:tr w14:paraId="6BD56870">
        <w:trPr>
          <w:trHeight w:val="178" w:hRule="atLeast"/>
          <w:jc w:val="center"/>
        </w:trPr>
        <w:tc>
          <w:tcPr>
            <w:tcW w:w="851" w:type="dxa"/>
            <w:shd w:val="clear" w:color="auto" w:fill="auto"/>
            <w:tcMar>
              <w:top w:w="72" w:type="dxa"/>
              <w:left w:w="144" w:type="dxa"/>
              <w:bottom w:w="72" w:type="dxa"/>
              <w:right w:w="144" w:type="dxa"/>
            </w:tcMar>
            <w:vAlign w:val="center"/>
          </w:tcPr>
          <w:p w14:paraId="7E85345B">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4</w:t>
            </w:r>
          </w:p>
        </w:tc>
        <w:tc>
          <w:tcPr>
            <w:tcW w:w="4177" w:type="dxa"/>
            <w:shd w:val="clear" w:color="auto" w:fill="auto"/>
            <w:tcMar>
              <w:top w:w="72" w:type="dxa"/>
              <w:left w:w="144" w:type="dxa"/>
              <w:bottom w:w="72" w:type="dxa"/>
              <w:right w:w="144" w:type="dxa"/>
            </w:tcMar>
            <w:vAlign w:val="center"/>
          </w:tcPr>
          <w:p w14:paraId="3ECB2E54">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城镇供水管网漏损率（%）</w:t>
            </w:r>
          </w:p>
        </w:tc>
        <w:tc>
          <w:tcPr>
            <w:tcW w:w="2309" w:type="dxa"/>
            <w:vAlign w:val="center"/>
          </w:tcPr>
          <w:p w14:paraId="00FDCEA8">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≤10</w:t>
            </w:r>
          </w:p>
        </w:tc>
        <w:tc>
          <w:tcPr>
            <w:tcW w:w="1052" w:type="dxa"/>
            <w:shd w:val="clear" w:color="auto" w:fill="auto"/>
            <w:vAlign w:val="center"/>
          </w:tcPr>
          <w:p w14:paraId="7011D5D2">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预期性</w:t>
            </w:r>
          </w:p>
        </w:tc>
      </w:tr>
      <w:tr w14:paraId="3AF47E84">
        <w:trPr>
          <w:trHeight w:val="178" w:hRule="atLeast"/>
          <w:jc w:val="center"/>
        </w:trPr>
        <w:tc>
          <w:tcPr>
            <w:tcW w:w="851" w:type="dxa"/>
            <w:shd w:val="clear" w:color="auto" w:fill="auto"/>
            <w:tcMar>
              <w:top w:w="72" w:type="dxa"/>
              <w:left w:w="144" w:type="dxa"/>
              <w:bottom w:w="72" w:type="dxa"/>
              <w:right w:w="144" w:type="dxa"/>
            </w:tcMar>
            <w:vAlign w:val="center"/>
          </w:tcPr>
          <w:p w14:paraId="4F03BBFA">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5</w:t>
            </w:r>
          </w:p>
        </w:tc>
        <w:tc>
          <w:tcPr>
            <w:tcW w:w="4177" w:type="dxa"/>
            <w:shd w:val="clear" w:color="auto" w:fill="auto"/>
            <w:tcMar>
              <w:top w:w="72" w:type="dxa"/>
              <w:left w:w="144" w:type="dxa"/>
              <w:bottom w:w="72" w:type="dxa"/>
              <w:right w:w="144" w:type="dxa"/>
            </w:tcMar>
            <w:vAlign w:val="center"/>
          </w:tcPr>
          <w:p w14:paraId="3B53E47F">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再生水利用率（%）</w:t>
            </w:r>
          </w:p>
        </w:tc>
        <w:tc>
          <w:tcPr>
            <w:tcW w:w="2309" w:type="dxa"/>
            <w:vAlign w:val="center"/>
          </w:tcPr>
          <w:p w14:paraId="0A845AAE">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≥40</w:t>
            </w:r>
          </w:p>
        </w:tc>
        <w:tc>
          <w:tcPr>
            <w:tcW w:w="1052" w:type="dxa"/>
            <w:shd w:val="clear" w:color="auto" w:fill="auto"/>
            <w:vAlign w:val="center"/>
          </w:tcPr>
          <w:p w14:paraId="3AD14362">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预期性</w:t>
            </w:r>
          </w:p>
        </w:tc>
      </w:tr>
      <w:tr w14:paraId="5F03F85F">
        <w:trPr>
          <w:trHeight w:val="178" w:hRule="atLeast"/>
          <w:jc w:val="center"/>
        </w:trPr>
        <w:tc>
          <w:tcPr>
            <w:tcW w:w="851" w:type="dxa"/>
            <w:shd w:val="clear" w:color="auto" w:fill="auto"/>
            <w:tcMar>
              <w:top w:w="72" w:type="dxa"/>
              <w:left w:w="144" w:type="dxa"/>
              <w:bottom w:w="72" w:type="dxa"/>
              <w:right w:w="144" w:type="dxa"/>
            </w:tcMar>
            <w:vAlign w:val="center"/>
          </w:tcPr>
          <w:p w14:paraId="45FA7982">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6</w:t>
            </w:r>
          </w:p>
        </w:tc>
        <w:tc>
          <w:tcPr>
            <w:tcW w:w="4177" w:type="dxa"/>
            <w:shd w:val="clear" w:color="auto" w:fill="auto"/>
            <w:tcMar>
              <w:top w:w="72" w:type="dxa"/>
              <w:left w:w="144" w:type="dxa"/>
              <w:bottom w:w="72" w:type="dxa"/>
              <w:right w:w="144" w:type="dxa"/>
            </w:tcMar>
            <w:vAlign w:val="center"/>
          </w:tcPr>
          <w:p w14:paraId="6ED3DC86">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自来水供水水质达标率（%）</w:t>
            </w:r>
          </w:p>
        </w:tc>
        <w:tc>
          <w:tcPr>
            <w:tcW w:w="2309" w:type="dxa"/>
            <w:vAlign w:val="center"/>
          </w:tcPr>
          <w:p w14:paraId="4C82E252">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100</w:t>
            </w:r>
          </w:p>
        </w:tc>
        <w:tc>
          <w:tcPr>
            <w:tcW w:w="1052" w:type="dxa"/>
            <w:shd w:val="clear" w:color="auto" w:fill="auto"/>
            <w:vAlign w:val="center"/>
          </w:tcPr>
          <w:p w14:paraId="61B42734">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约束性</w:t>
            </w:r>
          </w:p>
        </w:tc>
      </w:tr>
      <w:tr w14:paraId="2F127A69">
        <w:trPr>
          <w:trHeight w:val="180" w:hRule="atLeast"/>
          <w:jc w:val="center"/>
        </w:trPr>
        <w:tc>
          <w:tcPr>
            <w:tcW w:w="851" w:type="dxa"/>
            <w:shd w:val="clear" w:color="auto" w:fill="auto"/>
            <w:tcMar>
              <w:top w:w="72" w:type="dxa"/>
              <w:left w:w="144" w:type="dxa"/>
              <w:bottom w:w="72" w:type="dxa"/>
              <w:right w:w="144" w:type="dxa"/>
            </w:tcMar>
            <w:vAlign w:val="center"/>
          </w:tcPr>
          <w:p w14:paraId="136A5F70">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7</w:t>
            </w:r>
          </w:p>
        </w:tc>
        <w:tc>
          <w:tcPr>
            <w:tcW w:w="4177" w:type="dxa"/>
            <w:shd w:val="clear" w:color="auto" w:fill="auto"/>
            <w:tcMar>
              <w:top w:w="72" w:type="dxa"/>
              <w:left w:w="144" w:type="dxa"/>
              <w:bottom w:w="72" w:type="dxa"/>
              <w:right w:w="144" w:type="dxa"/>
            </w:tcMar>
            <w:vAlign w:val="center"/>
          </w:tcPr>
          <w:p w14:paraId="7CFD7276">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城乡生活及工业生产供水保证</w:t>
            </w:r>
            <w:r>
              <w:rPr>
                <w:rFonts w:hint="eastAsia" w:hAnsi="仿宋"/>
                <w:color w:val="auto"/>
                <w:sz w:val="21"/>
                <w:szCs w:val="21"/>
                <w:highlight w:val="none"/>
                <w:lang w:val="en-US" w:eastAsia="zh-CN"/>
              </w:rPr>
              <w:t>率</w:t>
            </w:r>
            <w:r>
              <w:rPr>
                <w:rFonts w:hint="eastAsia" w:hAnsi="仿宋"/>
                <w:color w:val="auto"/>
                <w:sz w:val="21"/>
                <w:szCs w:val="21"/>
                <w:highlight w:val="none"/>
                <w:lang w:val="en-US"/>
              </w:rPr>
              <w:t>（%）</w:t>
            </w:r>
          </w:p>
        </w:tc>
        <w:tc>
          <w:tcPr>
            <w:tcW w:w="2309" w:type="dxa"/>
            <w:vAlign w:val="center"/>
          </w:tcPr>
          <w:p w14:paraId="67D557A3">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w:t>
            </w:r>
            <w:r>
              <w:rPr>
                <w:rFonts w:hAnsi="仿宋"/>
                <w:color w:val="auto"/>
                <w:sz w:val="21"/>
                <w:szCs w:val="21"/>
                <w:highlight w:val="none"/>
                <w:lang w:val="en-US"/>
              </w:rPr>
              <w:t>97</w:t>
            </w:r>
          </w:p>
        </w:tc>
        <w:tc>
          <w:tcPr>
            <w:tcW w:w="1052" w:type="dxa"/>
            <w:shd w:val="clear" w:color="auto" w:fill="auto"/>
            <w:vAlign w:val="center"/>
          </w:tcPr>
          <w:p w14:paraId="2ADE65A1">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预期性</w:t>
            </w:r>
          </w:p>
        </w:tc>
      </w:tr>
      <w:tr w14:paraId="04993B87">
        <w:trPr>
          <w:trHeight w:val="180" w:hRule="atLeast"/>
          <w:jc w:val="center"/>
        </w:trPr>
        <w:tc>
          <w:tcPr>
            <w:tcW w:w="851" w:type="dxa"/>
            <w:shd w:val="clear" w:color="auto" w:fill="auto"/>
            <w:tcMar>
              <w:top w:w="72" w:type="dxa"/>
              <w:left w:w="144" w:type="dxa"/>
              <w:bottom w:w="72" w:type="dxa"/>
              <w:right w:w="144" w:type="dxa"/>
            </w:tcMar>
            <w:vAlign w:val="center"/>
          </w:tcPr>
          <w:p w14:paraId="252878B8">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8</w:t>
            </w:r>
          </w:p>
        </w:tc>
        <w:tc>
          <w:tcPr>
            <w:tcW w:w="4177" w:type="dxa"/>
            <w:shd w:val="clear" w:color="auto" w:fill="auto"/>
            <w:tcMar>
              <w:top w:w="72" w:type="dxa"/>
              <w:left w:w="144" w:type="dxa"/>
              <w:bottom w:w="72" w:type="dxa"/>
              <w:right w:w="144" w:type="dxa"/>
            </w:tcMar>
            <w:vAlign w:val="center"/>
          </w:tcPr>
          <w:p w14:paraId="19DD7FE6">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城镇污水集中处理率（%）</w:t>
            </w:r>
          </w:p>
        </w:tc>
        <w:tc>
          <w:tcPr>
            <w:tcW w:w="2309" w:type="dxa"/>
            <w:vAlign w:val="center"/>
          </w:tcPr>
          <w:p w14:paraId="55124630">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≥96</w:t>
            </w:r>
          </w:p>
        </w:tc>
        <w:tc>
          <w:tcPr>
            <w:tcW w:w="1052" w:type="dxa"/>
            <w:shd w:val="clear" w:color="auto" w:fill="auto"/>
            <w:vAlign w:val="center"/>
          </w:tcPr>
          <w:p w14:paraId="77186348">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预期性</w:t>
            </w:r>
          </w:p>
        </w:tc>
      </w:tr>
      <w:tr w14:paraId="05399D93">
        <w:trPr>
          <w:trHeight w:val="179" w:hRule="atLeast"/>
          <w:jc w:val="center"/>
        </w:trPr>
        <w:tc>
          <w:tcPr>
            <w:tcW w:w="851" w:type="dxa"/>
            <w:shd w:val="clear" w:color="auto" w:fill="auto"/>
            <w:tcMar>
              <w:top w:w="72" w:type="dxa"/>
              <w:left w:w="144" w:type="dxa"/>
              <w:bottom w:w="72" w:type="dxa"/>
              <w:right w:w="144" w:type="dxa"/>
            </w:tcMar>
            <w:vAlign w:val="center"/>
          </w:tcPr>
          <w:p w14:paraId="377C0AC4">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9</w:t>
            </w:r>
          </w:p>
        </w:tc>
        <w:tc>
          <w:tcPr>
            <w:tcW w:w="4177" w:type="dxa"/>
            <w:shd w:val="clear" w:color="auto" w:fill="auto"/>
            <w:tcMar>
              <w:top w:w="72" w:type="dxa"/>
              <w:left w:w="144" w:type="dxa"/>
              <w:bottom w:w="72" w:type="dxa"/>
              <w:right w:w="144" w:type="dxa"/>
            </w:tcMar>
            <w:vAlign w:val="center"/>
          </w:tcPr>
          <w:p w14:paraId="6C2376DE">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城镇污水处理厂出水主要指标达标率（%）</w:t>
            </w:r>
          </w:p>
        </w:tc>
        <w:tc>
          <w:tcPr>
            <w:tcW w:w="2309" w:type="dxa"/>
            <w:vAlign w:val="center"/>
          </w:tcPr>
          <w:p w14:paraId="3BDB049C">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≥95</w:t>
            </w:r>
          </w:p>
        </w:tc>
        <w:tc>
          <w:tcPr>
            <w:tcW w:w="1052" w:type="dxa"/>
            <w:shd w:val="clear" w:color="auto" w:fill="auto"/>
            <w:vAlign w:val="center"/>
          </w:tcPr>
          <w:p w14:paraId="2AD46D4F">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预期性</w:t>
            </w:r>
          </w:p>
        </w:tc>
      </w:tr>
      <w:tr w14:paraId="63BEE66C">
        <w:trPr>
          <w:trHeight w:val="180" w:hRule="atLeast"/>
          <w:jc w:val="center"/>
        </w:trPr>
        <w:tc>
          <w:tcPr>
            <w:tcW w:w="851" w:type="dxa"/>
            <w:shd w:val="clear" w:color="auto" w:fill="auto"/>
            <w:tcMar>
              <w:top w:w="72" w:type="dxa"/>
              <w:left w:w="144" w:type="dxa"/>
              <w:bottom w:w="72" w:type="dxa"/>
              <w:right w:w="144" w:type="dxa"/>
            </w:tcMar>
            <w:vAlign w:val="center"/>
          </w:tcPr>
          <w:p w14:paraId="4EFC8C76">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10</w:t>
            </w:r>
          </w:p>
        </w:tc>
        <w:tc>
          <w:tcPr>
            <w:tcW w:w="4177" w:type="dxa"/>
            <w:shd w:val="clear" w:color="auto" w:fill="auto"/>
            <w:tcMar>
              <w:top w:w="72" w:type="dxa"/>
              <w:left w:w="144" w:type="dxa"/>
              <w:bottom w:w="72" w:type="dxa"/>
              <w:right w:w="144" w:type="dxa"/>
            </w:tcMar>
            <w:vAlign w:val="center"/>
          </w:tcPr>
          <w:p w14:paraId="3CE739B2">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污水处理厂污泥无害化处置率（%）</w:t>
            </w:r>
          </w:p>
        </w:tc>
        <w:tc>
          <w:tcPr>
            <w:tcW w:w="2309" w:type="dxa"/>
            <w:vAlign w:val="center"/>
          </w:tcPr>
          <w:p w14:paraId="33CEF970">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Times New Roman"/>
                <w:color w:val="auto"/>
                <w:sz w:val="21"/>
                <w:szCs w:val="21"/>
                <w:highlight w:val="none"/>
              </w:rPr>
              <w:t>100</w:t>
            </w:r>
          </w:p>
        </w:tc>
        <w:tc>
          <w:tcPr>
            <w:tcW w:w="1052" w:type="dxa"/>
            <w:shd w:val="clear" w:color="auto" w:fill="auto"/>
            <w:vAlign w:val="center"/>
          </w:tcPr>
          <w:p w14:paraId="5C57B606">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预期性</w:t>
            </w:r>
          </w:p>
        </w:tc>
      </w:tr>
      <w:tr w14:paraId="16438317">
        <w:trPr>
          <w:trHeight w:val="428" w:hRule="atLeast"/>
          <w:jc w:val="center"/>
        </w:trPr>
        <w:tc>
          <w:tcPr>
            <w:tcW w:w="851" w:type="dxa"/>
            <w:shd w:val="clear" w:color="auto" w:fill="auto"/>
            <w:tcMar>
              <w:top w:w="72" w:type="dxa"/>
              <w:left w:w="144" w:type="dxa"/>
              <w:bottom w:w="72" w:type="dxa"/>
              <w:right w:w="144" w:type="dxa"/>
            </w:tcMar>
            <w:vAlign w:val="center"/>
          </w:tcPr>
          <w:p w14:paraId="2531F7E7">
            <w:pPr>
              <w:keepNext w:val="0"/>
              <w:keepLines w:val="0"/>
              <w:pageBreakBefore w:val="0"/>
              <w:kinsoku/>
              <w:overflowPunct/>
              <w:topLinePunct w:val="0"/>
              <w:bidi w:val="0"/>
              <w:spacing w:line="600" w:lineRule="exact"/>
              <w:jc w:val="center"/>
              <w:textAlignment w:val="auto"/>
              <w:rPr>
                <w:rFonts w:hAnsi="仿宋"/>
                <w:sz w:val="21"/>
                <w:szCs w:val="21"/>
                <w:highlight w:val="none"/>
                <w:lang w:val="en-US"/>
              </w:rPr>
            </w:pPr>
            <w:r>
              <w:rPr>
                <w:rFonts w:hint="eastAsia" w:hAnsi="仿宋"/>
                <w:sz w:val="21"/>
                <w:szCs w:val="21"/>
                <w:highlight w:val="none"/>
                <w:lang w:val="en-US"/>
              </w:rPr>
              <w:t>11</w:t>
            </w:r>
          </w:p>
        </w:tc>
        <w:tc>
          <w:tcPr>
            <w:tcW w:w="4177" w:type="dxa"/>
            <w:shd w:val="clear" w:color="auto" w:fill="auto"/>
            <w:tcMar>
              <w:top w:w="72" w:type="dxa"/>
              <w:left w:w="144" w:type="dxa"/>
              <w:bottom w:w="72" w:type="dxa"/>
              <w:right w:w="144" w:type="dxa"/>
            </w:tcMar>
            <w:vAlign w:val="center"/>
          </w:tcPr>
          <w:p w14:paraId="749BED40">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深层地下水开采量（亿</w:t>
            </w:r>
            <w:r>
              <w:rPr>
                <w:rFonts w:hint="eastAsia" w:hAnsi="Times New Roman"/>
                <w:color w:val="auto"/>
                <w:sz w:val="21"/>
                <w:szCs w:val="21"/>
                <w:highlight w:val="none"/>
              </w:rPr>
              <w:t>立方米</w:t>
            </w:r>
            <w:r>
              <w:rPr>
                <w:rFonts w:hint="eastAsia" w:hAnsi="仿宋"/>
                <w:color w:val="auto"/>
                <w:sz w:val="21"/>
                <w:szCs w:val="21"/>
                <w:highlight w:val="none"/>
                <w:lang w:val="en-US"/>
              </w:rPr>
              <w:t>)</w:t>
            </w:r>
          </w:p>
        </w:tc>
        <w:tc>
          <w:tcPr>
            <w:tcW w:w="2309" w:type="dxa"/>
            <w:vAlign w:val="center"/>
          </w:tcPr>
          <w:p w14:paraId="31C0C266">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除应急备用水源、计划拆迁村生活井及水源无法到达地区机井外，其余地下水开采量归零</w:t>
            </w:r>
          </w:p>
        </w:tc>
        <w:tc>
          <w:tcPr>
            <w:tcW w:w="1052" w:type="dxa"/>
            <w:shd w:val="clear" w:color="auto" w:fill="auto"/>
            <w:vAlign w:val="center"/>
          </w:tcPr>
          <w:p w14:paraId="0F59250F">
            <w:pPr>
              <w:keepNext w:val="0"/>
              <w:keepLines w:val="0"/>
              <w:pageBreakBefore w:val="0"/>
              <w:kinsoku/>
              <w:overflowPunct/>
              <w:topLinePunct w:val="0"/>
              <w:bidi w:val="0"/>
              <w:spacing w:line="600" w:lineRule="exact"/>
              <w:jc w:val="center"/>
              <w:textAlignment w:val="auto"/>
              <w:rPr>
                <w:rFonts w:hAnsi="仿宋"/>
                <w:color w:val="auto"/>
                <w:sz w:val="21"/>
                <w:szCs w:val="21"/>
                <w:highlight w:val="none"/>
                <w:lang w:val="en-US"/>
              </w:rPr>
            </w:pPr>
            <w:r>
              <w:rPr>
                <w:rFonts w:hint="eastAsia" w:hAnsi="仿宋"/>
                <w:color w:val="auto"/>
                <w:sz w:val="21"/>
                <w:szCs w:val="21"/>
                <w:highlight w:val="none"/>
                <w:lang w:val="en-US"/>
              </w:rPr>
              <w:t>预期性</w:t>
            </w:r>
          </w:p>
        </w:tc>
      </w:tr>
    </w:tbl>
    <w:p w14:paraId="2F796AFD">
      <w:pPr>
        <w:keepNext w:val="0"/>
        <w:keepLines w:val="0"/>
        <w:pageBreakBefore w:val="0"/>
        <w:kinsoku/>
        <w:overflowPunct/>
        <w:topLinePunct w:val="0"/>
        <w:bidi w:val="0"/>
        <w:spacing w:line="600" w:lineRule="exact"/>
        <w:textAlignment w:val="auto"/>
        <w:rPr>
          <w:rFonts w:eastAsia="仿宋"/>
          <w:bCs/>
          <w:spacing w:val="-7"/>
          <w:highlight w:val="none"/>
        </w:rPr>
        <w:sectPr>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sectPr>
      </w:pPr>
    </w:p>
    <w:p w14:paraId="46499938">
      <w:pPr>
        <w:keepNext w:val="0"/>
        <w:keepLines w:val="0"/>
        <w:pageBreakBefore w:val="0"/>
        <w:numPr>
          <w:ilvl w:val="0"/>
          <w:numId w:val="1"/>
        </w:numPr>
        <w:kinsoku/>
        <w:overflowPunct/>
        <w:topLinePunct w:val="0"/>
        <w:autoSpaceDE/>
        <w:autoSpaceDN/>
        <w:bidi w:val="0"/>
        <w:spacing w:before="120" w:beforeLines="50" w:after="120" w:afterLines="50" w:line="600" w:lineRule="exact"/>
        <w:jc w:val="center"/>
        <w:textAlignment w:val="auto"/>
        <w:outlineLvl w:val="0"/>
        <w:rPr>
          <w:rFonts w:hint="eastAsia" w:ascii="方正小标宋简体" w:hAnsi="方正小标宋简体" w:eastAsia="方正小标宋简体" w:cs="方正小标宋简体"/>
          <w:sz w:val="36"/>
          <w:szCs w:val="36"/>
          <w:highlight w:val="none"/>
        </w:rPr>
      </w:pPr>
      <w:bookmarkStart w:id="7" w:name="_bookmark13"/>
      <w:bookmarkEnd w:id="7"/>
      <w:bookmarkStart w:id="8" w:name="_Toc66804157"/>
      <w:r>
        <w:rPr>
          <w:rFonts w:hint="eastAsia" w:ascii="方正小标宋简体" w:hAnsi="方正小标宋简体" w:eastAsia="方正小标宋简体" w:cs="方正小标宋简体"/>
          <w:bCs/>
          <w:kern w:val="2"/>
          <w:sz w:val="36"/>
          <w:szCs w:val="36"/>
          <w:highlight w:val="none"/>
          <w:lang w:val="en-US" w:eastAsia="zh-CN" w:bidi="ar-SA"/>
        </w:rPr>
        <w:t xml:space="preserve">  </w:t>
      </w:r>
      <w:r>
        <w:rPr>
          <w:rFonts w:hint="eastAsia" w:ascii="方正小标宋简体" w:hAnsi="方正小标宋简体" w:eastAsia="方正小标宋简体" w:cs="方正小标宋简体"/>
          <w:bCs/>
          <w:kern w:val="2"/>
          <w:sz w:val="36"/>
          <w:szCs w:val="36"/>
          <w:highlight w:val="none"/>
          <w:lang w:bidi="ar-SA"/>
        </w:rPr>
        <w:t>工程补短板主要任务</w:t>
      </w:r>
      <w:bookmarkEnd w:id="8"/>
    </w:p>
    <w:p w14:paraId="50541B53">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仿宋" w:hAnsi="仿宋" w:eastAsia="仿宋" w:cs="仿宋"/>
          <w:b/>
          <w:bCs/>
          <w:kern w:val="2"/>
          <w:sz w:val="32"/>
          <w:szCs w:val="32"/>
          <w:highlight w:val="none"/>
          <w:lang w:val="en-US" w:bidi="ar-SA"/>
        </w:rPr>
      </w:pPr>
      <w:bookmarkStart w:id="9" w:name="_Toc66804158"/>
      <w:r>
        <w:rPr>
          <w:rFonts w:hint="eastAsia" w:ascii="Times New Roman" w:hAnsi="Times New Roman" w:eastAsia="黑体" w:cs="Times New Roman"/>
          <w:bCs/>
          <w:kern w:val="2"/>
          <w:sz w:val="32"/>
          <w:szCs w:val="32"/>
          <w:highlight w:val="none"/>
          <w:lang w:eastAsia="zh-CN" w:bidi="ar-SA"/>
        </w:rPr>
        <w:t>第一节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统筹优化水资源配置</w:t>
      </w:r>
      <w:r>
        <w:rPr>
          <w:rFonts w:hint="eastAsia" w:ascii="Times New Roman" w:hAnsi="Times New Roman" w:eastAsia="黑体" w:cs="Times New Roman"/>
          <w:bCs/>
          <w:kern w:val="2"/>
          <w:sz w:val="32"/>
          <w:szCs w:val="32"/>
          <w:highlight w:val="none"/>
          <w:lang w:eastAsia="zh-CN" w:bidi="ar-SA"/>
        </w:rPr>
        <w:t>以</w:t>
      </w:r>
      <w:r>
        <w:rPr>
          <w:rFonts w:hint="eastAsia" w:ascii="Times New Roman" w:hAnsi="Times New Roman" w:eastAsia="黑体" w:cs="Times New Roman"/>
          <w:bCs/>
          <w:kern w:val="2"/>
          <w:sz w:val="32"/>
          <w:szCs w:val="32"/>
          <w:highlight w:val="none"/>
          <w:lang w:bidi="ar-SA"/>
        </w:rPr>
        <w:t>保障城乡供水</w:t>
      </w:r>
      <w:bookmarkEnd w:id="9"/>
      <w:r>
        <w:rPr>
          <w:rFonts w:hint="eastAsia" w:ascii="Times New Roman" w:hAnsi="Times New Roman" w:eastAsia="黑体" w:cs="Times New Roman"/>
          <w:bCs/>
          <w:kern w:val="2"/>
          <w:sz w:val="32"/>
          <w:szCs w:val="32"/>
          <w:highlight w:val="none"/>
          <w:lang w:bidi="ar-SA"/>
        </w:rPr>
        <w:t>安全</w:t>
      </w:r>
    </w:p>
    <w:p w14:paraId="7381A454">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“十四五”时期，</w:t>
      </w:r>
      <w:r>
        <w:rPr>
          <w:rFonts w:hAnsi="仿宋" w:cs="仿宋"/>
          <w:sz w:val="32"/>
          <w:szCs w:val="32"/>
          <w:highlight w:val="none"/>
        </w:rPr>
        <w:t>以现状供水工程体系为基础</w:t>
      </w:r>
      <w:r>
        <w:rPr>
          <w:rFonts w:hint="eastAsia" w:hAnsi="仿宋" w:cs="仿宋"/>
          <w:sz w:val="32"/>
          <w:szCs w:val="32"/>
          <w:highlight w:val="none"/>
        </w:rPr>
        <w:t>，完善供水管网系统，提高供水保障能力，实施“多源联调</w:t>
      </w:r>
      <w:r>
        <w:rPr>
          <w:rFonts w:hint="eastAsia" w:hAnsi="仿宋" w:cs="仿宋"/>
          <w:sz w:val="32"/>
          <w:szCs w:val="32"/>
          <w:highlight w:val="none"/>
          <w:lang w:eastAsia="zh-CN"/>
        </w:rPr>
        <w:t>”，实现“</w:t>
      </w:r>
      <w:r>
        <w:rPr>
          <w:rFonts w:hint="eastAsia" w:hAnsi="仿宋" w:cs="仿宋"/>
          <w:sz w:val="32"/>
          <w:szCs w:val="32"/>
          <w:highlight w:val="none"/>
        </w:rPr>
        <w:t>丰枯互济”，保障城乡供水安全。</w:t>
      </w:r>
    </w:p>
    <w:p w14:paraId="4E42C23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lang w:val="en-US"/>
        </w:rPr>
      </w:pPr>
      <w:r>
        <w:rPr>
          <w:rFonts w:hint="eastAsia" w:ascii="黑体" w:hAnsi="黑体" w:eastAsia="黑体" w:cs="黑体"/>
          <w:sz w:val="32"/>
          <w:szCs w:val="32"/>
          <w:lang w:eastAsia="zh-CN"/>
        </w:rPr>
        <w:t>一、</w:t>
      </w:r>
      <w:r>
        <w:rPr>
          <w:rFonts w:hint="eastAsia" w:ascii="黑体" w:hAnsi="黑体" w:eastAsia="黑体" w:cs="黑体"/>
          <w:sz w:val="32"/>
          <w:szCs w:val="32"/>
        </w:rPr>
        <w:t>水资源供需预测及配置</w:t>
      </w:r>
    </w:p>
    <w:p w14:paraId="699F91F2">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需水预测</w:t>
      </w:r>
    </w:p>
    <w:p w14:paraId="1A9531DD">
      <w:pPr>
        <w:pStyle w:val="3"/>
        <w:keepNext w:val="0"/>
        <w:keepLines w:val="0"/>
        <w:pageBreakBefore w:val="0"/>
        <w:kinsoku/>
        <w:overflowPunct/>
        <w:topLinePunct w:val="0"/>
        <w:bidi w:val="0"/>
        <w:spacing w:line="600" w:lineRule="exact"/>
        <w:ind w:firstLine="640" w:firstLineChars="200"/>
        <w:jc w:val="both"/>
        <w:textAlignment w:val="auto"/>
        <w:rPr>
          <w:rFonts w:hint="eastAsia" w:hAnsi="仿宋" w:cs="仿宋"/>
          <w:sz w:val="32"/>
          <w:szCs w:val="32"/>
          <w:highlight w:val="none"/>
        </w:rPr>
      </w:pPr>
      <w:r>
        <w:rPr>
          <w:rFonts w:hint="eastAsia" w:hAnsi="仿宋" w:cs="仿宋"/>
          <w:sz w:val="32"/>
          <w:szCs w:val="32"/>
          <w:highlight w:val="none"/>
        </w:rPr>
        <w:t>需水构成主要分三大类，一是生活需水，二是生产需水，三是生态环境需水。</w:t>
      </w:r>
    </w:p>
    <w:p w14:paraId="00A9EF09">
      <w:pPr>
        <w:pStyle w:val="3"/>
        <w:keepNext w:val="0"/>
        <w:keepLines w:val="0"/>
        <w:pageBreakBefore w:val="0"/>
        <w:kinsoku/>
        <w:overflowPunct/>
        <w:topLinePunct w:val="0"/>
        <w:bidi w:val="0"/>
        <w:spacing w:line="600" w:lineRule="exact"/>
        <w:ind w:firstLine="640" w:firstLineChars="200"/>
        <w:jc w:val="both"/>
        <w:textAlignment w:val="auto"/>
        <w:rPr>
          <w:rFonts w:hint="eastAsia" w:hAnsi="仿宋" w:cs="仿宋"/>
          <w:sz w:val="32"/>
          <w:szCs w:val="32"/>
          <w:highlight w:val="none"/>
        </w:rPr>
      </w:pPr>
      <w:r>
        <w:rPr>
          <w:rFonts w:hint="eastAsia" w:hAnsi="仿宋" w:cs="仿宋"/>
          <w:sz w:val="32"/>
          <w:szCs w:val="32"/>
          <w:highlight w:val="none"/>
        </w:rPr>
        <w:t>生活用水、农业生产需水采用指标法，工业需水采用趋势法。按2025年全区常住人口100万人，</w:t>
      </w:r>
      <w:r>
        <w:rPr>
          <w:rFonts w:hint="eastAsia" w:hAnsi="仿宋" w:cs="仿宋"/>
          <w:sz w:val="32"/>
          <w:szCs w:val="32"/>
          <w:highlight w:val="none"/>
          <w:lang w:eastAsia="zh-CN"/>
        </w:rPr>
        <w:t>其中</w:t>
      </w:r>
      <w:r>
        <w:rPr>
          <w:rFonts w:hint="eastAsia" w:hAnsi="仿宋" w:cs="仿宋"/>
          <w:sz w:val="32"/>
          <w:szCs w:val="32"/>
          <w:highlight w:val="none"/>
        </w:rPr>
        <w:t>城镇人口94万人，农村人口6万人，农田有效灌溉面积16.67万亩，工业需水年增长率控制在2%左右进行测算，到2025年全区正常年份需水总量为14560万立方米，其中生活需水4100万立方米，生产需水7210万立方米，生态环境需水3250万立方米。</w:t>
      </w:r>
    </w:p>
    <w:p w14:paraId="5E664007">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（二）供水预测</w:t>
      </w:r>
    </w:p>
    <w:p w14:paraId="7F49ACA1">
      <w:pPr>
        <w:pStyle w:val="3"/>
        <w:keepNext w:val="0"/>
        <w:keepLines w:val="0"/>
        <w:pageBreakBefore w:val="0"/>
        <w:kinsoku/>
        <w:overflowPunct/>
        <w:topLinePunct w:val="0"/>
        <w:bidi w:val="0"/>
        <w:spacing w:line="600" w:lineRule="exact"/>
        <w:ind w:firstLine="640" w:firstLineChars="200"/>
        <w:jc w:val="both"/>
        <w:textAlignment w:val="auto"/>
        <w:rPr>
          <w:rFonts w:hint="eastAsia" w:hAnsi="仿宋" w:cs="仿宋"/>
          <w:sz w:val="32"/>
          <w:szCs w:val="32"/>
          <w:highlight w:val="none"/>
          <w:lang w:val="en-US"/>
        </w:rPr>
      </w:pPr>
      <w:r>
        <w:rPr>
          <w:rFonts w:hint="eastAsia" w:hAnsi="仿宋" w:cs="仿宋"/>
          <w:sz w:val="32"/>
          <w:szCs w:val="32"/>
          <w:highlight w:val="none"/>
          <w:lang w:val="en-US"/>
        </w:rPr>
        <w:t>可供水水源包括当地地表水及入境水、外调水、再生水。</w:t>
      </w:r>
    </w:p>
    <w:p w14:paraId="08506409">
      <w:pPr>
        <w:pStyle w:val="3"/>
        <w:keepNext w:val="0"/>
        <w:keepLines w:val="0"/>
        <w:pageBreakBefore w:val="0"/>
        <w:kinsoku/>
        <w:overflowPunct/>
        <w:topLinePunct w:val="0"/>
        <w:bidi w:val="0"/>
        <w:spacing w:line="600" w:lineRule="exact"/>
        <w:ind w:firstLine="640" w:firstLineChars="200"/>
        <w:jc w:val="both"/>
        <w:textAlignment w:val="auto"/>
        <w:rPr>
          <w:rFonts w:hint="eastAsia" w:hAnsi="仿宋" w:cs="仿宋"/>
          <w:sz w:val="32"/>
          <w:szCs w:val="32"/>
          <w:highlight w:val="none"/>
          <w:lang w:val="en-US"/>
        </w:rPr>
      </w:pPr>
      <w:r>
        <w:rPr>
          <w:rFonts w:hint="eastAsia" w:hAnsi="仿宋" w:cs="仿宋"/>
          <w:sz w:val="32"/>
          <w:szCs w:val="32"/>
          <w:highlight w:val="none"/>
          <w:lang w:val="en-US"/>
        </w:rPr>
        <w:t>当地地表水及入境水</w:t>
      </w:r>
      <w:r>
        <w:rPr>
          <w:rFonts w:hint="eastAsia" w:hAnsi="仿宋" w:cs="仿宋"/>
          <w:sz w:val="32"/>
          <w:szCs w:val="32"/>
          <w:highlight w:val="none"/>
          <w:lang w:val="en-US" w:eastAsia="zh-CN"/>
        </w:rPr>
        <w:t>：</w:t>
      </w:r>
      <w:r>
        <w:rPr>
          <w:rFonts w:hint="eastAsia" w:hAnsi="仿宋" w:cs="仿宋"/>
          <w:sz w:val="32"/>
          <w:szCs w:val="32"/>
          <w:highlight w:val="none"/>
          <w:lang w:val="en-US"/>
        </w:rPr>
        <w:t>根据近5年北辰区当地地表水及入境水用水量，综合考虑北辰区水利工程调蓄能力、河道自身生态需求和水资源开发利用程度，2025年北辰区当地地表水及入境水可利用水量为1400万立方米。</w:t>
      </w:r>
    </w:p>
    <w:p w14:paraId="26936422">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int="eastAsia" w:hAnsi="仿宋" w:cs="仿宋"/>
          <w:sz w:val="32"/>
          <w:szCs w:val="32"/>
          <w:highlight w:val="none"/>
          <w:lang w:val="en-US"/>
        </w:rPr>
      </w:pPr>
      <w:r>
        <w:rPr>
          <w:rFonts w:hint="eastAsia" w:hAnsi="仿宋" w:cs="仿宋"/>
          <w:sz w:val="32"/>
          <w:szCs w:val="32"/>
          <w:highlight w:val="none"/>
          <w:lang w:val="en-US"/>
        </w:rPr>
        <w:t>外调水</w:t>
      </w:r>
      <w:r>
        <w:rPr>
          <w:rFonts w:hint="eastAsia" w:hAnsi="仿宋" w:cs="仿宋"/>
          <w:sz w:val="32"/>
          <w:szCs w:val="32"/>
          <w:highlight w:val="none"/>
          <w:lang w:val="en-US" w:eastAsia="zh-CN"/>
        </w:rPr>
        <w:t>：</w:t>
      </w:r>
      <w:r>
        <w:rPr>
          <w:rFonts w:hint="eastAsia" w:hAnsi="仿宋" w:cs="仿宋"/>
          <w:sz w:val="32"/>
          <w:szCs w:val="32"/>
          <w:highlight w:val="none"/>
          <w:lang w:val="en-US"/>
        </w:rPr>
        <w:t>目前，主城区供水为引滦、引江双水源，供水能力和供水保障率大幅提升。根据《天津市供水规划（2020-2035年）》，主城区由新开河水厂、芥园水厂、凌庄水厂、津滨水厂、杨柳青水厂和宜达水厂6座水厂供水，2025年供水能力265万立方米/日。2025年水厂规模均能够满足主城区用水需求，并富余供水能力50万立方米/日。北辰区外调水主要由芥园水厂、新开河水厂、宜达水厂3座水厂提供。2025年芥园水厂、新开河水厂、宜达水厂需向北辰区最高日供水24万立方米，年供水7260万立方米。</w:t>
      </w:r>
    </w:p>
    <w:p w14:paraId="06684D29">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int="eastAsia" w:hAnsi="仿宋" w:cs="仿宋"/>
          <w:sz w:val="32"/>
          <w:szCs w:val="32"/>
          <w:highlight w:val="none"/>
          <w:lang w:val="en-US"/>
        </w:rPr>
      </w:pPr>
      <w:r>
        <w:rPr>
          <w:rFonts w:hint="eastAsia" w:hAnsi="仿宋" w:cs="仿宋"/>
          <w:sz w:val="32"/>
          <w:szCs w:val="32"/>
          <w:highlight w:val="none"/>
          <w:lang w:val="en-US"/>
        </w:rPr>
        <w:t>再生水</w:t>
      </w:r>
      <w:r>
        <w:rPr>
          <w:rFonts w:hint="eastAsia" w:hAnsi="仿宋" w:cs="仿宋"/>
          <w:sz w:val="32"/>
          <w:szCs w:val="32"/>
          <w:highlight w:val="none"/>
          <w:lang w:val="en-US" w:eastAsia="zh-CN"/>
        </w:rPr>
        <w:t>：</w:t>
      </w:r>
      <w:r>
        <w:rPr>
          <w:rFonts w:hint="eastAsia" w:hAnsi="仿宋" w:cs="仿宋"/>
          <w:sz w:val="32"/>
          <w:szCs w:val="32"/>
          <w:highlight w:val="none"/>
          <w:lang w:val="en-US"/>
        </w:rPr>
        <w:t>以全区城镇需水量为依据，城镇生活需水量排污率0.8</w:t>
      </w:r>
      <w:r>
        <w:rPr>
          <w:rFonts w:hint="eastAsia" w:hAnsi="仿宋" w:cs="仿宋"/>
          <w:sz w:val="32"/>
          <w:szCs w:val="32"/>
          <w:highlight w:val="none"/>
          <w:lang w:val="en-US" w:eastAsia="zh-CN"/>
        </w:rPr>
        <w:t>、</w:t>
      </w:r>
      <w:r>
        <w:rPr>
          <w:rFonts w:hint="eastAsia" w:hAnsi="仿宋" w:cs="仿宋"/>
          <w:sz w:val="32"/>
          <w:szCs w:val="32"/>
          <w:highlight w:val="none"/>
          <w:lang w:val="en-US"/>
        </w:rPr>
        <w:t>城镇工业需水量排污率0.7</w:t>
      </w:r>
      <w:r>
        <w:rPr>
          <w:rFonts w:hint="eastAsia" w:hAnsi="仿宋" w:cs="仿宋"/>
          <w:sz w:val="32"/>
          <w:szCs w:val="32"/>
          <w:highlight w:val="none"/>
          <w:lang w:val="en-US" w:eastAsia="zh-CN"/>
        </w:rPr>
        <w:t>、</w:t>
      </w:r>
      <w:r>
        <w:rPr>
          <w:rFonts w:hint="eastAsia" w:hAnsi="仿宋" w:cs="仿宋"/>
          <w:sz w:val="32"/>
          <w:szCs w:val="32"/>
          <w:highlight w:val="none"/>
          <w:lang w:val="en-US"/>
        </w:rPr>
        <w:t>城</w:t>
      </w:r>
      <w:r>
        <w:rPr>
          <w:rFonts w:hint="eastAsia" w:hAnsi="仿宋" w:cs="仿宋"/>
          <w:sz w:val="32"/>
          <w:szCs w:val="32"/>
          <w:highlight w:val="none"/>
          <w:lang w:val="en-US" w:eastAsia="zh-CN"/>
        </w:rPr>
        <w:t>镇</w:t>
      </w:r>
      <w:r>
        <w:rPr>
          <w:rFonts w:hint="eastAsia" w:hAnsi="仿宋" w:cs="仿宋"/>
          <w:sz w:val="32"/>
          <w:szCs w:val="32"/>
          <w:highlight w:val="none"/>
          <w:lang w:val="en-US"/>
        </w:rPr>
        <w:t>污水处理率96%</w:t>
      </w:r>
      <w:r>
        <w:rPr>
          <w:rFonts w:hint="eastAsia" w:hAnsi="仿宋" w:cs="仿宋"/>
          <w:sz w:val="32"/>
          <w:szCs w:val="32"/>
          <w:highlight w:val="none"/>
          <w:lang w:val="en-US" w:eastAsia="zh-CN"/>
        </w:rPr>
        <w:t>为系数，预计</w:t>
      </w:r>
      <w:r>
        <w:rPr>
          <w:rFonts w:hint="eastAsia" w:hAnsi="仿宋" w:cs="仿宋"/>
          <w:sz w:val="32"/>
          <w:szCs w:val="32"/>
          <w:highlight w:val="none"/>
          <w:lang w:val="en-US"/>
        </w:rPr>
        <w:t>2025年处理污水量为51</w:t>
      </w:r>
      <w:r>
        <w:rPr>
          <w:rFonts w:hint="default" w:hAnsi="仿宋" w:cs="仿宋"/>
          <w:sz w:val="32"/>
          <w:szCs w:val="32"/>
          <w:highlight w:val="none"/>
          <w:lang w:val="en"/>
        </w:rPr>
        <w:t>30</w:t>
      </w:r>
      <w:r>
        <w:rPr>
          <w:rFonts w:hint="eastAsia" w:hAnsi="仿宋" w:cs="仿宋"/>
          <w:sz w:val="32"/>
          <w:szCs w:val="32"/>
          <w:highlight w:val="none"/>
          <w:lang w:val="en-US"/>
        </w:rPr>
        <w:t>万立方米。</w:t>
      </w:r>
      <w:r>
        <w:rPr>
          <w:rFonts w:hint="eastAsia" w:hAnsi="仿宋" w:cs="仿宋"/>
          <w:sz w:val="32"/>
          <w:szCs w:val="32"/>
          <w:highlight w:val="none"/>
          <w:lang w:val="en-US" w:eastAsia="zh-CN"/>
        </w:rPr>
        <w:t>以</w:t>
      </w:r>
      <w:r>
        <w:rPr>
          <w:rFonts w:hint="eastAsia" w:hAnsi="仿宋" w:cs="仿宋"/>
          <w:sz w:val="32"/>
          <w:szCs w:val="32"/>
          <w:highlight w:val="none"/>
          <w:lang w:val="en-US"/>
        </w:rPr>
        <w:t>地下水入渗系数1.1</w:t>
      </w:r>
      <w:r>
        <w:rPr>
          <w:rFonts w:hint="eastAsia" w:hAnsi="仿宋" w:cs="仿宋"/>
          <w:sz w:val="32"/>
          <w:szCs w:val="32"/>
          <w:highlight w:val="none"/>
          <w:lang w:val="en-US" w:eastAsia="zh-CN"/>
        </w:rPr>
        <w:t>、</w:t>
      </w:r>
      <w:r>
        <w:rPr>
          <w:rFonts w:hint="eastAsia" w:hAnsi="仿宋" w:cs="仿宋"/>
          <w:sz w:val="32"/>
          <w:szCs w:val="32"/>
          <w:highlight w:val="none"/>
          <w:lang w:val="en-US"/>
        </w:rPr>
        <w:t>污水处理折损率0.9</w:t>
      </w:r>
      <w:r>
        <w:rPr>
          <w:rFonts w:hint="eastAsia" w:hAnsi="仿宋" w:cs="仿宋"/>
          <w:sz w:val="32"/>
          <w:szCs w:val="32"/>
          <w:highlight w:val="none"/>
          <w:lang w:val="en-US" w:eastAsia="zh-CN"/>
        </w:rPr>
        <w:t>、</w:t>
      </w:r>
      <w:r>
        <w:rPr>
          <w:rFonts w:hint="eastAsia" w:hAnsi="仿宋" w:cs="仿宋"/>
          <w:sz w:val="32"/>
          <w:szCs w:val="32"/>
          <w:highlight w:val="none"/>
          <w:lang w:val="en-US"/>
        </w:rPr>
        <w:t>深处理高品质再生水回用率2</w:t>
      </w:r>
      <w:r>
        <w:rPr>
          <w:rFonts w:hint="default" w:hAnsi="仿宋" w:cs="仿宋"/>
          <w:sz w:val="32"/>
          <w:szCs w:val="32"/>
          <w:highlight w:val="none"/>
          <w:lang w:val="en"/>
        </w:rPr>
        <w:t>5</w:t>
      </w:r>
      <w:r>
        <w:rPr>
          <w:rFonts w:hint="eastAsia" w:hAnsi="仿宋" w:cs="仿宋"/>
          <w:sz w:val="32"/>
          <w:szCs w:val="32"/>
          <w:highlight w:val="none"/>
          <w:lang w:val="en-US"/>
        </w:rPr>
        <w:t>%</w:t>
      </w:r>
      <w:r>
        <w:rPr>
          <w:rFonts w:hint="eastAsia" w:hAnsi="仿宋" w:cs="仿宋"/>
          <w:sz w:val="32"/>
          <w:szCs w:val="32"/>
          <w:highlight w:val="none"/>
          <w:lang w:val="en-US" w:eastAsia="zh-CN"/>
        </w:rPr>
        <w:t>、</w:t>
      </w:r>
      <w:r>
        <w:rPr>
          <w:rFonts w:hint="eastAsia" w:hAnsi="仿宋" w:cs="仿宋"/>
          <w:sz w:val="32"/>
          <w:szCs w:val="32"/>
          <w:highlight w:val="none"/>
          <w:lang w:val="en-US"/>
        </w:rPr>
        <w:t>再生水处理折损率0.8计算，</w:t>
      </w:r>
      <w:r>
        <w:rPr>
          <w:rFonts w:hint="eastAsia" w:hAnsi="仿宋" w:cs="仿宋"/>
          <w:sz w:val="32"/>
          <w:szCs w:val="32"/>
          <w:highlight w:val="none"/>
          <w:lang w:val="en-US" w:eastAsia="zh-CN"/>
        </w:rPr>
        <w:t>预计</w:t>
      </w:r>
      <w:r>
        <w:rPr>
          <w:rFonts w:hint="eastAsia" w:hAnsi="仿宋" w:cs="仿宋"/>
          <w:sz w:val="32"/>
          <w:szCs w:val="32"/>
          <w:highlight w:val="none"/>
          <w:lang w:val="en-US"/>
        </w:rPr>
        <w:t>2025年再生水可利用量为4760万立方米。</w:t>
      </w:r>
    </w:p>
    <w:p w14:paraId="5CED039A">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int="eastAsia" w:hAnsi="仿宋" w:cs="仿宋"/>
          <w:sz w:val="32"/>
          <w:szCs w:val="32"/>
          <w:highlight w:val="none"/>
          <w:lang w:val="en-US"/>
        </w:rPr>
      </w:pPr>
      <w:r>
        <w:rPr>
          <w:rFonts w:hint="eastAsia" w:hAnsi="仿宋" w:cs="仿宋"/>
          <w:sz w:val="32"/>
          <w:szCs w:val="32"/>
          <w:highlight w:val="none"/>
          <w:lang w:val="en-US"/>
        </w:rPr>
        <w:t>可利用水总量</w:t>
      </w:r>
      <w:r>
        <w:rPr>
          <w:rFonts w:hint="eastAsia" w:hAnsi="仿宋" w:cs="仿宋"/>
          <w:sz w:val="32"/>
          <w:szCs w:val="32"/>
          <w:highlight w:val="none"/>
          <w:lang w:val="en-US" w:eastAsia="zh-CN"/>
        </w:rPr>
        <w:t>：</w:t>
      </w:r>
      <w:r>
        <w:rPr>
          <w:rFonts w:hint="eastAsia" w:hAnsi="仿宋" w:cs="仿宋"/>
          <w:sz w:val="32"/>
          <w:szCs w:val="32"/>
          <w:highlight w:val="none"/>
          <w:lang w:val="en-US"/>
        </w:rPr>
        <w:t>2025年正常年份可供水量13420万立方米，包括当地地表水及入境水1400万立方米，占总供水量的10.4%；外调水7260万立方米，占总供水量的54.1%；再生水4760万立方米，占总供水量的35.5%。</w:t>
      </w:r>
    </w:p>
    <w:p w14:paraId="1BC91D39">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（三）水资源配置</w:t>
      </w:r>
    </w:p>
    <w:p w14:paraId="11CDF410">
      <w:pPr>
        <w:pStyle w:val="3"/>
        <w:keepNext w:val="0"/>
        <w:keepLines w:val="0"/>
        <w:pageBreakBefore w:val="0"/>
        <w:kinsoku/>
        <w:overflowPunct/>
        <w:topLinePunct w:val="0"/>
        <w:bidi w:val="0"/>
        <w:spacing w:line="600" w:lineRule="exact"/>
        <w:ind w:firstLine="640" w:firstLineChars="200"/>
        <w:jc w:val="both"/>
        <w:textAlignment w:val="auto"/>
        <w:rPr>
          <w:rFonts w:hint="eastAsia" w:hAnsi="仿宋" w:cs="仿宋"/>
          <w:sz w:val="32"/>
          <w:szCs w:val="32"/>
          <w:highlight w:val="none"/>
          <w:lang w:val="en-US"/>
        </w:rPr>
      </w:pPr>
      <w:r>
        <w:rPr>
          <w:rFonts w:hint="eastAsia" w:hAnsi="仿宋" w:cs="仿宋"/>
          <w:sz w:val="32"/>
          <w:szCs w:val="32"/>
          <w:highlight w:val="none"/>
          <w:lang w:val="en-US"/>
        </w:rPr>
        <w:t>配置原则</w:t>
      </w:r>
      <w:r>
        <w:rPr>
          <w:rFonts w:hint="eastAsia" w:hAnsi="仿宋" w:cs="仿宋"/>
          <w:sz w:val="32"/>
          <w:szCs w:val="32"/>
          <w:highlight w:val="none"/>
          <w:lang w:val="en-US" w:eastAsia="zh-CN"/>
        </w:rPr>
        <w:t>：</w:t>
      </w:r>
      <w:r>
        <w:rPr>
          <w:rFonts w:hint="eastAsia" w:hAnsi="仿宋" w:cs="仿宋"/>
          <w:sz w:val="32"/>
          <w:szCs w:val="32"/>
          <w:highlight w:val="none"/>
          <w:lang w:val="en-US"/>
        </w:rPr>
        <w:t>本地水与外调水统一配置、合理调配，维持经济、社会、环境协调发展。在强化节水基础上，优先使用外调水，加大使用非常规水，合理利用地表水。优水优用，分质供水。外调水主要供城乡生活及工业用水；当地地表水和入境水主要用于农业和生态；高品质再生水可用于工业、市政杂用、道路浇洒、城市绿化等，低品质再生水主要用于高秆作物</w:t>
      </w:r>
      <w:bookmarkStart w:id="30" w:name="_GoBack"/>
      <w:bookmarkEnd w:id="30"/>
      <w:r>
        <w:rPr>
          <w:rFonts w:hint="eastAsia" w:hAnsi="仿宋" w:cs="仿宋"/>
          <w:sz w:val="32"/>
          <w:szCs w:val="32"/>
          <w:highlight w:val="none"/>
          <w:lang w:val="en-US"/>
        </w:rPr>
        <w:t>以及除中心城区外的河道生态用水。确保城乡生活和城市用水安全，提高农业和生态用水保障程度。</w:t>
      </w:r>
    </w:p>
    <w:p w14:paraId="0A256ECC">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int="eastAsia" w:hAnsi="仿宋" w:cs="仿宋"/>
          <w:sz w:val="32"/>
          <w:szCs w:val="32"/>
          <w:highlight w:val="none"/>
          <w:lang w:val="en-US"/>
        </w:rPr>
      </w:pPr>
      <w:r>
        <w:rPr>
          <w:rFonts w:hint="eastAsia" w:hAnsi="仿宋" w:cs="仿宋"/>
          <w:sz w:val="32"/>
          <w:szCs w:val="32"/>
          <w:highlight w:val="none"/>
          <w:lang w:val="en-US"/>
        </w:rPr>
        <w:t>供需平衡分析</w:t>
      </w:r>
      <w:r>
        <w:rPr>
          <w:rFonts w:hint="eastAsia" w:hAnsi="仿宋" w:cs="仿宋"/>
          <w:sz w:val="32"/>
          <w:szCs w:val="32"/>
          <w:highlight w:val="none"/>
          <w:lang w:val="en-US" w:eastAsia="zh-CN"/>
        </w:rPr>
        <w:t>：</w:t>
      </w:r>
      <w:r>
        <w:rPr>
          <w:rFonts w:hint="eastAsia" w:hAnsi="仿宋" w:cs="仿宋"/>
          <w:sz w:val="32"/>
          <w:szCs w:val="32"/>
          <w:highlight w:val="none"/>
          <w:lang w:val="en-US"/>
        </w:rPr>
        <w:t>2025年北辰区总需水14560万立方米，一般年份可供水13420万立方米，缺水1140万立方米。其中城乡生活及工业总需水7400万立方米，需要用优质水，辅以少量高品质再生水用于生活杂用和工业，可利用总量7895万立方米，能够满足要求。农业和生态环境总需水7160万立方米，可利用的水源包括少量外调水、地表水和再生水，可供水量6020万立方米，农业和生态环境缺水1140万立方米。</w:t>
      </w:r>
    </w:p>
    <w:p w14:paraId="2B8C77BD">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int="eastAsia" w:hAnsi="仿宋" w:cs="仿宋"/>
          <w:sz w:val="32"/>
          <w:szCs w:val="32"/>
          <w:highlight w:val="none"/>
          <w:lang w:val="en-US"/>
        </w:rPr>
      </w:pPr>
      <w:r>
        <w:rPr>
          <w:rFonts w:hint="eastAsia" w:hAnsi="仿宋" w:cs="仿宋"/>
          <w:sz w:val="32"/>
          <w:szCs w:val="32"/>
          <w:highlight w:val="none"/>
          <w:lang w:val="en-US"/>
        </w:rPr>
        <w:t>配置方案</w:t>
      </w:r>
      <w:r>
        <w:rPr>
          <w:rFonts w:hint="eastAsia" w:hAnsi="仿宋" w:cs="仿宋"/>
          <w:sz w:val="32"/>
          <w:szCs w:val="32"/>
          <w:highlight w:val="none"/>
          <w:lang w:val="en-US" w:eastAsia="zh-CN"/>
        </w:rPr>
        <w:t>：</w:t>
      </w:r>
      <w:r>
        <w:rPr>
          <w:rFonts w:hint="eastAsia" w:hAnsi="仿宋" w:cs="仿宋"/>
          <w:sz w:val="32"/>
          <w:szCs w:val="32"/>
          <w:highlight w:val="none"/>
          <w:lang w:val="en-US"/>
        </w:rPr>
        <w:t>至2025年，本区需水总量为14560万立方米，可供水总量13420万立方米。坚持以供定需的原则，配置水资源13420万立方米，包括当地地表水及入境水1400万立方米，占总供水量的10.4%；外调水7260万立方米，占总供水量的54.1%；再生水4760万立方米，占总供水量的35.5%。</w:t>
      </w:r>
    </w:p>
    <w:p w14:paraId="601B6F79">
      <w:pPr>
        <w:pStyle w:val="3"/>
        <w:keepNext w:val="0"/>
        <w:keepLines w:val="0"/>
        <w:pageBreakBefore w:val="0"/>
        <w:kinsoku/>
        <w:overflowPunct/>
        <w:topLinePunct w:val="0"/>
        <w:bidi w:val="0"/>
        <w:spacing w:line="600" w:lineRule="exact"/>
        <w:ind w:firstLine="640" w:firstLineChars="200"/>
        <w:jc w:val="both"/>
        <w:textAlignment w:val="auto"/>
        <w:rPr>
          <w:rFonts w:hint="eastAsia" w:hAnsi="仿宋" w:cs="仿宋"/>
          <w:sz w:val="32"/>
          <w:szCs w:val="32"/>
          <w:highlight w:val="none"/>
          <w:lang w:val="en-US"/>
        </w:rPr>
      </w:pPr>
      <w:r>
        <w:rPr>
          <w:rFonts w:hint="eastAsia" w:hAnsi="仿宋" w:cs="仿宋"/>
          <w:sz w:val="32"/>
          <w:szCs w:val="32"/>
          <w:highlight w:val="none"/>
          <w:lang w:val="en-US"/>
        </w:rPr>
        <w:t>为确保农业灌溉和河道正常生态用水，可采取以下措施：结合入河水质改善，优化调度，利用现有水利设施，充分调蓄雨涝水，扩大当地地表水和入境水利用量；加大调引海河和中心城区二级河道水体置换弃水力度，力争每年调引水量1500万立方米；在永定河综合治理和生态修复工程实施的基础上，争取本区河道生态用水指标。</w:t>
      </w:r>
    </w:p>
    <w:p w14:paraId="32089D3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二、供水工程体系</w:t>
      </w:r>
    </w:p>
    <w:p w14:paraId="0EE3F543">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现状供水体系是以引江水、引滦水和当地地表水为主，再生水为辅的多水源供水保障体系，形成“多源互济、城乡统筹”的供水格局。</w:t>
      </w:r>
    </w:p>
    <w:p w14:paraId="4C08E8E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三、配合市级部门实施供水工程</w:t>
      </w:r>
    </w:p>
    <w:p w14:paraId="7C516578">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（一）引滦引江新引河联络线工程</w:t>
      </w:r>
    </w:p>
    <w:p w14:paraId="40CAB132">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为实现引江中线北送能力和引滦生态水南送在输水线路上的相互独立，配合市级部门建设引滦引江新引河联络线工程，管（涵）长14公里，南接永青渠联络线，北接引滦暗渠，设计流量19立方米/秒（近期在不改造永青渠管线及泵站的条件下，可输水10.8立方米/秒），同时在引滦大张庄泵站东侧新建加压泵站。</w:t>
      </w:r>
    </w:p>
    <w:p w14:paraId="09FA9471">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（二）主城区主干管网工程</w:t>
      </w:r>
    </w:p>
    <w:p w14:paraId="3A61AC64">
      <w:pPr>
        <w:pStyle w:val="3"/>
        <w:keepNext w:val="0"/>
        <w:keepLines w:val="0"/>
        <w:pageBreakBefore w:val="0"/>
        <w:kinsoku/>
        <w:overflowPunct/>
        <w:topLinePunct w:val="0"/>
        <w:bidi w:val="0"/>
        <w:spacing w:line="600" w:lineRule="exact"/>
        <w:ind w:firstLine="640" w:firstLineChars="200"/>
        <w:jc w:val="both"/>
        <w:textAlignment w:val="auto"/>
        <w:rPr>
          <w:rFonts w:hint="eastAsia" w:hAnsi="仿宋" w:cs="仿宋"/>
          <w:sz w:val="32"/>
          <w:szCs w:val="32"/>
          <w:highlight w:val="none"/>
        </w:rPr>
      </w:pPr>
      <w:r>
        <w:rPr>
          <w:rFonts w:hint="eastAsia" w:hAnsi="仿宋" w:cs="仿宋"/>
          <w:sz w:val="32"/>
          <w:szCs w:val="32"/>
          <w:highlight w:val="none"/>
        </w:rPr>
        <w:t>配合市级部门建设外环线东北部调线、北辰光荣道管线等工程，逐步完善管网供水系统，保证区域供水安全。</w:t>
      </w:r>
    </w:p>
    <w:p w14:paraId="3D9F6B0A">
      <w:pPr>
        <w:keepNext w:val="0"/>
        <w:keepLines w:val="0"/>
        <w:pageBreakBefore w:val="0"/>
        <w:kinsoku/>
        <w:overflowPunct/>
        <w:topLinePunct w:val="0"/>
        <w:bidi w:val="0"/>
        <w:spacing w:line="600" w:lineRule="exact"/>
        <w:textAlignment w:val="auto"/>
        <w:rPr>
          <w:rFonts w:hint="eastAsia"/>
        </w:rPr>
        <w:sectPr>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docGrid w:linePitch="299" w:charSpace="0"/>
        </w:sectPr>
      </w:pPr>
    </w:p>
    <w:p w14:paraId="2EBE2258">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hint="eastAsia" w:ascii="Times New Roman" w:hAnsi="Times New Roman" w:eastAsia="黑体" w:cs="Times New Roman"/>
          <w:bCs/>
          <w:kern w:val="2"/>
          <w:sz w:val="32"/>
          <w:szCs w:val="32"/>
          <w:highlight w:val="none"/>
          <w:lang w:eastAsia="zh-CN" w:bidi="ar-SA"/>
        </w:rPr>
        <w:sectPr>
          <w:headerReference r:id="rId8" w:type="default"/>
          <w:footerReference r:id="rId9" w:type="default"/>
          <w:pgSz w:w="11910" w:h="16840"/>
          <w:pgMar w:top="1440" w:right="1797" w:bottom="1440" w:left="1797" w:header="0" w:footer="1644" w:gutter="0"/>
          <w:pgBorders>
            <w:top w:val="none" w:sz="0" w:space="0"/>
            <w:left w:val="none" w:sz="0" w:space="0"/>
            <w:bottom w:val="none" w:sz="0" w:space="0"/>
            <w:right w:val="none" w:sz="0" w:space="0"/>
          </w:pgBorders>
          <w:pgNumType w:fmt="numberInDash"/>
          <w:cols w:space="720" w:num="1"/>
          <w:docGrid w:linePitch="299" w:charSpace="0"/>
        </w:sectPr>
      </w:pPr>
      <w:r>
        <w:rPr>
          <w:sz w:val="32"/>
        </w:rPr>
        <mc:AlternateContent>
          <mc:Choice Requires="wps">
            <w:drawing>
              <wp:anchor distT="0" distB="0" distL="114300" distR="114300" simplePos="0" relativeHeight="251660288" behindDoc="0" locked="0" layoutInCell="1" allowOverlap="1">
                <wp:simplePos x="0" y="0"/>
                <wp:positionH relativeFrom="column">
                  <wp:posOffset>3918585</wp:posOffset>
                </wp:positionH>
                <wp:positionV relativeFrom="paragraph">
                  <wp:posOffset>4205605</wp:posOffset>
                </wp:positionV>
                <wp:extent cx="2667000" cy="454025"/>
                <wp:effectExtent l="1106805" t="0" r="0" b="0"/>
                <wp:wrapNone/>
                <wp:docPr id="14" name="文本框 14"/>
                <wp:cNvGraphicFramePr/>
                <a:graphic xmlns:a="http://schemas.openxmlformats.org/drawingml/2006/main">
                  <a:graphicData uri="http://schemas.microsoft.com/office/word/2010/wordprocessingShape">
                    <wps:wsp>
                      <wps:cNvSpPr txBox="1"/>
                      <wps:spPr>
                        <a:xfrm rot="16200000">
                          <a:off x="5206365" y="9161145"/>
                          <a:ext cx="2667000" cy="454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FE359">
                            <w:pPr>
                              <w:pStyle w:val="3"/>
                              <w:spacing w:line="600" w:lineRule="exact"/>
                              <w:jc w:val="center"/>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图4.1  北辰区供水工程规划位置图</w:t>
                            </w:r>
                          </w:p>
                          <w:p w14:paraId="7B12183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55pt;margin-top:331.15pt;height:35.75pt;width:210pt;rotation:-5898240f;z-index:251660288;mso-width-relative:page;mso-height-relative:page;" filled="f" stroked="f" coordsize="21600,21600" o:gfxdata="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HA2Pi2QAAAAwBAAAP&#10;AAAAAAAAAAEAIAAAACIAAABkcnMvZG93bnJldi54bWxQSwECFAAUAAAACACHTuJACbQoI1ACAACD&#10;BAAADgAAAAAAAAABACAAAAAoAQAAZHJzL2Uyb0RvYy54bWxQSwUGAAAAAAYABgBZAQAA6gUAAAAA&#10;">
                <v:fill on="f" focussize="0,0"/>
                <v:stroke on="f" weight="0.5pt"/>
                <v:imagedata o:title=""/>
                <o:lock v:ext="edit" aspectratio="f"/>
                <v:textbox>
                  <w:txbxContent>
                    <w:p w14:paraId="13CFE359">
                      <w:pPr>
                        <w:pStyle w:val="3"/>
                        <w:spacing w:line="600" w:lineRule="exact"/>
                        <w:jc w:val="center"/>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图4.1  北辰区供水工程规划位置图</w:t>
                      </w:r>
                    </w:p>
                    <w:p w14:paraId="7B12183F"/>
                  </w:txbxContent>
                </v:textbox>
              </v:shape>
            </w:pict>
          </mc:Fallback>
        </mc:AlternateContent>
      </w:r>
      <w:r>
        <w:rPr>
          <w:rFonts w:hint="eastAsia" w:hAnsi="仿宋" w:eastAsia="仿宋_GB2312" w:cs="仿宋"/>
          <w:sz w:val="32"/>
          <w:szCs w:val="32"/>
          <w:highlight w:val="none"/>
          <w:lang w:eastAsia="zh-CN"/>
        </w:rPr>
        <w:drawing>
          <wp:anchor distT="0" distB="0" distL="114300" distR="114300" simplePos="0" relativeHeight="251664384" behindDoc="0" locked="0" layoutInCell="1" allowOverlap="1">
            <wp:simplePos x="0" y="0"/>
            <wp:positionH relativeFrom="column">
              <wp:posOffset>-1472565</wp:posOffset>
            </wp:positionH>
            <wp:positionV relativeFrom="paragraph">
              <wp:posOffset>1833245</wp:posOffset>
            </wp:positionV>
            <wp:extent cx="8226425" cy="5198110"/>
            <wp:effectExtent l="0" t="0" r="2540" b="3175"/>
            <wp:wrapNone/>
            <wp:docPr id="2" name="图片 2" descr="北辰区供水工程规划位置图（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北辰区供水工程规划位置图（改）"/>
                    <pic:cNvPicPr>
                      <a:picLocks noChangeAspect="1"/>
                    </pic:cNvPicPr>
                  </pic:nvPicPr>
                  <pic:blipFill>
                    <a:blip r:embed="rId24"/>
                    <a:stretch>
                      <a:fillRect/>
                    </a:stretch>
                  </pic:blipFill>
                  <pic:spPr>
                    <a:xfrm rot="16200000">
                      <a:off x="0" y="0"/>
                      <a:ext cx="8226425" cy="5198110"/>
                    </a:xfrm>
                    <a:prstGeom prst="rect">
                      <a:avLst/>
                    </a:prstGeom>
                  </pic:spPr>
                </pic:pic>
              </a:graphicData>
            </a:graphic>
          </wp:anchor>
        </w:drawing>
      </w:r>
    </w:p>
    <w:p w14:paraId="42AF9B0B">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val="en-US" w:bidi="ar-SA"/>
        </w:rPr>
      </w:pPr>
      <w:r>
        <w:rPr>
          <w:rFonts w:hint="eastAsia" w:ascii="Times New Roman" w:hAnsi="Times New Roman" w:eastAsia="黑体" w:cs="Times New Roman"/>
          <w:bCs/>
          <w:kern w:val="2"/>
          <w:sz w:val="32"/>
          <w:szCs w:val="32"/>
          <w:highlight w:val="none"/>
          <w:lang w:eastAsia="zh-CN" w:bidi="ar-SA"/>
        </w:rPr>
        <w:t>第二节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提升水灾害防御能力</w:t>
      </w:r>
      <w:r>
        <w:rPr>
          <w:rFonts w:hint="eastAsia" w:ascii="Times New Roman" w:hAnsi="Times New Roman" w:eastAsia="黑体" w:cs="Times New Roman"/>
          <w:bCs/>
          <w:kern w:val="2"/>
          <w:sz w:val="32"/>
          <w:szCs w:val="32"/>
          <w:highlight w:val="none"/>
          <w:lang w:eastAsia="zh-CN" w:bidi="ar-SA"/>
        </w:rPr>
        <w:t>以</w:t>
      </w:r>
      <w:r>
        <w:rPr>
          <w:rFonts w:hint="eastAsia" w:ascii="Times New Roman" w:hAnsi="Times New Roman" w:eastAsia="黑体" w:cs="Times New Roman"/>
          <w:bCs/>
          <w:kern w:val="2"/>
          <w:sz w:val="32"/>
          <w:szCs w:val="32"/>
          <w:highlight w:val="none"/>
          <w:lang w:bidi="ar-SA"/>
        </w:rPr>
        <w:t>保障防汛安全</w:t>
      </w:r>
    </w:p>
    <w:p w14:paraId="76A3E084">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十四五”时期，以流域防洪体系为依托，以排涝能力建设为主线，按照“蓄排统筹、旱涝同治”的原则，结合海绵城市建设，做好排水民生设施改造，整体推进全区城镇排水体系建设，补齐排水短板，提高城市与重要功能区排水标准，与城市建设同步打造“防得固、蓄得住、排得出、用得上”</w:t>
      </w:r>
      <w:r>
        <w:rPr>
          <w:rFonts w:hint="eastAsia" w:hAnsi="仿宋" w:cs="仿宋"/>
          <w:sz w:val="32"/>
          <w:szCs w:val="32"/>
          <w:highlight w:val="none"/>
          <w:lang w:eastAsia="zh-CN"/>
        </w:rPr>
        <w:t>的</w:t>
      </w:r>
      <w:r>
        <w:rPr>
          <w:rFonts w:hint="eastAsia" w:hAnsi="仿宋" w:cs="仿宋"/>
          <w:sz w:val="32"/>
          <w:szCs w:val="32"/>
          <w:highlight w:val="none"/>
        </w:rPr>
        <w:t>水灾害防御体系。规划加快雨水系统设施提标改造</w:t>
      </w:r>
      <w:r>
        <w:rPr>
          <w:rFonts w:hint="eastAsia" w:hAnsi="仿宋" w:cs="仿宋"/>
          <w:color w:val="auto"/>
          <w:sz w:val="32"/>
          <w:szCs w:val="32"/>
          <w:highlight w:val="none"/>
        </w:rPr>
        <w:t>，加强二级河道治理及建筑物维修改造，推动农村扬水站更新改造，</w:t>
      </w:r>
      <w:r>
        <w:rPr>
          <w:rFonts w:hint="eastAsia" w:hAnsi="仿宋" w:cs="仿宋"/>
          <w:sz w:val="32"/>
          <w:szCs w:val="32"/>
          <w:highlight w:val="none"/>
        </w:rPr>
        <w:t>到2025年，规划大部分城区内涝防治标准达到50年一遇。结合城市基础设施建设，</w:t>
      </w:r>
      <w:r>
        <w:rPr>
          <w:rFonts w:hint="eastAsia" w:hAnsi="仿宋" w:cs="仿宋"/>
          <w:sz w:val="32"/>
          <w:szCs w:val="32"/>
          <w:highlight w:val="none"/>
          <w:lang w:eastAsia="zh-CN"/>
        </w:rPr>
        <w:t>提高</w:t>
      </w:r>
      <w:r>
        <w:rPr>
          <w:rFonts w:hint="eastAsia" w:hAnsi="仿宋" w:cs="仿宋"/>
          <w:sz w:val="32"/>
          <w:szCs w:val="32"/>
          <w:highlight w:val="none"/>
        </w:rPr>
        <w:t>城市新建及改造区域排水标准。</w:t>
      </w:r>
    </w:p>
    <w:p w14:paraId="08D747E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一、配合市级部门实施防洪、排水工程</w:t>
      </w:r>
    </w:p>
    <w:p w14:paraId="3A8D0FEC">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（一）病险水闸除险加固工程</w:t>
      </w:r>
    </w:p>
    <w:p w14:paraId="5C0587F5">
      <w:pPr>
        <w:pStyle w:val="3"/>
        <w:keepNext w:val="0"/>
        <w:keepLines w:val="0"/>
        <w:pageBreakBefore w:val="0"/>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int="eastAsia" w:hAnsi="仿宋" w:cs="仿宋"/>
          <w:bCs/>
          <w:kern w:val="2"/>
          <w:sz w:val="32"/>
          <w:szCs w:val="32"/>
          <w:highlight w:val="none"/>
          <w:lang w:val="en-US" w:bidi="ar-SA"/>
        </w:rPr>
        <w:t>北京排水河防潮闸对北京排水河的水资源调控、防洪调度、保障防洪安全具有极其重要的作用，水闸修建于上世纪70年代，经多年运行，存在诸多问题，需对其进行重建加固。配合市级部门对北京排水河防潮闸进行除险加固，进一步消除安全隐患。</w:t>
      </w:r>
    </w:p>
    <w:p w14:paraId="6F02C75C">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（二）易积水片改造工程</w:t>
      </w:r>
    </w:p>
    <w:p w14:paraId="4486EBB1">
      <w:pPr>
        <w:pStyle w:val="3"/>
        <w:keepNext w:val="0"/>
        <w:keepLines w:val="0"/>
        <w:pageBreakBefore w:val="0"/>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int="eastAsia" w:hAnsi="仿宋" w:cs="仿宋"/>
          <w:bCs/>
          <w:kern w:val="2"/>
          <w:sz w:val="32"/>
          <w:szCs w:val="32"/>
          <w:highlight w:val="none"/>
          <w:lang w:val="en-US" w:bidi="ar-SA"/>
        </w:rPr>
        <w:t>配合市级部门对普济河东道易积水片进行改造，建设汾河南道雨水泵站及配套管网，解决群众家门口的排水难题，改善居民出行条件。</w:t>
      </w:r>
    </w:p>
    <w:p w14:paraId="1AB4305B">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（三）河口闸站建设</w:t>
      </w:r>
    </w:p>
    <w:p w14:paraId="4B429470">
      <w:pPr>
        <w:pStyle w:val="3"/>
        <w:keepNext w:val="0"/>
        <w:keepLines w:val="0"/>
        <w:pageBreakBefore w:val="0"/>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int="eastAsia" w:hAnsi="仿宋" w:cs="仿宋"/>
          <w:bCs/>
          <w:kern w:val="2"/>
          <w:sz w:val="32"/>
          <w:szCs w:val="32"/>
          <w:highlight w:val="none"/>
          <w:lang w:val="en-US" w:bidi="ar-SA"/>
        </w:rPr>
        <w:t>配合市级部门扩建外环河堵口堤泵站、新开河左岸泵站，新增排水能力</w:t>
      </w:r>
      <w:r>
        <w:rPr>
          <w:rFonts w:hAnsi="仿宋" w:cs="仿宋"/>
          <w:bCs/>
          <w:kern w:val="2"/>
          <w:sz w:val="32"/>
          <w:szCs w:val="32"/>
          <w:highlight w:val="none"/>
          <w:lang w:val="en-US" w:bidi="ar-SA"/>
        </w:rPr>
        <w:t>22</w:t>
      </w:r>
      <w:r>
        <w:rPr>
          <w:rFonts w:hint="eastAsia" w:hAnsi="仿宋" w:cs="仿宋"/>
          <w:bCs/>
          <w:kern w:val="2"/>
          <w:sz w:val="32"/>
          <w:szCs w:val="32"/>
          <w:highlight w:val="none"/>
          <w:lang w:val="en-US" w:bidi="ar-SA"/>
        </w:rPr>
        <w:t>立方米/秒，进一步增加外环河新开河—新引河段外排能力。</w:t>
      </w:r>
    </w:p>
    <w:p w14:paraId="1FBC139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二、雨水泵站扩容工程</w:t>
      </w:r>
    </w:p>
    <w:p w14:paraId="2046C862">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为适应双街、科技园区环东拓展区城市化快速发展形势，解决汛期遇强降雨积水严重问题，规划新建景丽路雨水泵站、双街3</w:t>
      </w:r>
      <w:r>
        <w:rPr>
          <w:rFonts w:hint="eastAsia" w:hAnsi="仿宋" w:cs="仿宋"/>
          <w:sz w:val="32"/>
          <w:szCs w:val="32"/>
          <w:highlight w:val="none"/>
          <w:vertAlign w:val="superscript"/>
        </w:rPr>
        <w:t>#</w:t>
      </w:r>
      <w:r>
        <w:rPr>
          <w:rFonts w:hint="eastAsia" w:hAnsi="仿宋" w:cs="仿宋"/>
          <w:sz w:val="32"/>
          <w:szCs w:val="32"/>
          <w:highlight w:val="none"/>
        </w:rPr>
        <w:t>雨水泵站、双街停车场雨水泵站、辰永路雨水泵站、宜白路（宜兴埠）雨水泵站、</w:t>
      </w:r>
      <w:r>
        <w:rPr>
          <w:rFonts w:hint="eastAsia" w:hAnsi="仿宋" w:cs="仿宋"/>
          <w:color w:val="auto"/>
          <w:sz w:val="32"/>
          <w:szCs w:val="32"/>
          <w:highlight w:val="none"/>
        </w:rPr>
        <w:t>青光1</w:t>
      </w:r>
      <w:r>
        <w:rPr>
          <w:rFonts w:hint="eastAsia" w:hAnsi="仿宋" w:cs="仿宋"/>
          <w:color w:val="auto"/>
          <w:sz w:val="32"/>
          <w:szCs w:val="32"/>
          <w:highlight w:val="none"/>
          <w:vertAlign w:val="superscript"/>
        </w:rPr>
        <w:t>#</w:t>
      </w:r>
      <w:r>
        <w:rPr>
          <w:rFonts w:hint="eastAsia" w:hAnsi="仿宋" w:cs="仿宋"/>
          <w:color w:val="auto"/>
          <w:sz w:val="32"/>
          <w:szCs w:val="32"/>
          <w:highlight w:val="none"/>
        </w:rPr>
        <w:t>雨水泵站共</w:t>
      </w:r>
      <w:r>
        <w:rPr>
          <w:rFonts w:hint="eastAsia" w:hAnsi="仿宋" w:cs="仿宋"/>
          <w:color w:val="auto"/>
          <w:sz w:val="32"/>
          <w:szCs w:val="32"/>
          <w:highlight w:val="none"/>
          <w:lang w:val="en-US"/>
        </w:rPr>
        <w:t>6</w:t>
      </w:r>
      <w:r>
        <w:rPr>
          <w:rFonts w:hint="eastAsia" w:hAnsi="仿宋" w:cs="仿宋"/>
          <w:color w:val="auto"/>
          <w:sz w:val="32"/>
          <w:szCs w:val="32"/>
          <w:highlight w:val="none"/>
        </w:rPr>
        <w:t>座，增加排水能力</w:t>
      </w:r>
      <w:r>
        <w:rPr>
          <w:rFonts w:hAnsi="仿宋" w:cs="仿宋"/>
          <w:color w:val="auto"/>
          <w:sz w:val="32"/>
          <w:szCs w:val="32"/>
          <w:highlight w:val="none"/>
        </w:rPr>
        <w:t>127.9</w:t>
      </w:r>
      <w:r>
        <w:rPr>
          <w:rFonts w:hint="eastAsia" w:hAnsi="仿宋" w:cs="仿宋"/>
          <w:color w:val="auto"/>
          <w:sz w:val="32"/>
          <w:szCs w:val="32"/>
          <w:highlight w:val="none"/>
        </w:rPr>
        <w:t>立方米/秒。</w:t>
      </w:r>
    </w:p>
    <w:p w14:paraId="432D87E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三、农村扬水站更新改造工程</w:t>
      </w:r>
    </w:p>
    <w:p w14:paraId="7D9479B8">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韩盛庄泵站建于1974年，经过40多年的运用，建筑物破损严重，已经超过了使用年限，重建韩盛庄泵站可满足安全运行要求，</w:t>
      </w:r>
      <w:r>
        <w:rPr>
          <w:rFonts w:hint="eastAsia" w:hAnsi="仿宋" w:cs="仿宋"/>
          <w:sz w:val="32"/>
          <w:szCs w:val="32"/>
          <w:highlight w:val="none"/>
          <w:lang w:val="en-US"/>
        </w:rPr>
        <w:t>建成后汛期可排除郎园引河涝水，同时韩盛庄泵站具有自流和提水灌溉功能，满足农田灌溉要求，灌溉面积约</w:t>
      </w:r>
      <w:r>
        <w:rPr>
          <w:rFonts w:hint="default" w:hAnsi="仿宋" w:cs="仿宋"/>
          <w:sz w:val="32"/>
          <w:szCs w:val="32"/>
          <w:highlight w:val="none"/>
          <w:lang w:val="en"/>
        </w:rPr>
        <w:t>1</w:t>
      </w:r>
      <w:r>
        <w:rPr>
          <w:rFonts w:hint="eastAsia" w:hAnsi="仿宋" w:cs="仿宋"/>
          <w:sz w:val="32"/>
          <w:szCs w:val="32"/>
          <w:highlight w:val="none"/>
          <w:lang w:val="en" w:eastAsia="zh-CN"/>
        </w:rPr>
        <w:t>万亩</w:t>
      </w:r>
      <w:r>
        <w:rPr>
          <w:rFonts w:hint="eastAsia" w:hAnsi="仿宋" w:cs="仿宋"/>
          <w:sz w:val="32"/>
          <w:szCs w:val="32"/>
          <w:highlight w:val="none"/>
          <w:lang w:val="en-US"/>
        </w:rPr>
        <w:t>。</w:t>
      </w:r>
      <w:r>
        <w:rPr>
          <w:rFonts w:hint="eastAsia" w:hAnsi="仿宋" w:cs="仿宋"/>
          <w:sz w:val="32"/>
          <w:szCs w:val="32"/>
          <w:highlight w:val="none"/>
        </w:rPr>
        <w:t>继续实施韩盛庄泵站扩建工程，由现状流量6.3立方米/秒提高至20立方米/秒，有效提高农田排涝能力，保障农业生产安全。</w:t>
      </w:r>
    </w:p>
    <w:p w14:paraId="1592BDD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四、二级河道治理工程</w:t>
      </w:r>
    </w:p>
    <w:p w14:paraId="06228DE9">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机场排水河左堤（九园公路至芦新河泵站段）堤顶高程普遍达不到设计排涝标准，为确保汛期排水安全，规划对左堤（九园公路至芦新河泵站段）进行复堤，长4.97公里。</w:t>
      </w:r>
    </w:p>
    <w:p w14:paraId="062347C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五、二级河道建筑物维修改造工程</w:t>
      </w:r>
    </w:p>
    <w:p w14:paraId="59F82F7D">
      <w:pPr>
        <w:pStyle w:val="3"/>
        <w:keepNext w:val="0"/>
        <w:keepLines w:val="0"/>
        <w:pageBreakBefore w:val="0"/>
        <w:kinsoku/>
        <w:overflowPunct/>
        <w:topLinePunct w:val="0"/>
        <w:bidi w:val="0"/>
        <w:spacing w:line="600" w:lineRule="exact"/>
        <w:ind w:firstLine="640" w:firstLineChars="200"/>
        <w:jc w:val="both"/>
        <w:textAlignment w:val="auto"/>
        <w:rPr>
          <w:rFonts w:hint="eastAsia" w:hAnsi="仿宋" w:cs="仿宋"/>
          <w:sz w:val="32"/>
          <w:szCs w:val="32"/>
          <w:highlight w:val="none"/>
        </w:rPr>
      </w:pPr>
      <w:r>
        <w:rPr>
          <w:rFonts w:hint="eastAsia" w:hAnsi="仿宋" w:cs="仿宋"/>
          <w:sz w:val="32"/>
          <w:szCs w:val="32"/>
          <w:highlight w:val="none"/>
        </w:rPr>
        <w:t>为保持二级河道桥闸涵等建筑物处于良好状态，确保二级河道安全度汛，规划拆除重建中泓故道窑地桥，大修刘安庄桥、辛侯庄桥、牛场桥3座桥梁，同时对二级河道节制闸、权属桥梁组织安全鉴定，并对病险建筑物进行维修改造。对郎园引河管涵进行探查并维修。</w:t>
      </w:r>
    </w:p>
    <w:p w14:paraId="39920B8E">
      <w:pPr>
        <w:pStyle w:val="6"/>
        <w:keepNext w:val="0"/>
        <w:keepLines w:val="0"/>
        <w:pageBreakBefore w:val="0"/>
        <w:kinsoku/>
        <w:overflowPunct/>
        <w:topLinePunct w:val="0"/>
        <w:bidi w:val="0"/>
        <w:spacing w:line="600" w:lineRule="exact"/>
        <w:textAlignment w:val="auto"/>
        <w:rPr>
          <w:rFonts w:hint="eastAsia" w:hAnsi="仿宋" w:cs="仿宋"/>
          <w:sz w:val="32"/>
          <w:szCs w:val="32"/>
          <w:highlight w:val="none"/>
        </w:rPr>
        <w:sectPr>
          <w:headerReference r:id="rId10" w:type="default"/>
          <w:footerReference r:id="rId11"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docGrid w:linePitch="299" w:charSpace="0"/>
        </w:sectPr>
      </w:pPr>
    </w:p>
    <w:p w14:paraId="2C84220D">
      <w:pPr>
        <w:keepNext w:val="0"/>
        <w:keepLines w:val="0"/>
        <w:pageBreakBefore w:val="0"/>
        <w:kinsoku/>
        <w:overflowPunct/>
        <w:topLinePunct w:val="0"/>
        <w:bidi w:val="0"/>
        <w:spacing w:line="600" w:lineRule="exact"/>
        <w:jc w:val="center"/>
        <w:textAlignment w:val="auto"/>
        <w:rPr>
          <w:rFonts w:hint="eastAsia" w:asciiTheme="minorEastAsia" w:hAnsiTheme="minorEastAsia" w:eastAsiaTheme="minorEastAsia" w:cstheme="minorEastAsia"/>
          <w:b/>
          <w:bCs/>
          <w:sz w:val="21"/>
          <w:szCs w:val="21"/>
          <w:highlight w:val="none"/>
          <w:lang w:val="en-US" w:eastAsia="zh-CN"/>
        </w:rPr>
        <w:sectPr>
          <w:headerReference r:id="rId12" w:type="default"/>
          <w:footerReference r:id="rId13" w:type="default"/>
          <w:pgSz w:w="11910" w:h="16840"/>
          <w:pgMar w:top="1440" w:right="1797" w:bottom="1440" w:left="1797" w:header="0" w:footer="1644" w:gutter="0"/>
          <w:pgBorders>
            <w:top w:val="none" w:sz="0" w:space="0"/>
            <w:left w:val="none" w:sz="0" w:space="0"/>
            <w:bottom w:val="none" w:sz="0" w:space="0"/>
            <w:right w:val="none" w:sz="0" w:space="0"/>
          </w:pgBorders>
          <w:pgNumType w:fmt="numberInDash"/>
          <w:cols w:space="720" w:num="1"/>
          <w:docGrid w:linePitch="299" w:charSpace="0"/>
        </w:sectPr>
      </w:pPr>
      <w:r>
        <w:rPr>
          <w:sz w:val="32"/>
        </w:rPr>
        <mc:AlternateContent>
          <mc:Choice Requires="wps">
            <w:drawing>
              <wp:anchor distT="0" distB="0" distL="114300" distR="114300" simplePos="0" relativeHeight="251661312" behindDoc="0" locked="0" layoutInCell="1" allowOverlap="1">
                <wp:simplePos x="0" y="0"/>
                <wp:positionH relativeFrom="column">
                  <wp:posOffset>4044950</wp:posOffset>
                </wp:positionH>
                <wp:positionV relativeFrom="paragraph">
                  <wp:posOffset>4269105</wp:posOffset>
                </wp:positionV>
                <wp:extent cx="2714625" cy="327025"/>
                <wp:effectExtent l="1193800" t="0" r="0" b="0"/>
                <wp:wrapNone/>
                <wp:docPr id="20" name="文本框 20"/>
                <wp:cNvGraphicFramePr/>
                <a:graphic xmlns:a="http://schemas.openxmlformats.org/drawingml/2006/main">
                  <a:graphicData uri="http://schemas.microsoft.com/office/word/2010/wordprocessingShape">
                    <wps:wsp>
                      <wps:cNvSpPr txBox="1"/>
                      <wps:spPr>
                        <a:xfrm rot="16200000">
                          <a:off x="2250440" y="9328785"/>
                          <a:ext cx="2714625" cy="327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6D081">
                            <w:pPr>
                              <w:rPr>
                                <w:color w:val="auto"/>
                              </w:rPr>
                            </w:pPr>
                            <w:r>
                              <w:rPr>
                                <w:rFonts w:hint="eastAsia" w:asciiTheme="minorEastAsia" w:hAnsiTheme="minorEastAsia" w:eastAsiaTheme="minorEastAsia" w:cstheme="minorEastAsia"/>
                                <w:b/>
                                <w:bCs/>
                                <w:color w:val="auto"/>
                                <w:sz w:val="21"/>
                                <w:szCs w:val="21"/>
                                <w:highlight w:val="none"/>
                                <w:lang w:val="en-US" w:eastAsia="zh-CN"/>
                              </w:rPr>
                              <w:t>图4.2  北辰区防洪、排水工程规划位置图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5pt;margin-top:336.15pt;height:25.75pt;width:213.75pt;rotation:-5898240f;z-index:251661312;mso-width-relative:page;mso-height-relative:page;" filled="f" stroked="f" coordsize="21600,21600" o:gfxdata="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LF5ENsAAAAMAQAA&#10;DwAAAAAAAAABACAAAAAiAAAAZHJzL2Rvd25yZXYueG1sUEsBAhQAFAAAAAgAh07iQEhIlIZPAgAA&#10;gwQAAA4AAAAAAAAAAQAgAAAAKgEAAGRycy9lMm9Eb2MueG1sUEsFBgAAAAAGAAYAWQEAAOsFAAAA&#10;AA==&#10;">
                <v:fill on="f" focussize="0,0"/>
                <v:stroke on="f" weight="0.5pt"/>
                <v:imagedata o:title=""/>
                <o:lock v:ext="edit" aspectratio="f"/>
                <v:textbox>
                  <w:txbxContent>
                    <w:p w14:paraId="12F6D081">
                      <w:pPr>
                        <w:rPr>
                          <w:color w:val="auto"/>
                        </w:rPr>
                      </w:pPr>
                      <w:r>
                        <w:rPr>
                          <w:rFonts w:hint="eastAsia" w:asciiTheme="minorEastAsia" w:hAnsiTheme="minorEastAsia" w:eastAsiaTheme="minorEastAsia" w:cstheme="minorEastAsia"/>
                          <w:b/>
                          <w:bCs/>
                          <w:color w:val="auto"/>
                          <w:sz w:val="21"/>
                          <w:szCs w:val="21"/>
                          <w:highlight w:val="none"/>
                          <w:lang w:val="en-US" w:eastAsia="zh-CN"/>
                        </w:rPr>
                        <w:t>图4.2  北辰区防洪、排水工程规划位置图</w:t>
                      </w:r>
                    </w:p>
                  </w:txbxContent>
                </v:textbox>
              </v:shape>
            </w:pict>
          </mc:Fallback>
        </mc:AlternateContent>
      </w:r>
      <w:r>
        <w:rPr>
          <w:rFonts w:hint="eastAsia" w:hAnsi="仿宋" w:eastAsia="仿宋_GB2312" w:cs="仿宋"/>
          <w:sz w:val="32"/>
          <w:szCs w:val="32"/>
          <w:highlight w:val="none"/>
          <w:lang w:eastAsia="zh-CN"/>
        </w:rPr>
        <w:drawing>
          <wp:anchor distT="0" distB="0" distL="114300" distR="114300" simplePos="0" relativeHeight="251665408" behindDoc="0" locked="0" layoutInCell="1" allowOverlap="1">
            <wp:simplePos x="0" y="0"/>
            <wp:positionH relativeFrom="column">
              <wp:posOffset>-1359535</wp:posOffset>
            </wp:positionH>
            <wp:positionV relativeFrom="paragraph">
              <wp:posOffset>1789430</wp:posOffset>
            </wp:positionV>
            <wp:extent cx="8000365" cy="5285740"/>
            <wp:effectExtent l="0" t="0" r="10160" b="635"/>
            <wp:wrapNone/>
            <wp:docPr id="28" name="图片 28" descr="北辰区防洪、排水工程规划位置图（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北辰区防洪、排水工程规划位置图（改）"/>
                    <pic:cNvPicPr>
                      <a:picLocks noChangeAspect="1"/>
                    </pic:cNvPicPr>
                  </pic:nvPicPr>
                  <pic:blipFill>
                    <a:blip r:embed="rId25"/>
                    <a:stretch>
                      <a:fillRect/>
                    </a:stretch>
                  </pic:blipFill>
                  <pic:spPr>
                    <a:xfrm rot="16200000">
                      <a:off x="0" y="0"/>
                      <a:ext cx="8000365" cy="5285740"/>
                    </a:xfrm>
                    <a:prstGeom prst="rect">
                      <a:avLst/>
                    </a:prstGeom>
                  </pic:spPr>
                </pic:pic>
              </a:graphicData>
            </a:graphic>
          </wp:anchor>
        </w:drawing>
      </w:r>
    </w:p>
    <w:p w14:paraId="7078D19B">
      <w:pPr>
        <w:keepNext w:val="0"/>
        <w:keepLines w:val="0"/>
        <w:pageBreakBefore w:val="0"/>
        <w:kinsoku/>
        <w:overflowPunct/>
        <w:topLinePunct w:val="0"/>
        <w:autoSpaceDE/>
        <w:autoSpaceDN/>
        <w:bidi w:val="0"/>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val="en-US" w:bidi="ar-SA"/>
        </w:rPr>
      </w:pPr>
      <w:r>
        <w:rPr>
          <w:rFonts w:hint="eastAsia" w:ascii="Times New Roman" w:hAnsi="Times New Roman" w:eastAsia="黑体" w:cs="Times New Roman"/>
          <w:bCs/>
          <w:kern w:val="2"/>
          <w:sz w:val="32"/>
          <w:szCs w:val="32"/>
          <w:highlight w:val="none"/>
          <w:lang w:eastAsia="zh-CN" w:bidi="ar-SA"/>
        </w:rPr>
        <w:t>第三节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加快河湖污染防治与生态修复</w:t>
      </w:r>
      <w:r>
        <w:rPr>
          <w:rFonts w:hint="eastAsia" w:ascii="Times New Roman" w:hAnsi="Times New Roman" w:eastAsia="黑体" w:cs="Times New Roman"/>
          <w:bCs/>
          <w:kern w:val="2"/>
          <w:sz w:val="32"/>
          <w:szCs w:val="32"/>
          <w:highlight w:val="none"/>
          <w:lang w:eastAsia="zh-CN" w:bidi="ar-SA"/>
        </w:rPr>
        <w:t>以</w:t>
      </w:r>
      <w:r>
        <w:rPr>
          <w:rFonts w:hint="eastAsia" w:ascii="Times New Roman" w:hAnsi="Times New Roman" w:eastAsia="黑体" w:cs="Times New Roman"/>
          <w:bCs/>
          <w:kern w:val="2"/>
          <w:sz w:val="32"/>
          <w:szCs w:val="32"/>
          <w:highlight w:val="none"/>
          <w:lang w:bidi="ar-SA"/>
        </w:rPr>
        <w:t>保障水生态安全</w:t>
      </w:r>
    </w:p>
    <w:p w14:paraId="68CF1CD5">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“十四五”时期，继续完善污水厂网设施，强化污染源综合治理，“控源、截污、减排、净化”多措并举，结合海绵城市建设，对有条件地区采取初期雨水处理措施，积极防控水环境风险，稳步提升水环境；</w:t>
      </w:r>
      <w:r>
        <w:rPr>
          <w:rFonts w:hAnsi="仿宋" w:cs="仿宋"/>
          <w:sz w:val="32"/>
          <w:szCs w:val="32"/>
          <w:highlight w:val="none"/>
        </w:rPr>
        <w:t>推进重点河湖综合治理与修复</w:t>
      </w:r>
      <w:r>
        <w:rPr>
          <w:rFonts w:hint="eastAsia" w:hAnsi="仿宋" w:cs="仿宋"/>
          <w:sz w:val="32"/>
          <w:szCs w:val="32"/>
          <w:highlight w:val="none"/>
        </w:rPr>
        <w:t>，</w:t>
      </w:r>
      <w:r>
        <w:rPr>
          <w:rFonts w:hAnsi="仿宋" w:cs="仿宋"/>
          <w:sz w:val="32"/>
          <w:szCs w:val="32"/>
          <w:highlight w:val="none"/>
        </w:rPr>
        <w:t>加强河湖水系连通循环和河流生态保护修复，完善生态廊道</w:t>
      </w:r>
      <w:r>
        <w:rPr>
          <w:rFonts w:hint="eastAsia" w:hAnsi="仿宋" w:cs="仿宋"/>
          <w:sz w:val="32"/>
          <w:szCs w:val="32"/>
          <w:highlight w:val="none"/>
        </w:rPr>
        <w:t>；建设生态补水净化工程，增加河道生态水量，维护河湖健康。</w:t>
      </w:r>
    </w:p>
    <w:p w14:paraId="577D7B8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一、配合市级部门及相关单位实施工程</w:t>
      </w:r>
    </w:p>
    <w:p w14:paraId="7D7E7199">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雨污调蓄池工程</w:t>
      </w:r>
    </w:p>
    <w:p w14:paraId="3297686C">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为</w:t>
      </w:r>
      <w:r>
        <w:rPr>
          <w:rFonts w:hAnsi="仿宋" w:cs="仿宋"/>
          <w:sz w:val="32"/>
          <w:szCs w:val="32"/>
          <w:highlight w:val="none"/>
        </w:rPr>
        <w:t>合理调控雨水径流，缓解初期雨水污染问题，提高雨洪水资源利用能力</w:t>
      </w:r>
      <w:r>
        <w:rPr>
          <w:rFonts w:hint="eastAsia" w:hAnsi="仿宋" w:cs="仿宋"/>
          <w:sz w:val="32"/>
          <w:szCs w:val="32"/>
          <w:highlight w:val="none"/>
        </w:rPr>
        <w:t>，配合市级部门</w:t>
      </w:r>
      <w:r>
        <w:rPr>
          <w:rFonts w:hAnsi="仿宋" w:cs="仿宋"/>
          <w:sz w:val="32"/>
          <w:szCs w:val="32"/>
          <w:highlight w:val="none"/>
        </w:rPr>
        <w:t>新建</w:t>
      </w:r>
      <w:r>
        <w:rPr>
          <w:rFonts w:hint="eastAsia" w:hAnsi="仿宋" w:cs="仿宋"/>
          <w:sz w:val="32"/>
          <w:szCs w:val="32"/>
          <w:highlight w:val="none"/>
        </w:rPr>
        <w:t>闫街</w:t>
      </w:r>
      <w:r>
        <w:rPr>
          <w:rFonts w:hAnsi="仿宋" w:cs="仿宋"/>
          <w:sz w:val="32"/>
          <w:szCs w:val="32"/>
          <w:highlight w:val="none"/>
        </w:rPr>
        <w:t>、</w:t>
      </w:r>
      <w:r>
        <w:rPr>
          <w:rFonts w:hint="eastAsia" w:hAnsi="仿宋" w:cs="仿宋"/>
          <w:sz w:val="32"/>
          <w:szCs w:val="32"/>
          <w:highlight w:val="none"/>
        </w:rPr>
        <w:t>四十七中、北运河北</w:t>
      </w:r>
      <w:r>
        <w:rPr>
          <w:rFonts w:hint="eastAsia" w:hAnsi="仿宋" w:cs="仿宋"/>
          <w:sz w:val="32"/>
          <w:szCs w:val="32"/>
          <w:highlight w:val="none"/>
          <w:lang w:val="en-US"/>
        </w:rPr>
        <w:t>3</w:t>
      </w:r>
      <w:r>
        <w:rPr>
          <w:rFonts w:hAnsi="仿宋" w:cs="仿宋"/>
          <w:sz w:val="32"/>
          <w:szCs w:val="32"/>
          <w:highlight w:val="none"/>
        </w:rPr>
        <w:t>座初期雨水调蓄池，新增调蓄能力15.4万立方米</w:t>
      </w:r>
      <w:r>
        <w:rPr>
          <w:rFonts w:hint="eastAsia" w:hAnsi="仿宋" w:cs="仿宋"/>
          <w:sz w:val="32"/>
          <w:szCs w:val="32"/>
          <w:highlight w:val="none"/>
        </w:rPr>
        <w:t>。雨水经调蓄池调蓄后进入污水处理厂。</w:t>
      </w:r>
    </w:p>
    <w:p w14:paraId="15555B2A">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（二）北运河综合治理工程</w:t>
      </w:r>
    </w:p>
    <w:p w14:paraId="28AED5F2">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以大运河文化保护传承利用上升为国家战略为契机，配合市级部门实施北运河武清与北辰区界～永北汇流口段综合治理工程，长2</w:t>
      </w:r>
      <w:r>
        <w:rPr>
          <w:rFonts w:hAnsi="仿宋" w:cs="仿宋"/>
          <w:sz w:val="32"/>
          <w:szCs w:val="32"/>
          <w:highlight w:val="none"/>
        </w:rPr>
        <w:t>.8</w:t>
      </w:r>
      <w:r>
        <w:rPr>
          <w:rFonts w:hint="eastAsia" w:hAnsi="仿宋" w:cs="仿宋"/>
          <w:sz w:val="32"/>
          <w:szCs w:val="32"/>
          <w:highlight w:val="none"/>
        </w:rPr>
        <w:t>公里，</w:t>
      </w:r>
      <w:r>
        <w:rPr>
          <w:rFonts w:hAnsi="仿宋" w:cs="仿宋"/>
          <w:sz w:val="32"/>
          <w:szCs w:val="32"/>
          <w:highlight w:val="none"/>
        </w:rPr>
        <w:t>主要建设内容为河道清淤、</w:t>
      </w:r>
      <w:r>
        <w:rPr>
          <w:rFonts w:hint="eastAsia" w:hAnsi="仿宋" w:cs="仿宋"/>
          <w:sz w:val="32"/>
          <w:szCs w:val="32"/>
          <w:highlight w:val="none"/>
        </w:rPr>
        <w:t>堤坡整治</w:t>
      </w:r>
      <w:r>
        <w:rPr>
          <w:rFonts w:hAnsi="仿宋" w:cs="仿宋"/>
          <w:sz w:val="32"/>
          <w:szCs w:val="32"/>
          <w:highlight w:val="none"/>
        </w:rPr>
        <w:t>及</w:t>
      </w:r>
      <w:r>
        <w:rPr>
          <w:rFonts w:hint="eastAsia" w:hAnsi="仿宋" w:cs="仿宋"/>
          <w:sz w:val="32"/>
          <w:szCs w:val="32"/>
          <w:highlight w:val="none"/>
        </w:rPr>
        <w:t>村庄段</w:t>
      </w:r>
      <w:r>
        <w:rPr>
          <w:rFonts w:hAnsi="仿宋" w:cs="仿宋"/>
          <w:sz w:val="32"/>
          <w:szCs w:val="32"/>
          <w:highlight w:val="none"/>
        </w:rPr>
        <w:t>河道绿化等，提升河道排涝能力，保障大运河文化带水安全。</w:t>
      </w:r>
    </w:p>
    <w:p w14:paraId="367E7A2E">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lang w:eastAsia="zh-CN"/>
        </w:rPr>
        <w:t>）永定河综合治理与生态修复工程</w:t>
      </w:r>
    </w:p>
    <w:p w14:paraId="4BA5F79D">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为改善区域水生态环境，将永定河恢复为“流动的河、绿色的河、清洁的河、安全的河”，继续配合永定河流域</w:t>
      </w:r>
      <w:r>
        <w:rPr>
          <w:rFonts w:hint="eastAsia" w:hAnsi="仿宋" w:cs="仿宋"/>
          <w:sz w:val="32"/>
          <w:szCs w:val="32"/>
          <w:highlight w:val="none"/>
          <w:lang w:eastAsia="zh-CN"/>
        </w:rPr>
        <w:t>投资有限</w:t>
      </w:r>
      <w:r>
        <w:rPr>
          <w:rFonts w:hint="eastAsia" w:hAnsi="仿宋" w:cs="仿宋"/>
          <w:sz w:val="32"/>
          <w:szCs w:val="32"/>
          <w:highlight w:val="none"/>
        </w:rPr>
        <w:t>公司实施永定河综合治理与生态修复工程，主要包括</w:t>
      </w:r>
      <w:r>
        <w:rPr>
          <w:rFonts w:hint="eastAsia" w:hAnsi="仿宋" w:cs="仿宋"/>
          <w:sz w:val="32"/>
          <w:szCs w:val="32"/>
          <w:highlight w:val="none"/>
          <w:lang w:eastAsia="zh-CN"/>
        </w:rPr>
        <w:t>河道清淤扩挖</w:t>
      </w:r>
      <w:r>
        <w:rPr>
          <w:rFonts w:hAnsi="仿宋" w:cs="仿宋"/>
          <w:sz w:val="32"/>
          <w:szCs w:val="32"/>
          <w:highlight w:val="none"/>
        </w:rPr>
        <w:t>3.</w:t>
      </w:r>
      <w:r>
        <w:rPr>
          <w:rFonts w:hint="eastAsia" w:hAnsi="仿宋" w:cs="仿宋"/>
          <w:sz w:val="32"/>
          <w:szCs w:val="32"/>
          <w:highlight w:val="none"/>
          <w:lang w:val="en-US" w:eastAsia="zh-CN"/>
        </w:rPr>
        <w:t>6</w:t>
      </w:r>
      <w:r>
        <w:rPr>
          <w:rFonts w:hAnsi="仿宋" w:cs="仿宋"/>
          <w:sz w:val="32"/>
          <w:szCs w:val="32"/>
          <w:highlight w:val="none"/>
        </w:rPr>
        <w:t>4公里；建设巡视道路9.55公里；改</w:t>
      </w:r>
      <w:r>
        <w:rPr>
          <w:rFonts w:hint="eastAsia" w:hAnsi="仿宋" w:cs="仿宋"/>
          <w:sz w:val="32"/>
          <w:szCs w:val="32"/>
          <w:highlight w:val="none"/>
        </w:rPr>
        <w:t>造节制闸</w:t>
      </w:r>
      <w:r>
        <w:rPr>
          <w:rFonts w:hAnsi="仿宋" w:cs="仿宋"/>
          <w:sz w:val="32"/>
          <w:szCs w:val="32"/>
          <w:highlight w:val="none"/>
        </w:rPr>
        <w:t>3座</w:t>
      </w:r>
      <w:r>
        <w:rPr>
          <w:rFonts w:hint="eastAsia" w:hAnsi="仿宋" w:cs="仿宋"/>
          <w:sz w:val="32"/>
          <w:szCs w:val="32"/>
          <w:highlight w:val="none"/>
        </w:rPr>
        <w:t>，拆建交通桥1座</w:t>
      </w:r>
      <w:r>
        <w:rPr>
          <w:rFonts w:hAnsi="仿宋" w:cs="仿宋"/>
          <w:sz w:val="32"/>
          <w:szCs w:val="32"/>
          <w:highlight w:val="none"/>
        </w:rPr>
        <w:t>；堤岸及滩地绿化64.8万平方米</w:t>
      </w:r>
      <w:r>
        <w:rPr>
          <w:rFonts w:hint="eastAsia" w:hAnsi="仿宋" w:cs="仿宋"/>
          <w:sz w:val="32"/>
          <w:szCs w:val="32"/>
          <w:highlight w:val="none"/>
        </w:rPr>
        <w:t>；新建屈家店水质净化工程（湿地面积</w:t>
      </w:r>
      <w:r>
        <w:rPr>
          <w:rFonts w:hAnsi="仿宋" w:cs="仿宋"/>
          <w:sz w:val="32"/>
          <w:szCs w:val="32"/>
          <w:highlight w:val="none"/>
        </w:rPr>
        <w:t>13.66</w:t>
      </w:r>
      <w:r>
        <w:rPr>
          <w:rFonts w:hint="eastAsia" w:hAnsi="仿宋" w:cs="仿宋"/>
          <w:sz w:val="32"/>
          <w:szCs w:val="32"/>
          <w:highlight w:val="none"/>
        </w:rPr>
        <w:t>万平方米）等五部分。</w:t>
      </w:r>
    </w:p>
    <w:p w14:paraId="2109942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二、水污染防治工程</w:t>
      </w:r>
    </w:p>
    <w:p w14:paraId="48E73455">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北辰区新区污水处理厂工程</w:t>
      </w:r>
    </w:p>
    <w:p w14:paraId="21C7F90D">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为适应北部新区城市化快速发展的要求，全面提升水环境质量，规划建设北辰区新区污水处理厂，规模为12万</w:t>
      </w:r>
      <w:r>
        <w:rPr>
          <w:rFonts w:hAnsi="仿宋" w:cs="仿宋"/>
          <w:sz w:val="32"/>
          <w:szCs w:val="32"/>
          <w:highlight w:val="none"/>
        </w:rPr>
        <w:t>立方米</w:t>
      </w:r>
      <w:r>
        <w:rPr>
          <w:rFonts w:hint="eastAsia" w:hAnsi="仿宋" w:cs="仿宋"/>
          <w:sz w:val="32"/>
          <w:szCs w:val="32"/>
          <w:highlight w:val="none"/>
        </w:rPr>
        <w:t>/日（远期规模达到2</w:t>
      </w:r>
      <w:r>
        <w:rPr>
          <w:rFonts w:hAnsi="仿宋" w:cs="仿宋"/>
          <w:sz w:val="32"/>
          <w:szCs w:val="32"/>
          <w:highlight w:val="none"/>
        </w:rPr>
        <w:t>4</w:t>
      </w:r>
      <w:r>
        <w:rPr>
          <w:rFonts w:hint="eastAsia" w:hAnsi="仿宋" w:cs="仿宋"/>
          <w:sz w:val="32"/>
          <w:szCs w:val="32"/>
          <w:highlight w:val="none"/>
        </w:rPr>
        <w:t>万</w:t>
      </w:r>
      <w:r>
        <w:rPr>
          <w:rFonts w:hAnsi="仿宋" w:cs="仿宋"/>
          <w:sz w:val="32"/>
          <w:szCs w:val="32"/>
          <w:highlight w:val="none"/>
        </w:rPr>
        <w:t>立方米</w:t>
      </w:r>
      <w:r>
        <w:rPr>
          <w:rFonts w:hint="eastAsia" w:hAnsi="仿宋" w:cs="仿宋"/>
          <w:sz w:val="32"/>
          <w:szCs w:val="32"/>
          <w:highlight w:val="none"/>
        </w:rPr>
        <w:t>/日）。收水范围西至京津塘高速公路，南至新开河，北至永定新河，东至北辰区界，</w:t>
      </w:r>
      <w:r>
        <w:rPr>
          <w:rFonts w:hint="eastAsia" w:hAnsi="仿宋" w:cs="仿宋"/>
          <w:sz w:val="32"/>
          <w:szCs w:val="32"/>
          <w:highlight w:val="none"/>
          <w:lang w:val="en-US"/>
        </w:rPr>
        <w:t>收集处理西堤头片区、科技园片区和北部新区的污水</w:t>
      </w:r>
      <w:r>
        <w:rPr>
          <w:rFonts w:hint="eastAsia" w:hAnsi="仿宋" w:cs="仿宋"/>
          <w:sz w:val="32"/>
          <w:szCs w:val="32"/>
          <w:highlight w:val="none"/>
        </w:rPr>
        <w:t>。出水水质达到天津市《城镇污水处理厂污染物排放标准》（DB12/599-2015）的A标准，污水处理后排入北丰产河和金钟河。</w:t>
      </w:r>
    </w:p>
    <w:p w14:paraId="1AAD0984">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（二）北辰区新区污水处理厂配套管网切改工程</w:t>
      </w:r>
    </w:p>
    <w:p w14:paraId="67C7D000">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lang w:val="en-US"/>
        </w:rPr>
        <w:t>为尽快解决西堤头片区现状聚康路污水处理站不满足实际使用需求</w:t>
      </w:r>
      <w:r>
        <w:rPr>
          <w:rFonts w:hint="eastAsia" w:hAnsi="仿宋" w:cs="仿宋"/>
          <w:sz w:val="32"/>
          <w:szCs w:val="32"/>
          <w:highlight w:val="none"/>
          <w:lang w:val="en-US" w:eastAsia="zh-CN"/>
        </w:rPr>
        <w:t>的</w:t>
      </w:r>
      <w:r>
        <w:rPr>
          <w:rFonts w:hint="eastAsia" w:hAnsi="仿宋" w:cs="仿宋"/>
          <w:sz w:val="32"/>
          <w:szCs w:val="32"/>
          <w:highlight w:val="none"/>
          <w:lang w:val="en-US"/>
        </w:rPr>
        <w:t>问题</w:t>
      </w:r>
      <w:r>
        <w:rPr>
          <w:rFonts w:hint="eastAsia" w:hAnsi="仿宋" w:cs="仿宋"/>
          <w:sz w:val="32"/>
          <w:szCs w:val="32"/>
          <w:highlight w:val="none"/>
          <w:lang w:val="en-US" w:eastAsia="zh-CN"/>
        </w:rPr>
        <w:t>，</w:t>
      </w:r>
      <w:r>
        <w:rPr>
          <w:rFonts w:hint="eastAsia" w:hAnsi="仿宋" w:cs="仿宋"/>
          <w:sz w:val="32"/>
          <w:szCs w:val="32"/>
          <w:highlight w:val="none"/>
          <w:lang w:val="en-US"/>
        </w:rPr>
        <w:t>进一步完善北辰区新区污水处理厂污水收集功能，</w:t>
      </w:r>
      <w:r>
        <w:rPr>
          <w:rFonts w:hint="eastAsia" w:hAnsi="仿宋" w:cs="仿宋"/>
          <w:sz w:val="32"/>
          <w:szCs w:val="32"/>
          <w:highlight w:val="none"/>
        </w:rPr>
        <w:t>规划实施北辰区新区污水处理厂配套管网切改工程，主要包括科技园区凯发污水处理厂进水管切改、西堤头镇污水处理厂进水管切改、刘快庄村污水主管切改、陆路港污水主管切改4部分。</w:t>
      </w:r>
    </w:p>
    <w:p w14:paraId="14DC9CCC">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（三）污水泵站新改扩建工程</w:t>
      </w:r>
    </w:p>
    <w:p w14:paraId="5BC08F24">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为提升片区污水外排能力，规划实施小淀镇污水泵站改扩建工程，排水流量0.17立方米/秒增加至0.90立方米/秒，新建宜兴埠污水泵站、北仓污水泵站、双青2</w:t>
      </w:r>
      <w:r>
        <w:rPr>
          <w:rFonts w:hAnsi="仿宋" w:cs="仿宋"/>
          <w:sz w:val="32"/>
          <w:szCs w:val="32"/>
          <w:highlight w:val="none"/>
          <w:vertAlign w:val="superscript"/>
        </w:rPr>
        <w:t>#</w:t>
      </w:r>
      <w:r>
        <w:rPr>
          <w:rFonts w:hint="eastAsia" w:hAnsi="仿宋" w:cs="仿宋"/>
          <w:sz w:val="32"/>
          <w:szCs w:val="32"/>
          <w:highlight w:val="none"/>
        </w:rPr>
        <w:t>污水泵站，总排水流量1</w:t>
      </w:r>
      <w:r>
        <w:rPr>
          <w:rFonts w:hAnsi="仿宋" w:cs="仿宋"/>
          <w:sz w:val="32"/>
          <w:szCs w:val="32"/>
          <w:highlight w:val="none"/>
        </w:rPr>
        <w:t>.43</w:t>
      </w:r>
      <w:r>
        <w:rPr>
          <w:rFonts w:hint="eastAsia" w:hAnsi="仿宋" w:cs="仿宋"/>
          <w:sz w:val="32"/>
          <w:szCs w:val="32"/>
          <w:highlight w:val="none"/>
        </w:rPr>
        <w:t>立方米/秒。</w:t>
      </w:r>
    </w:p>
    <w:p w14:paraId="5CC9CE8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三、水系连通与生态保护修复工程</w:t>
      </w:r>
    </w:p>
    <w:p w14:paraId="550F984D">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（一）西部地区水环境综合治理工程</w:t>
      </w:r>
    </w:p>
    <w:p w14:paraId="4E5C193A">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为有效解决本区西部地区超采治理后农业水源短缺问题，规划继续实施西部地区水环境综合治理工程，对卫河、中泓故道、杨河排干、东支渠、线河南排干、河头排干6条河渠清淤10.33公里，新建4座灌溉泵站。通过发挥新建泵站的调度功能，满足现阶段双口镇域内3个片区约4万亩高标准农田灌溉用水需求，通过清淤治理，提升相关河渠过水流量，改善水环境质量。</w:t>
      </w:r>
    </w:p>
    <w:p w14:paraId="67DDD92D">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（二）郎园引河穿机场排水河倒虹吸工程</w:t>
      </w:r>
    </w:p>
    <w:p w14:paraId="220C1504">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lang w:val="en-US"/>
        </w:rPr>
        <w:t>为保证郎园引河和机场排水河的排涝要求及郎园引河的补水需求，</w:t>
      </w:r>
      <w:r>
        <w:rPr>
          <w:rFonts w:hint="eastAsia" w:hAnsi="仿宋" w:cs="仿宋"/>
          <w:sz w:val="32"/>
          <w:szCs w:val="32"/>
          <w:highlight w:val="none"/>
          <w:lang w:val="en-US" w:eastAsia="zh-CN"/>
        </w:rPr>
        <w:t>规划</w:t>
      </w:r>
      <w:r>
        <w:rPr>
          <w:rFonts w:hint="eastAsia" w:hAnsi="仿宋" w:cs="仿宋"/>
          <w:sz w:val="32"/>
          <w:szCs w:val="32"/>
          <w:highlight w:val="none"/>
          <w:lang w:val="en-US"/>
        </w:rPr>
        <w:t>对郎园引河</w:t>
      </w:r>
      <w:r>
        <w:rPr>
          <w:rFonts w:hint="eastAsia" w:hAnsi="仿宋" w:cs="仿宋"/>
          <w:sz w:val="32"/>
          <w:szCs w:val="32"/>
          <w:highlight w:val="none"/>
          <w:lang w:val="en-US" w:eastAsia="zh-CN"/>
        </w:rPr>
        <w:t>穿</w:t>
      </w:r>
      <w:r>
        <w:rPr>
          <w:rFonts w:hint="eastAsia" w:hAnsi="仿宋" w:cs="仿宋"/>
          <w:sz w:val="32"/>
          <w:szCs w:val="32"/>
          <w:highlight w:val="none"/>
          <w:lang w:val="en-US"/>
        </w:rPr>
        <w:t>机场排水河倒虹吸进行拆除重建</w:t>
      </w:r>
      <w:r>
        <w:rPr>
          <w:rFonts w:hint="eastAsia" w:hAnsi="仿宋" w:cs="仿宋"/>
          <w:sz w:val="32"/>
          <w:szCs w:val="32"/>
          <w:highlight w:val="none"/>
        </w:rPr>
        <w:t>，设计流量20立方米/秒。</w:t>
      </w:r>
    </w:p>
    <w:p w14:paraId="2273DE84">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（三）引滦入津暗渠生态保护工程</w:t>
      </w:r>
    </w:p>
    <w:p w14:paraId="4763CCB3">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为保证引滦入津暗渠安全运行，严守生态红线，实施引滦入津暗渠生态保护工程，对引滦入津暗渠宜兴埠水源厂至津渝公路段6.1公里红线区采取绿化等相应保护措施。</w:t>
      </w:r>
    </w:p>
    <w:p w14:paraId="1D3FBA28">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（四）河湖绿化工程</w:t>
      </w:r>
    </w:p>
    <w:p w14:paraId="380914DB">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为建设绿色生态廊道，巩固河湖“清四乱”工作成果，实施河湖绿化工程，对一级河道、二级河道管理范围内的清理整治区进行植树绿化养护。</w:t>
      </w:r>
    </w:p>
    <w:p w14:paraId="4F2F03AA">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（五）外环河（北运河至子牙河段）水环境提升工程</w:t>
      </w:r>
    </w:p>
    <w:p w14:paraId="3B8E9F61">
      <w:pPr>
        <w:pStyle w:val="3"/>
        <w:keepNext w:val="0"/>
        <w:keepLines w:val="0"/>
        <w:pageBreakBefore w:val="0"/>
        <w:kinsoku/>
        <w:overflowPunct/>
        <w:topLinePunct w:val="0"/>
        <w:bidi w:val="0"/>
        <w:spacing w:line="600" w:lineRule="exact"/>
        <w:ind w:firstLine="640" w:firstLineChars="200"/>
        <w:jc w:val="both"/>
        <w:textAlignment w:val="auto"/>
        <w:rPr>
          <w:rFonts w:hint="eastAsia"/>
          <w:sz w:val="32"/>
          <w:szCs w:val="32"/>
          <w:highlight w:val="none"/>
          <w:lang w:val="en-US"/>
        </w:rPr>
      </w:pPr>
      <w:r>
        <w:rPr>
          <w:rFonts w:hint="eastAsia"/>
          <w:sz w:val="32"/>
          <w:szCs w:val="32"/>
          <w:highlight w:val="none"/>
          <w:lang w:val="en-US"/>
        </w:rPr>
        <w:t>由于外环河（北运河至子牙河段）无退水路径，导致段内水体水质不达标。规划新建提升泵站1座，建立外环河经凤河至永青渠的退水路径，提升外环河的水体水质。</w:t>
      </w:r>
    </w:p>
    <w:p w14:paraId="2EF6B40F">
      <w:pPr>
        <w:keepNext w:val="0"/>
        <w:keepLines w:val="0"/>
        <w:pageBreakBefore w:val="0"/>
        <w:kinsoku/>
        <w:overflowPunct/>
        <w:topLinePunct w:val="0"/>
        <w:bidi w:val="0"/>
        <w:spacing w:line="600" w:lineRule="exact"/>
        <w:textAlignment w:val="auto"/>
        <w:rPr>
          <w:rFonts w:hint="eastAsia"/>
          <w:sz w:val="32"/>
          <w:szCs w:val="32"/>
          <w:highlight w:val="none"/>
          <w:lang w:val="en-US"/>
        </w:rPr>
        <w:sectPr>
          <w:headerReference r:id="rId14" w:type="default"/>
          <w:footerReference r:id="rId15"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docGrid w:linePitch="299" w:charSpace="0"/>
        </w:sectPr>
      </w:pPr>
      <w:r>
        <w:rPr>
          <w:rFonts w:hint="eastAsia"/>
          <w:sz w:val="32"/>
          <w:szCs w:val="32"/>
          <w:highlight w:val="none"/>
          <w:lang w:val="en-US"/>
        </w:rPr>
        <w:br w:type="page"/>
      </w:r>
    </w:p>
    <w:p w14:paraId="6D109AC8">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hint="eastAsia" w:ascii="Times New Roman" w:hAnsi="Times New Roman" w:eastAsia="黑体" w:cs="Times New Roman"/>
          <w:bCs/>
          <w:kern w:val="2"/>
          <w:sz w:val="32"/>
          <w:szCs w:val="32"/>
          <w:highlight w:val="none"/>
          <w:lang w:eastAsia="zh-CN" w:bidi="ar-SA"/>
        </w:rPr>
        <w:sectPr>
          <w:headerReference r:id="rId16" w:type="default"/>
          <w:footerReference r:id="rId17" w:type="default"/>
          <w:pgSz w:w="11910" w:h="16840"/>
          <w:pgMar w:top="1440" w:right="1797" w:bottom="1440" w:left="1797" w:header="0" w:footer="1304" w:gutter="0"/>
          <w:pgBorders>
            <w:top w:val="none" w:sz="0" w:space="0"/>
            <w:left w:val="none" w:sz="0" w:space="0"/>
            <w:bottom w:val="none" w:sz="0" w:space="0"/>
            <w:right w:val="none" w:sz="0" w:space="0"/>
          </w:pgBorders>
          <w:pgNumType w:fmt="numberInDash"/>
          <w:cols w:space="720" w:num="1"/>
          <w:docGrid w:linePitch="299" w:charSpace="0"/>
        </w:sectPr>
      </w:pPr>
      <w:bookmarkStart w:id="10" w:name="_Toc66804161"/>
      <w:r>
        <w:rPr>
          <w:sz w:val="32"/>
        </w:rPr>
        <mc:AlternateContent>
          <mc:Choice Requires="wps">
            <w:drawing>
              <wp:anchor distT="0" distB="0" distL="114300" distR="114300" simplePos="0" relativeHeight="251662336" behindDoc="0" locked="0" layoutInCell="1" allowOverlap="1">
                <wp:simplePos x="0" y="0"/>
                <wp:positionH relativeFrom="column">
                  <wp:posOffset>3519805</wp:posOffset>
                </wp:positionH>
                <wp:positionV relativeFrom="paragraph">
                  <wp:posOffset>3740150</wp:posOffset>
                </wp:positionV>
                <wp:extent cx="4298315" cy="1384935"/>
                <wp:effectExtent l="1456690" t="0" r="0" b="0"/>
                <wp:wrapNone/>
                <wp:docPr id="22" name="文本框 22"/>
                <wp:cNvGraphicFramePr/>
                <a:graphic xmlns:a="http://schemas.openxmlformats.org/drawingml/2006/main">
                  <a:graphicData uri="http://schemas.microsoft.com/office/word/2010/wordprocessingShape">
                    <wps:wsp>
                      <wps:cNvSpPr txBox="1"/>
                      <wps:spPr>
                        <a:xfrm rot="5400000" flipV="1">
                          <a:off x="2291080" y="9302115"/>
                          <a:ext cx="4298315" cy="1384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8CE20">
                            <w:pPr>
                              <w:pStyle w:val="3"/>
                              <w:spacing w:line="600" w:lineRule="exact"/>
                              <w:jc w:val="both"/>
                            </w:pPr>
                            <w:r>
                              <w:rPr>
                                <w:rFonts w:hint="eastAsia" w:asciiTheme="minorEastAsia" w:hAnsiTheme="minorEastAsia" w:eastAsiaTheme="minorEastAsia" w:cstheme="minorEastAsia"/>
                                <w:b/>
                                <w:bCs/>
                                <w:sz w:val="21"/>
                                <w:szCs w:val="21"/>
                                <w:highlight w:val="none"/>
                                <w:lang w:val="en-US" w:eastAsia="zh-CN"/>
                              </w:rPr>
                              <w:t xml:space="preserve"> 图4.3  北辰区污水处理厂、污水泵站、初期雨水调蓄池规划位置图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y;margin-left:277.15pt;margin-top:294.5pt;height:109.05pt;width:338.45pt;rotation:-5898240f;z-index:251662336;mso-width-relative:page;mso-height-relative:page;" filled="f" stroked="f" coordsize="21600,21600" o:gfxdata="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PSeJ7Z&#10;AAAADAEAAA8AAAAAAAAAAQAgAAAAIgAAAGRycy9kb3ducmV2LnhtbFBLAQIUABQAAAAIAIdO4kCd&#10;ssZLWAIAAI0EAAAOAAAAAAAAAAEAIAAAACgBAABkcnMvZTJvRG9jLnhtbFBLBQYAAAAABgAGAFkB&#10;AADyBQAAAAA=&#10;">
                <v:fill on="f" focussize="0,0"/>
                <v:stroke on="f" weight="0.5pt"/>
                <v:imagedata o:title=""/>
                <o:lock v:ext="edit" aspectratio="f"/>
                <v:textbox>
                  <w:txbxContent>
                    <w:p w14:paraId="5CE8CE20">
                      <w:pPr>
                        <w:pStyle w:val="3"/>
                        <w:spacing w:line="600" w:lineRule="exact"/>
                        <w:jc w:val="both"/>
                      </w:pPr>
                      <w:r>
                        <w:rPr>
                          <w:rFonts w:hint="eastAsia" w:asciiTheme="minorEastAsia" w:hAnsiTheme="minorEastAsia" w:eastAsiaTheme="minorEastAsia" w:cstheme="minorEastAsia"/>
                          <w:b/>
                          <w:bCs/>
                          <w:sz w:val="21"/>
                          <w:szCs w:val="21"/>
                          <w:highlight w:val="none"/>
                          <w:lang w:val="en-US" w:eastAsia="zh-CN"/>
                        </w:rPr>
                        <w:t xml:space="preserve"> 图4.3  北辰区污水处理厂、污水泵站、初期雨水调蓄池规划位置图</w:t>
                      </w:r>
                    </w:p>
                  </w:txbxContent>
                </v:textbox>
              </v:shape>
            </w:pict>
          </mc:Fallback>
        </mc:AlternateContent>
      </w:r>
      <w:r>
        <w:rPr>
          <w:rFonts w:hint="eastAsia" w:eastAsia="仿宋_GB2312"/>
          <w:sz w:val="32"/>
          <w:szCs w:val="32"/>
          <w:highlight w:val="none"/>
          <w:lang w:val="en-US" w:eastAsia="zh-CN"/>
        </w:rPr>
        <w:drawing>
          <wp:anchor distT="0" distB="0" distL="114300" distR="114300" simplePos="0" relativeHeight="251666432" behindDoc="1" locked="0" layoutInCell="1" allowOverlap="1">
            <wp:simplePos x="0" y="0"/>
            <wp:positionH relativeFrom="column">
              <wp:posOffset>-988060</wp:posOffset>
            </wp:positionH>
            <wp:positionV relativeFrom="paragraph">
              <wp:posOffset>1906270</wp:posOffset>
            </wp:positionV>
            <wp:extent cx="7256145" cy="5052060"/>
            <wp:effectExtent l="0" t="0" r="15240" b="1905"/>
            <wp:wrapTight wrapText="bothSides">
              <wp:wrapPolygon>
                <wp:start x="21600" y="3"/>
                <wp:lineTo x="51" y="3"/>
                <wp:lineTo x="51" y="21505"/>
                <wp:lineTo x="21600" y="21505"/>
                <wp:lineTo x="21600" y="3"/>
              </wp:wrapPolygon>
            </wp:wrapTight>
            <wp:docPr id="35" name="图片 35" descr="北辰区污水处理厂、污水泵站、初期雨水调蓄池规划位置图（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北辰区污水处理厂、污水泵站、初期雨水调蓄池规划位置图（改）"/>
                    <pic:cNvPicPr>
                      <a:picLocks noChangeAspect="1"/>
                    </pic:cNvPicPr>
                  </pic:nvPicPr>
                  <pic:blipFill>
                    <a:blip r:embed="rId26"/>
                    <a:stretch>
                      <a:fillRect/>
                    </a:stretch>
                  </pic:blipFill>
                  <pic:spPr>
                    <a:xfrm rot="16200000">
                      <a:off x="0" y="0"/>
                      <a:ext cx="7256145" cy="5052060"/>
                    </a:xfrm>
                    <a:prstGeom prst="rect">
                      <a:avLst/>
                    </a:prstGeom>
                  </pic:spPr>
                </pic:pic>
              </a:graphicData>
            </a:graphic>
          </wp:anchor>
        </w:drawing>
      </w:r>
    </w:p>
    <w:p w14:paraId="1739AB2F">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hint="eastAsia" w:ascii="Times New Roman" w:hAnsi="Times New Roman" w:eastAsia="黑体" w:cs="Times New Roman"/>
          <w:bCs/>
          <w:kern w:val="2"/>
          <w:sz w:val="32"/>
          <w:szCs w:val="32"/>
          <w:highlight w:val="none"/>
          <w:lang w:eastAsia="zh-CN" w:bidi="ar-SA"/>
        </w:rPr>
        <w:sectPr>
          <w:headerReference r:id="rId18" w:type="default"/>
          <w:footerReference r:id="rId19" w:type="default"/>
          <w:pgSz w:w="11910" w:h="16840"/>
          <w:pgMar w:top="1440" w:right="1797" w:bottom="1440" w:left="1797" w:header="0" w:footer="1247" w:gutter="0"/>
          <w:pgBorders>
            <w:top w:val="none" w:sz="0" w:space="0"/>
            <w:left w:val="none" w:sz="0" w:space="0"/>
            <w:bottom w:val="none" w:sz="0" w:space="0"/>
            <w:right w:val="none" w:sz="0" w:space="0"/>
          </w:pgBorders>
          <w:pgNumType w:fmt="numberInDash"/>
          <w:cols w:space="720" w:num="1"/>
          <w:docGrid w:linePitch="299" w:charSpace="0"/>
        </w:sectPr>
      </w:pPr>
      <w:r>
        <w:rPr>
          <w:sz w:val="32"/>
        </w:rPr>
        <mc:AlternateContent>
          <mc:Choice Requires="wps">
            <w:drawing>
              <wp:anchor distT="0" distB="0" distL="114300" distR="114300" simplePos="0" relativeHeight="251663360" behindDoc="0" locked="0" layoutInCell="1" allowOverlap="1">
                <wp:simplePos x="0" y="0"/>
                <wp:positionH relativeFrom="column">
                  <wp:posOffset>4026535</wp:posOffset>
                </wp:positionH>
                <wp:positionV relativeFrom="paragraph">
                  <wp:posOffset>4214495</wp:posOffset>
                </wp:positionV>
                <wp:extent cx="2573020" cy="435610"/>
                <wp:effectExtent l="1068705" t="0" r="0" b="0"/>
                <wp:wrapNone/>
                <wp:docPr id="25" name="文本框 25"/>
                <wp:cNvGraphicFramePr/>
                <a:graphic xmlns:a="http://schemas.openxmlformats.org/drawingml/2006/main">
                  <a:graphicData uri="http://schemas.microsoft.com/office/word/2010/wordprocessingShape">
                    <wps:wsp>
                      <wps:cNvSpPr txBox="1"/>
                      <wps:spPr>
                        <a:xfrm rot="16200000">
                          <a:off x="2032635" y="9123680"/>
                          <a:ext cx="2573020" cy="435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7BE95">
                            <w:pPr>
                              <w:pStyle w:val="3"/>
                              <w:spacing w:line="600" w:lineRule="exact"/>
                              <w:jc w:val="both"/>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图4.4  北辰区水系连通工程规划位置图</w:t>
                            </w:r>
                          </w:p>
                          <w:p w14:paraId="51CE9622">
                            <w:pPr>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7.05pt;margin-top:331.85pt;height:34.3pt;width:202.6pt;rotation:-5898240f;z-index:251663360;mso-width-relative:page;mso-height-relative:page;" filled="f" stroked="f" coordsize="21600,21600" o:gfxdata="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3XD4fbAAAADAEA&#10;AA8AAAAAAAAAAQAgAAAAIgAAAGRycy9kb3ducmV2LnhtbFBLAQIUABQAAAAIAIdO4kAe4bNtUAIA&#10;AIMEAAAOAAAAAAAAAAEAIAAAACoBAABkcnMvZTJvRG9jLnhtbFBLBQYAAAAABgAGAFkBAADsBQAA&#10;AAA=&#10;">
                <v:fill on="f" focussize="0,0"/>
                <v:stroke on="f" weight="0.5pt"/>
                <v:imagedata o:title=""/>
                <o:lock v:ext="edit" aspectratio="f"/>
                <v:textbox>
                  <w:txbxContent>
                    <w:p w14:paraId="5C37BE95">
                      <w:pPr>
                        <w:pStyle w:val="3"/>
                        <w:spacing w:line="600" w:lineRule="exact"/>
                        <w:jc w:val="both"/>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图4.4  北辰区水系连通工程规划位置图</w:t>
                      </w:r>
                    </w:p>
                    <w:p w14:paraId="51CE9622">
                      <w:pPr>
                        <w:jc w:val="both"/>
                      </w:pPr>
                    </w:p>
                  </w:txbxContent>
                </v:textbox>
              </v:shape>
            </w:pict>
          </mc:Fallback>
        </mc:AlternateContent>
      </w:r>
      <w:r>
        <w:rPr>
          <w:rFonts w:hint="eastAsia" w:eastAsia="仿宋_GB2312"/>
          <w:sz w:val="32"/>
          <w:szCs w:val="32"/>
          <w:highlight w:val="none"/>
          <w:lang w:val="en-US" w:eastAsia="zh-CN"/>
        </w:rPr>
        <w:drawing>
          <wp:anchor distT="0" distB="0" distL="114300" distR="114300" simplePos="0" relativeHeight="251669504" behindDoc="0" locked="0" layoutInCell="1" allowOverlap="1">
            <wp:simplePos x="0" y="0"/>
            <wp:positionH relativeFrom="column">
              <wp:posOffset>-1043940</wp:posOffset>
            </wp:positionH>
            <wp:positionV relativeFrom="paragraph">
              <wp:posOffset>1609725</wp:posOffset>
            </wp:positionV>
            <wp:extent cx="7368540" cy="5295265"/>
            <wp:effectExtent l="0" t="0" r="635" b="3810"/>
            <wp:wrapNone/>
            <wp:docPr id="36" name="图片 36" descr="北辰区水系连通工程规划位置图（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北辰区水系连通工程规划位置图（改）"/>
                    <pic:cNvPicPr>
                      <a:picLocks noChangeAspect="1"/>
                    </pic:cNvPicPr>
                  </pic:nvPicPr>
                  <pic:blipFill>
                    <a:blip r:embed="rId27"/>
                    <a:stretch>
                      <a:fillRect/>
                    </a:stretch>
                  </pic:blipFill>
                  <pic:spPr>
                    <a:xfrm rot="16200000">
                      <a:off x="0" y="0"/>
                      <a:ext cx="7368540" cy="5295265"/>
                    </a:xfrm>
                    <a:prstGeom prst="rect">
                      <a:avLst/>
                    </a:prstGeom>
                    <a:effectLst/>
                  </pic:spPr>
                </pic:pic>
              </a:graphicData>
            </a:graphic>
          </wp:anchor>
        </w:drawing>
      </w:r>
    </w:p>
    <w:p w14:paraId="156B8CEA">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r>
        <w:rPr>
          <w:rFonts w:hint="eastAsia" w:ascii="Times New Roman" w:hAnsi="Times New Roman" w:eastAsia="黑体" w:cs="Times New Roman"/>
          <w:bCs/>
          <w:kern w:val="2"/>
          <w:sz w:val="32"/>
          <w:szCs w:val="32"/>
          <w:highlight w:val="none"/>
          <w:lang w:eastAsia="zh-CN" w:bidi="ar-SA"/>
        </w:rPr>
        <w:t>第四节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水务信息化建设</w:t>
      </w:r>
      <w:bookmarkEnd w:id="10"/>
    </w:p>
    <w:p w14:paraId="76275C69">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十四五”时期，以需求为导向，以“安全、实用”为原则，加强水务信息化建设，提升精细化动态化监管水平，形成较为完整的水务信息化体系，全面提高水务管理和服务现代化水平。规划建设完善水务公众服务平台、水文自动测报站等项目，形成水务信息化基础骨架，有力支撑水务补短板、强监管工作，为水安全提供重要基础保障。</w:t>
      </w:r>
    </w:p>
    <w:p w14:paraId="589F89E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一、网络整合改造</w:t>
      </w:r>
    </w:p>
    <w:p w14:paraId="057342F5">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按照天津市政府统一部署，基于天津市电子政务外网，整合现有水务办公网和业务网，优化智慧水务整体网络架构，形成符合IPv6/IPv4标准的水务政务外网。</w:t>
      </w:r>
    </w:p>
    <w:p w14:paraId="7F09DB5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二、水务公众服务平台建设</w:t>
      </w:r>
    </w:p>
    <w:p w14:paraId="46380E49">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lang w:val="en-US"/>
        </w:rPr>
        <w:t>完善水务网站服务、微信公众服务等。</w:t>
      </w:r>
    </w:p>
    <w:p w14:paraId="545EDB6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US" w:eastAsia="zh-CN"/>
        </w:rPr>
        <w:t>三、水务监测感知能力扩充</w:t>
      </w:r>
    </w:p>
    <w:p w14:paraId="5F61BD1A">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lang w:val="en-US"/>
        </w:rPr>
      </w:pPr>
      <w:r>
        <w:rPr>
          <w:rFonts w:hint="eastAsia" w:hAnsi="仿宋" w:cs="仿宋"/>
          <w:sz w:val="32"/>
          <w:szCs w:val="32"/>
          <w:highlight w:val="none"/>
          <w:lang w:val="en-US"/>
        </w:rPr>
        <w:t>建设</w:t>
      </w:r>
      <w:r>
        <w:rPr>
          <w:rFonts w:hint="eastAsia" w:hAnsi="仿宋" w:cs="仿宋"/>
          <w:sz w:val="32"/>
          <w:szCs w:val="32"/>
          <w:highlight w:val="none"/>
        </w:rPr>
        <w:t>水文自动测报站，</w:t>
      </w:r>
      <w:r>
        <w:rPr>
          <w:rFonts w:hint="eastAsia" w:hAnsi="仿宋" w:cs="仿宋"/>
          <w:sz w:val="32"/>
          <w:szCs w:val="32"/>
          <w:highlight w:val="none"/>
          <w:lang w:val="en-US"/>
        </w:rPr>
        <w:t>健全入境断面和河道水文监测站网，补充完善水位、流量、水质等监测要素，补充境内水文监测设施，力争实现现有防洪任务的中小河流水文监测全覆盖，扩大水雨情、工情等实时在线监测范围，推广新型监测手段，大力提升水务智能监测感知能力。</w:t>
      </w:r>
    </w:p>
    <w:p w14:paraId="2A5101D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四、网络安全保障建设</w:t>
      </w:r>
    </w:p>
    <w:p w14:paraId="4BE3F9E4">
      <w:pPr>
        <w:keepNext w:val="0"/>
        <w:keepLines w:val="0"/>
        <w:pageBreakBefore w:val="0"/>
        <w:kinsoku/>
        <w:overflowPunct/>
        <w:topLinePunct w:val="0"/>
        <w:bidi w:val="0"/>
        <w:spacing w:line="600" w:lineRule="exact"/>
        <w:ind w:firstLine="640" w:firstLineChars="200"/>
        <w:textAlignment w:val="auto"/>
        <w:rPr>
          <w:rFonts w:hAnsi="仿宋" w:cs="仿宋"/>
          <w:sz w:val="32"/>
          <w:szCs w:val="32"/>
          <w:highlight w:val="none"/>
          <w:lang w:val="en-US"/>
        </w:rPr>
      </w:pPr>
      <w:r>
        <w:rPr>
          <w:rFonts w:hint="eastAsia" w:hAnsi="仿宋" w:cs="仿宋"/>
          <w:sz w:val="32"/>
          <w:szCs w:val="32"/>
          <w:highlight w:val="none"/>
          <w:lang w:val="en-US"/>
        </w:rPr>
        <w:t>依据国家相关法律法规要求，开展关键信息基础设施梳理、认定以及网络安全防护工作；开展信息系统等级保护备案、测评、整改等网络安全保障工作，构建信息安全体系，全面提升网络安全威胁防御、发现和处置能力。</w:t>
      </w:r>
      <w:r>
        <w:rPr>
          <w:rFonts w:hint="eastAsia" w:hAnsi="仿宋" w:cs="仿宋"/>
          <w:sz w:val="32"/>
          <w:szCs w:val="32"/>
          <w:highlight w:val="none"/>
          <w:lang w:val="en-US"/>
        </w:rPr>
        <w:br w:type="page"/>
      </w:r>
    </w:p>
    <w:p w14:paraId="7F27CDB5">
      <w:pPr>
        <w:keepNext w:val="0"/>
        <w:keepLines w:val="0"/>
        <w:pageBreakBefore w:val="0"/>
        <w:numPr>
          <w:ilvl w:val="0"/>
          <w:numId w:val="1"/>
        </w:numPr>
        <w:kinsoku/>
        <w:overflowPunct/>
        <w:topLinePunct w:val="0"/>
        <w:autoSpaceDE/>
        <w:autoSpaceDN/>
        <w:bidi w:val="0"/>
        <w:spacing w:before="120" w:beforeLines="50" w:after="120" w:afterLines="50" w:line="600" w:lineRule="exact"/>
        <w:jc w:val="center"/>
        <w:textAlignment w:val="auto"/>
        <w:outlineLvl w:val="0"/>
        <w:rPr>
          <w:rFonts w:ascii="方正小标宋简体" w:hAnsi="方正小标宋简体" w:eastAsia="方正小标宋简体" w:cs="方正小标宋简体"/>
          <w:bCs/>
          <w:kern w:val="2"/>
          <w:sz w:val="36"/>
          <w:szCs w:val="36"/>
          <w:highlight w:val="none"/>
          <w:lang w:bidi="ar-SA"/>
        </w:rPr>
      </w:pPr>
      <w:bookmarkStart w:id="11" w:name="_Toc66804162"/>
      <w:r>
        <w:rPr>
          <w:rFonts w:hint="eastAsia" w:ascii="方正小标宋简体" w:hAnsi="方正小标宋简体" w:eastAsia="方正小标宋简体" w:cs="方正小标宋简体"/>
          <w:bCs/>
          <w:kern w:val="2"/>
          <w:sz w:val="36"/>
          <w:szCs w:val="36"/>
          <w:highlight w:val="none"/>
          <w:lang w:val="en-US" w:eastAsia="zh-CN" w:bidi="ar-SA"/>
        </w:rPr>
        <w:t xml:space="preserve">  </w:t>
      </w:r>
      <w:r>
        <w:rPr>
          <w:rFonts w:hint="eastAsia" w:ascii="方正小标宋简体" w:hAnsi="方正小标宋简体" w:eastAsia="方正小标宋简体" w:cs="方正小标宋简体"/>
          <w:bCs/>
          <w:kern w:val="2"/>
          <w:sz w:val="36"/>
          <w:szCs w:val="36"/>
          <w:highlight w:val="none"/>
          <w:lang w:bidi="ar-SA"/>
        </w:rPr>
        <w:t>行业强监管主要任务</w:t>
      </w:r>
      <w:bookmarkEnd w:id="11"/>
      <w:bookmarkStart w:id="12" w:name="_Toc66804163"/>
    </w:p>
    <w:p w14:paraId="0F64E684">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针对涉水活动监管弱项，健全监管体制机制，创新监管和服务方式，全面强化水资源供水、城镇排水、水生态环境、工程建管等重点领域全过程、全方位、全要素监管，不断提升监管水平，加快推进水治理体系和监管能力现代化。</w:t>
      </w:r>
    </w:p>
    <w:p w14:paraId="1357135E">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r>
        <w:rPr>
          <w:rFonts w:hint="eastAsia" w:ascii="Times New Roman" w:hAnsi="Times New Roman" w:eastAsia="黑体" w:cs="Times New Roman"/>
          <w:bCs/>
          <w:kern w:val="2"/>
          <w:sz w:val="32"/>
          <w:szCs w:val="32"/>
          <w:highlight w:val="none"/>
          <w:lang w:eastAsia="zh-CN" w:bidi="ar-SA"/>
        </w:rPr>
        <w:t>第一节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强化水资源和供水管理</w:t>
      </w:r>
      <w:bookmarkEnd w:id="12"/>
    </w:p>
    <w:p w14:paraId="685D8276">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“十四五”时期，水资源和供水管理主要任务是坚持节水优先，把水资源</w:t>
      </w:r>
      <w:r>
        <w:rPr>
          <w:rFonts w:hAnsi="仿宋" w:cs="仿宋"/>
          <w:sz w:val="32"/>
          <w:szCs w:val="32"/>
          <w:highlight w:val="none"/>
          <w:lang w:val="en"/>
        </w:rPr>
        <w:t>承载能力</w:t>
      </w:r>
      <w:r>
        <w:rPr>
          <w:rFonts w:hint="eastAsia" w:hAnsi="仿宋" w:cs="仿宋"/>
          <w:sz w:val="32"/>
          <w:szCs w:val="32"/>
          <w:highlight w:val="none"/>
        </w:rPr>
        <w:t>作为最大的刚性约束，加强</w:t>
      </w:r>
      <w:r>
        <w:rPr>
          <w:rFonts w:hAnsi="仿宋" w:cs="仿宋"/>
          <w:sz w:val="32"/>
          <w:szCs w:val="32"/>
          <w:highlight w:val="none"/>
          <w:lang w:val="en"/>
        </w:rPr>
        <w:t>水资源消耗</w:t>
      </w:r>
      <w:r>
        <w:rPr>
          <w:rFonts w:hint="eastAsia" w:hAnsi="仿宋" w:cs="仿宋"/>
          <w:sz w:val="32"/>
          <w:szCs w:val="32"/>
          <w:highlight w:val="none"/>
        </w:rPr>
        <w:t>总量</w:t>
      </w:r>
      <w:r>
        <w:rPr>
          <w:rFonts w:hAnsi="仿宋" w:cs="仿宋"/>
          <w:sz w:val="32"/>
          <w:szCs w:val="32"/>
          <w:highlight w:val="none"/>
          <w:lang w:val="en"/>
        </w:rPr>
        <w:t>和</w:t>
      </w:r>
      <w:r>
        <w:rPr>
          <w:rFonts w:hint="eastAsia" w:hAnsi="仿宋" w:cs="仿宋"/>
          <w:sz w:val="32"/>
          <w:szCs w:val="32"/>
          <w:highlight w:val="none"/>
        </w:rPr>
        <w:t>强度双控，</w:t>
      </w:r>
      <w:r>
        <w:rPr>
          <w:rFonts w:hAnsi="仿宋" w:cs="仿宋"/>
          <w:sz w:val="32"/>
          <w:szCs w:val="32"/>
          <w:highlight w:val="none"/>
          <w:lang w:val="en"/>
        </w:rPr>
        <w:t>深化水资源开发、利用、保护工作，</w:t>
      </w:r>
      <w:r>
        <w:rPr>
          <w:rFonts w:hint="eastAsia" w:hAnsi="仿宋" w:cs="仿宋"/>
          <w:sz w:val="32"/>
          <w:szCs w:val="32"/>
          <w:highlight w:val="none"/>
        </w:rPr>
        <w:t>强化从源头到龙头的全过程供水安全监管，以标准约束用水行为，用制度严格用水管控，水资源利用效率有效提高，供水安全保障能力持续增强，节水型社会建设稳步提升。</w:t>
      </w:r>
    </w:p>
    <w:p w14:paraId="794FCDA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一、加强节约用水监管</w:t>
      </w:r>
    </w:p>
    <w:p w14:paraId="10EE5C9C">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（一）完善节水规制体系</w:t>
      </w:r>
    </w:p>
    <w:p w14:paraId="2B60A341">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lang w:val="en-US"/>
        </w:rPr>
      </w:pPr>
      <w:r>
        <w:rPr>
          <w:rFonts w:hint="eastAsia" w:hAnsi="仿宋" w:cs="仿宋"/>
          <w:sz w:val="32"/>
          <w:szCs w:val="32"/>
          <w:highlight w:val="none"/>
          <w:lang w:val="en-US"/>
        </w:rPr>
        <w:t>严格落实国家和本市节水行动方案，制定完善本区用水总量和用水强度控制指标体系，研究落实分产业、分水源的水量控制指标。强化规划和建设项目节水评价，加强重点用水单位监管，完善重点用水单位名录。</w:t>
      </w:r>
    </w:p>
    <w:p w14:paraId="5FD58AEC">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（二）强化重点领域节水</w:t>
      </w:r>
    </w:p>
    <w:p w14:paraId="6E9F9776">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lang w:val="en-US"/>
        </w:rPr>
      </w:pPr>
      <w:r>
        <w:rPr>
          <w:rFonts w:hint="eastAsia" w:hAnsi="仿宋" w:cs="仿宋"/>
          <w:sz w:val="32"/>
          <w:szCs w:val="32"/>
          <w:highlight w:val="none"/>
          <w:lang w:val="en-US"/>
        </w:rPr>
        <w:t>大力推进工业节水减排，</w:t>
      </w:r>
      <w:r>
        <w:rPr>
          <w:rFonts w:hint="eastAsia" w:hAnsi="仿宋" w:cs="仿宋"/>
          <w:sz w:val="32"/>
          <w:szCs w:val="32"/>
          <w:highlight w:val="none"/>
        </w:rPr>
        <w:t>制定严格的工业准入政策，严禁新增高耗水工业项目，推行工业园区用水统一管理模式，</w:t>
      </w:r>
      <w:r>
        <w:rPr>
          <w:rFonts w:hint="eastAsia" w:hAnsi="仿宋" w:cs="仿宋"/>
          <w:sz w:val="32"/>
          <w:szCs w:val="32"/>
          <w:highlight w:val="none"/>
          <w:lang w:val="en-US"/>
        </w:rPr>
        <w:t>支持企业开展节水技术及再生水回用改造，</w:t>
      </w:r>
      <w:r>
        <w:rPr>
          <w:rFonts w:hint="eastAsia" w:hAnsi="仿宋" w:cs="仿宋"/>
          <w:sz w:val="32"/>
          <w:szCs w:val="32"/>
          <w:highlight w:val="none"/>
        </w:rPr>
        <w:t>年用水量超过计划水量3</w:t>
      </w:r>
      <w:r>
        <w:rPr>
          <w:rFonts w:hAnsi="仿宋" w:cs="仿宋"/>
          <w:sz w:val="32"/>
          <w:szCs w:val="32"/>
          <w:highlight w:val="none"/>
        </w:rPr>
        <w:t>0%</w:t>
      </w:r>
      <w:r>
        <w:rPr>
          <w:rFonts w:hint="eastAsia" w:hAnsi="仿宋" w:cs="仿宋"/>
          <w:sz w:val="32"/>
          <w:szCs w:val="32"/>
          <w:highlight w:val="none"/>
        </w:rPr>
        <w:t>以上的企业</w:t>
      </w:r>
      <w:r>
        <w:rPr>
          <w:rFonts w:hAnsi="仿宋" w:cs="仿宋"/>
          <w:sz w:val="32"/>
          <w:szCs w:val="32"/>
          <w:highlight w:val="none"/>
        </w:rPr>
        <w:t>定期开展水平衡</w:t>
      </w:r>
      <w:r>
        <w:rPr>
          <w:rFonts w:hint="eastAsia" w:hAnsi="仿宋" w:cs="仿宋"/>
          <w:sz w:val="32"/>
          <w:szCs w:val="32"/>
          <w:highlight w:val="none"/>
        </w:rPr>
        <w:t>测试，</w:t>
      </w:r>
      <w:r>
        <w:rPr>
          <w:rFonts w:hint="eastAsia" w:hAnsi="仿宋" w:cs="仿宋"/>
          <w:sz w:val="32"/>
          <w:szCs w:val="32"/>
          <w:highlight w:val="none"/>
          <w:lang w:val="en-US"/>
        </w:rPr>
        <w:t>重点企业定期开展用水审计及水效对标。</w:t>
      </w:r>
      <w:r>
        <w:rPr>
          <w:rFonts w:hint="eastAsia" w:hAnsi="仿宋" w:cs="仿宋"/>
          <w:color w:val="auto"/>
          <w:sz w:val="32"/>
          <w:szCs w:val="32"/>
          <w:highlight w:val="none"/>
          <w:lang w:val="en-US"/>
        </w:rPr>
        <w:t>不断推进农业水价综合改革，</w:t>
      </w:r>
      <w:r>
        <w:rPr>
          <w:rFonts w:hint="eastAsia" w:hAnsi="仿宋" w:cs="仿宋"/>
          <w:sz w:val="32"/>
          <w:szCs w:val="32"/>
          <w:highlight w:val="none"/>
          <w:lang w:val="en-US"/>
        </w:rPr>
        <w:t>强化农业节水增效，以高标准农田建设为依托，配套建设计量设施，推动节水灌溉工程建设，推广耕地保墒、覆盖保墒、化学制剂节水等新技术，提高用水效率效益，</w:t>
      </w:r>
      <w:r>
        <w:rPr>
          <w:rFonts w:hint="eastAsia" w:hAnsi="仿宋" w:cs="仿宋"/>
          <w:sz w:val="32"/>
          <w:szCs w:val="32"/>
          <w:highlight w:val="none"/>
        </w:rPr>
        <w:t>推进精细化高效节水示范区和简便实用示范区建设。</w:t>
      </w:r>
      <w:r>
        <w:rPr>
          <w:rFonts w:hint="eastAsia" w:hAnsi="仿宋" w:cs="仿宋"/>
          <w:sz w:val="32"/>
          <w:szCs w:val="32"/>
          <w:highlight w:val="none"/>
          <w:lang w:val="en-US"/>
        </w:rPr>
        <w:t>加强城镇节水降损，</w:t>
      </w:r>
      <w:r>
        <w:rPr>
          <w:rFonts w:hint="eastAsia" w:hAnsi="仿宋" w:cs="仿宋"/>
          <w:sz w:val="32"/>
          <w:szCs w:val="32"/>
          <w:highlight w:val="none"/>
        </w:rPr>
        <w:t>对漏损严重的管道实施更新改造，</w:t>
      </w:r>
      <w:r>
        <w:rPr>
          <w:rFonts w:hint="eastAsia" w:hAnsi="仿宋" w:cs="仿宋"/>
          <w:sz w:val="32"/>
          <w:szCs w:val="32"/>
          <w:highlight w:val="none"/>
          <w:lang w:val="en-US"/>
        </w:rPr>
        <w:t>降低供水管网漏损率。持续推进节水型载体建设，继续推动节水型系统（行业）、企业（单位）、居民小区、公共机构、高校等节水载体建设，倡导合同节水管理，加大节水宣传力度，营造全社会节水的良好氛围。</w:t>
      </w:r>
    </w:p>
    <w:p w14:paraId="6923DF2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二、严格取用水监管</w:t>
      </w:r>
    </w:p>
    <w:p w14:paraId="192D8629">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（一）严格用水总量控制</w:t>
      </w:r>
    </w:p>
    <w:p w14:paraId="0F2062FB">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推进水量分配</w:t>
      </w:r>
      <w:r>
        <w:rPr>
          <w:rFonts w:hint="eastAsia" w:hAnsi="仿宋" w:cs="仿宋"/>
          <w:sz w:val="32"/>
          <w:szCs w:val="32"/>
          <w:highlight w:val="none"/>
          <w:lang w:eastAsia="zh-CN"/>
        </w:rPr>
        <w:t>，</w:t>
      </w:r>
      <w:r>
        <w:rPr>
          <w:rFonts w:hint="eastAsia" w:hAnsi="仿宋" w:cs="仿宋"/>
          <w:sz w:val="32"/>
          <w:szCs w:val="32"/>
          <w:highlight w:val="none"/>
        </w:rPr>
        <w:t>强化建设项目水资源论证及取水许可审批，增加规划和建设项目节水评价。按照以水定产的原则，优化调整区域规划和产业布局。加强计划用水管理，推进用水定额应用</w:t>
      </w:r>
      <w:r>
        <w:rPr>
          <w:rFonts w:hint="eastAsia" w:hAnsi="仿宋" w:cs="仿宋"/>
          <w:sz w:val="32"/>
          <w:szCs w:val="32"/>
          <w:highlight w:val="none"/>
          <w:lang w:eastAsia="zh-CN"/>
        </w:rPr>
        <w:t>，</w:t>
      </w:r>
      <w:r>
        <w:rPr>
          <w:rFonts w:hint="eastAsia" w:hAnsi="仿宋" w:cs="仿宋"/>
          <w:sz w:val="32"/>
          <w:szCs w:val="32"/>
          <w:highlight w:val="none"/>
        </w:rPr>
        <w:t>严格用水计划建议的审核，严控用水计划的调整，保证区域年度用水总量控制目标。</w:t>
      </w:r>
    </w:p>
    <w:p w14:paraId="61803316">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（二）强化取用水监管</w:t>
      </w:r>
    </w:p>
    <w:p w14:paraId="476030CD">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开展取用水管理专项整治行动，以取水工程（设施）核查登记为主线，严控用水总量和地下水超采，针对取水单位和个人取用水行为不规范及取用水管理不到位的问题，限期整改，依法规范取用水行为，健全长效机制，提高水资源管理能力和水平。</w:t>
      </w:r>
    </w:p>
    <w:p w14:paraId="13980B75">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完善在线监测与统计</w:t>
      </w:r>
    </w:p>
    <w:p w14:paraId="2E6916B3">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加强</w:t>
      </w:r>
      <w:r>
        <w:rPr>
          <w:rFonts w:hAnsi="仿宋" w:cs="仿宋"/>
          <w:sz w:val="32"/>
          <w:szCs w:val="32"/>
          <w:highlight w:val="none"/>
        </w:rPr>
        <w:t>取水口管理，明确重点取水口管理主体和监管责任主体</w:t>
      </w:r>
      <w:r>
        <w:rPr>
          <w:rFonts w:hint="eastAsia" w:hAnsi="仿宋" w:cs="仿宋"/>
          <w:sz w:val="32"/>
          <w:szCs w:val="32"/>
          <w:highlight w:val="none"/>
        </w:rPr>
        <w:t>。加强地下水用户监控与计量，利用已建立的北辰区基坑计量管理系统，实现基坑排水量和回用量有效监控。加强用水统计管理，实施用水统计调查制度，建立统计调查对象名录，做好取用水数据填报，加强用水统计数据质量审核，提升用水统计水平。</w:t>
      </w:r>
    </w:p>
    <w:p w14:paraId="789AC73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三、强化供水行业监管</w:t>
      </w:r>
    </w:p>
    <w:p w14:paraId="47B27A95">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bookmarkStart w:id="13" w:name="_Toc66804164"/>
      <w:r>
        <w:rPr>
          <w:rFonts w:hint="eastAsia" w:ascii="楷体_GB2312" w:hAnsi="楷体_GB2312" w:eastAsia="楷体_GB2312" w:cs="楷体_GB2312"/>
          <w:sz w:val="32"/>
          <w:szCs w:val="32"/>
          <w:highlight w:val="none"/>
          <w:lang w:eastAsia="zh-CN"/>
        </w:rPr>
        <w:t>（一）加强供水水质监管</w:t>
      </w:r>
    </w:p>
    <w:p w14:paraId="1680103B">
      <w:pPr>
        <w:pStyle w:val="3"/>
        <w:keepNext w:val="0"/>
        <w:keepLines w:val="0"/>
        <w:pageBreakBefore w:val="0"/>
        <w:kinsoku/>
        <w:overflowPunct/>
        <w:topLinePunct w:val="0"/>
        <w:bidi w:val="0"/>
        <w:spacing w:line="600" w:lineRule="exact"/>
        <w:ind w:firstLine="640" w:firstLineChars="200"/>
        <w:jc w:val="both"/>
        <w:textAlignment w:val="auto"/>
        <w:rPr>
          <w:bCs/>
          <w:kern w:val="2"/>
          <w:sz w:val="32"/>
          <w:szCs w:val="32"/>
          <w:highlight w:val="none"/>
          <w:lang w:bidi="ar-SA"/>
        </w:rPr>
      </w:pPr>
      <w:r>
        <w:rPr>
          <w:rFonts w:hint="eastAsia"/>
          <w:bCs/>
          <w:kern w:val="2"/>
          <w:sz w:val="32"/>
          <w:szCs w:val="32"/>
          <w:highlight w:val="none"/>
          <w:lang w:bidi="ar-SA"/>
        </w:rPr>
        <w:t>完善供水水质监督管理体系，加强从水厂水到龙头水的水质监测。定期对水厂出厂水、管网水及二次供水水质进行水质抽检，加大对农村地区饮用水水质抽检力度，对不合格的督促整改，确保水质安全，并向社会公布水质情况。</w:t>
      </w:r>
    </w:p>
    <w:p w14:paraId="7785BEE9">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（二）加强供水设施监管</w:t>
      </w:r>
    </w:p>
    <w:p w14:paraId="318CDC46">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bCs/>
          <w:kern w:val="2"/>
          <w:sz w:val="32"/>
          <w:szCs w:val="32"/>
          <w:highlight w:val="none"/>
          <w:lang w:bidi="ar-SA"/>
        </w:rPr>
      </w:pPr>
      <w:r>
        <w:rPr>
          <w:rFonts w:hAnsi="仿宋" w:cs="仿宋"/>
          <w:sz w:val="32"/>
          <w:szCs w:val="32"/>
          <w:highlight w:val="none"/>
        </w:rPr>
        <w:t>加</w:t>
      </w:r>
      <w:r>
        <w:rPr>
          <w:rFonts w:hint="eastAsia"/>
          <w:bCs/>
          <w:kern w:val="2"/>
          <w:sz w:val="32"/>
          <w:szCs w:val="32"/>
          <w:highlight w:val="none"/>
          <w:lang w:bidi="ar-SA"/>
        </w:rPr>
        <w:t>强全区二次供水设施管理，推动老、旧、不达标设施设备完成升级改造，建立二次供水设施信息管理系统，规范二次供水管理，保障二次供水安全。按照《天津市二次供水管理规定》要求，有序推动供水企业接管辖区内二次供水设施。</w:t>
      </w:r>
    </w:p>
    <w:p w14:paraId="5DC26EF6">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bCs/>
          <w:kern w:val="2"/>
          <w:sz w:val="32"/>
          <w:szCs w:val="32"/>
          <w:highlight w:val="none"/>
          <w:lang w:bidi="ar-SA"/>
        </w:rPr>
      </w:pPr>
      <w:r>
        <w:rPr>
          <w:rFonts w:hint="eastAsia" w:ascii="楷体_GB2312" w:hAnsi="楷体_GB2312" w:eastAsia="楷体_GB2312" w:cs="楷体_GB2312"/>
          <w:bCs/>
          <w:kern w:val="2"/>
          <w:sz w:val="32"/>
          <w:szCs w:val="32"/>
          <w:highlight w:val="none"/>
          <w:lang w:eastAsia="zh-CN" w:bidi="ar-SA"/>
        </w:rPr>
        <w:t>（三）</w:t>
      </w:r>
      <w:r>
        <w:rPr>
          <w:rFonts w:hint="eastAsia" w:ascii="楷体_GB2312" w:hAnsi="楷体_GB2312" w:eastAsia="楷体_GB2312" w:cs="楷体_GB2312"/>
          <w:bCs/>
          <w:kern w:val="2"/>
          <w:sz w:val="32"/>
          <w:szCs w:val="32"/>
          <w:highlight w:val="none"/>
          <w:lang w:bidi="ar-SA"/>
        </w:rPr>
        <w:t>加强供水服务监管</w:t>
      </w:r>
    </w:p>
    <w:p w14:paraId="0B479262">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bCs/>
          <w:kern w:val="2"/>
          <w:sz w:val="32"/>
          <w:szCs w:val="32"/>
          <w:highlight w:val="none"/>
          <w:lang w:bidi="ar-SA"/>
        </w:rPr>
      </w:pPr>
      <w:r>
        <w:rPr>
          <w:rFonts w:hint="eastAsia"/>
          <w:bCs/>
          <w:kern w:val="2"/>
          <w:sz w:val="32"/>
          <w:szCs w:val="32"/>
          <w:highlight w:val="none"/>
          <w:lang w:bidi="ar-SA"/>
        </w:rPr>
        <w:t>加强对供水单位服务质量的监管，及时处理供水服务信访、热线、网上投诉。积极开展农村供水运营的行业指导、培训工作。</w:t>
      </w:r>
    </w:p>
    <w:p w14:paraId="3F2E0AC6">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bookmarkStart w:id="14" w:name="_Toc66804165"/>
      <w:r>
        <w:rPr>
          <w:rFonts w:hint="eastAsia" w:ascii="Times New Roman" w:hAnsi="Times New Roman" w:eastAsia="黑体" w:cs="Times New Roman"/>
          <w:bCs/>
          <w:kern w:val="2"/>
          <w:sz w:val="32"/>
          <w:szCs w:val="32"/>
          <w:highlight w:val="none"/>
          <w:lang w:eastAsia="zh-CN" w:bidi="ar-SA"/>
        </w:rPr>
        <w:t>第二节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强化排水行业</w:t>
      </w:r>
      <w:bookmarkEnd w:id="14"/>
      <w:r>
        <w:rPr>
          <w:rFonts w:hint="eastAsia" w:ascii="Times New Roman" w:hAnsi="Times New Roman" w:eastAsia="黑体" w:cs="Times New Roman"/>
          <w:bCs/>
          <w:kern w:val="2"/>
          <w:sz w:val="32"/>
          <w:szCs w:val="32"/>
          <w:highlight w:val="none"/>
          <w:lang w:bidi="ar-SA"/>
        </w:rPr>
        <w:t>监管</w:t>
      </w:r>
    </w:p>
    <w:p w14:paraId="5332020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一、健全排水管理体制</w:t>
      </w:r>
    </w:p>
    <w:p w14:paraId="39A9BDCE">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推动雨污水收集、污水处理、污泥处置、再生水利用一体化特许经营管理，实现排水运营良性循环。加强联合管理和执法机制，建立城市排水网格化管理体制，完善排水综合业务管理平台，逐步实现“厂、网、闸、站、河”一体化监管，提高排水管理效率和服务水平。健全防汛预警、会商、联动机制，为科学调度提供准确可靠的数据支撑，提高指挥调度和应急反应能力，构建应对极端天气、突发汛情的现代防汛体系。</w:t>
      </w:r>
    </w:p>
    <w:p w14:paraId="72B8C22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二、强化排水行业监管</w:t>
      </w:r>
    </w:p>
    <w:p w14:paraId="40AD7A94">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rPr>
        <w:t>）强化排水设施监管</w:t>
      </w:r>
    </w:p>
    <w:p w14:paraId="6BB51904">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Ansi="仿宋" w:cs="仿宋"/>
          <w:sz w:val="32"/>
          <w:szCs w:val="32"/>
          <w:highlight w:val="none"/>
        </w:rPr>
        <w:t>加强排水规划出路登记</w:t>
      </w:r>
      <w:r>
        <w:rPr>
          <w:rFonts w:hint="eastAsia" w:hAnsi="仿宋" w:cs="仿宋"/>
          <w:sz w:val="32"/>
          <w:szCs w:val="32"/>
          <w:highlight w:val="none"/>
          <w:lang w:eastAsia="zh-CN"/>
        </w:rPr>
        <w:t>、</w:t>
      </w:r>
      <w:r>
        <w:rPr>
          <w:rFonts w:hAnsi="仿宋" w:cs="仿宋"/>
          <w:sz w:val="32"/>
          <w:szCs w:val="32"/>
          <w:highlight w:val="none"/>
        </w:rPr>
        <w:t>排水许可证核发、排水设施方案审查和位置界限许可等行业监管。建立城镇排水管网定期排查检测制度，健全排水接入服务和管理制度，逐步完善城镇排水系统。推动完成排水设施核查，加快社会产权设施、无主设施确权，落实排水设施管养责任。加强设施日常管理，及时清理管道及集水井污泥，定期维修养护闸站机电设备，加大闸站管理和技术人员培训，保障排水设施高效安全运行。</w:t>
      </w:r>
    </w:p>
    <w:p w14:paraId="64CE588E">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rPr>
        <w:t>）强化污水处理监管</w:t>
      </w:r>
    </w:p>
    <w:p w14:paraId="4A146263">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Ansi="仿宋" w:cs="仿宋"/>
          <w:sz w:val="32"/>
          <w:szCs w:val="32"/>
          <w:highlight w:val="none"/>
        </w:rPr>
        <w:t>坚持控源截污，</w:t>
      </w:r>
      <w:r>
        <w:rPr>
          <w:rFonts w:hint="eastAsia" w:hAnsi="仿宋" w:cs="仿宋"/>
          <w:sz w:val="32"/>
          <w:szCs w:val="32"/>
          <w:highlight w:val="none"/>
        </w:rPr>
        <w:t>加强对乱泼乱倒商户管理，</w:t>
      </w:r>
      <w:r>
        <w:rPr>
          <w:rFonts w:hAnsi="仿宋" w:cs="仿宋"/>
          <w:sz w:val="32"/>
          <w:szCs w:val="32"/>
          <w:highlight w:val="none"/>
        </w:rPr>
        <w:t>加大对直排、偷排等违法行为的执法力度，加强对排水预处理设施建设和运行监管，确保达标后排放</w:t>
      </w:r>
      <w:r>
        <w:rPr>
          <w:rFonts w:hint="eastAsia" w:hAnsi="仿宋" w:cs="仿宋"/>
          <w:sz w:val="32"/>
          <w:szCs w:val="32"/>
          <w:highlight w:val="none"/>
        </w:rPr>
        <w:t>。</w:t>
      </w:r>
      <w:r>
        <w:rPr>
          <w:rFonts w:hAnsi="仿宋" w:cs="仿宋"/>
          <w:sz w:val="32"/>
          <w:szCs w:val="32"/>
          <w:highlight w:val="none"/>
        </w:rPr>
        <w:t>严格落实排水专项规划，统筹实施城镇雨污水管网、污水处理厂等工程，加快配套污水管网的建设，稳步提高污水收集率。推行污水处理厂分类分级管理，严格执行天津市《城镇污水处理厂污染物排放标准》（DB12/599-2015），对城镇污水处理厂进出水质、水量和污泥进行定期检查和不定期抽查，确保污水处理厂稳定运行，达标排放，充分发挥污染物削减作用。</w:t>
      </w:r>
      <w:r>
        <w:rPr>
          <w:rFonts w:hint="eastAsia" w:hAnsi="仿宋" w:cs="仿宋"/>
          <w:sz w:val="32"/>
          <w:szCs w:val="32"/>
          <w:highlight w:val="none"/>
        </w:rPr>
        <w:t>加强城市排水许可证核发等行政审批事项</w:t>
      </w:r>
      <w:r>
        <w:rPr>
          <w:rFonts w:hint="eastAsia" w:hAnsi="仿宋" w:cs="仿宋"/>
          <w:sz w:val="32"/>
          <w:szCs w:val="32"/>
          <w:highlight w:val="none"/>
          <w:lang w:eastAsia="zh-CN"/>
        </w:rPr>
        <w:t>事中事后</w:t>
      </w:r>
      <w:r>
        <w:rPr>
          <w:rFonts w:hint="eastAsia" w:hAnsi="仿宋" w:cs="仿宋"/>
          <w:sz w:val="32"/>
          <w:szCs w:val="32"/>
          <w:highlight w:val="none"/>
        </w:rPr>
        <w:t>监管力度。对</w:t>
      </w:r>
      <w:r>
        <w:rPr>
          <w:rFonts w:hAnsi="仿宋" w:cs="仿宋"/>
          <w:sz w:val="32"/>
          <w:szCs w:val="32"/>
          <w:highlight w:val="none"/>
        </w:rPr>
        <w:t>北辰区城镇排水设施系统</w:t>
      </w:r>
      <w:r>
        <w:rPr>
          <w:rFonts w:hint="eastAsia" w:hAnsi="仿宋" w:cs="仿宋"/>
          <w:sz w:val="32"/>
          <w:szCs w:val="32"/>
          <w:highlight w:val="none"/>
        </w:rPr>
        <w:t>全面调查摸底，调查雨污合流情况，并对内窥检测的问题管道进行清淤处理。</w:t>
      </w:r>
    </w:p>
    <w:p w14:paraId="760C886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三、提升水旱灾害防御能力</w:t>
      </w:r>
    </w:p>
    <w:p w14:paraId="34D97473">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）加强应急救援体系建设</w:t>
      </w:r>
    </w:p>
    <w:p w14:paraId="5CA67992">
      <w:pPr>
        <w:pStyle w:val="3"/>
        <w:keepNext w:val="0"/>
        <w:keepLines w:val="0"/>
        <w:pageBreakBefore w:val="0"/>
        <w:kinsoku/>
        <w:overflowPunct/>
        <w:topLinePunct w:val="0"/>
        <w:bidi w:val="0"/>
        <w:spacing w:line="600" w:lineRule="exact"/>
        <w:ind w:firstLine="640" w:firstLineChars="200"/>
        <w:jc w:val="both"/>
        <w:textAlignment w:val="auto"/>
        <w:rPr>
          <w:color w:val="auto"/>
          <w:sz w:val="32"/>
          <w:szCs w:val="32"/>
          <w:highlight w:val="none"/>
          <w:lang w:val="en-US"/>
        </w:rPr>
      </w:pPr>
      <w:r>
        <w:rPr>
          <w:rFonts w:hint="eastAsia"/>
          <w:color w:val="auto"/>
          <w:sz w:val="32"/>
          <w:szCs w:val="32"/>
          <w:highlight w:val="none"/>
          <w:lang w:val="en-US"/>
        </w:rPr>
        <w:t>建立健全专业高效的防汛抢险应急队伍，为水旱灾害防御工作提供技术支撑和人员保障。组建区级应急救援物资储备库，优化救灾物资储备布局，</w:t>
      </w:r>
      <w:r>
        <w:rPr>
          <w:rFonts w:hAnsi="仿宋" w:cs="仿宋"/>
          <w:color w:val="auto"/>
          <w:sz w:val="32"/>
          <w:szCs w:val="32"/>
          <w:highlight w:val="none"/>
        </w:rPr>
        <w:t>强化防汛物资管理</w:t>
      </w:r>
      <w:r>
        <w:rPr>
          <w:rFonts w:hint="eastAsia" w:hAnsi="仿宋" w:cs="仿宋"/>
          <w:color w:val="auto"/>
          <w:sz w:val="32"/>
          <w:szCs w:val="32"/>
          <w:highlight w:val="none"/>
        </w:rPr>
        <w:t>，确保满足抢险需要</w:t>
      </w:r>
      <w:r>
        <w:rPr>
          <w:rFonts w:hAnsi="仿宋" w:cs="仿宋"/>
          <w:color w:val="auto"/>
          <w:sz w:val="32"/>
          <w:szCs w:val="32"/>
          <w:highlight w:val="none"/>
        </w:rPr>
        <w:t>。</w:t>
      </w:r>
      <w:r>
        <w:rPr>
          <w:rFonts w:hint="eastAsia"/>
          <w:color w:val="auto"/>
          <w:sz w:val="32"/>
          <w:szCs w:val="32"/>
          <w:highlight w:val="none"/>
          <w:lang w:val="en-US"/>
        </w:rPr>
        <w:t>完善防汛工作人员上岗制度，健全水旱灾害防御工作机制，规范应急处置程序。</w:t>
      </w:r>
    </w:p>
    <w:p w14:paraId="552A661F">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）提高应急处理能力</w:t>
      </w:r>
    </w:p>
    <w:p w14:paraId="65B3C216">
      <w:pPr>
        <w:pStyle w:val="3"/>
        <w:keepNext w:val="0"/>
        <w:keepLines w:val="0"/>
        <w:pageBreakBefore w:val="0"/>
        <w:kinsoku/>
        <w:overflowPunct/>
        <w:topLinePunct w:val="0"/>
        <w:bidi w:val="0"/>
        <w:spacing w:line="600" w:lineRule="exact"/>
        <w:ind w:firstLine="640" w:firstLineChars="200"/>
        <w:jc w:val="both"/>
        <w:textAlignment w:val="auto"/>
        <w:rPr>
          <w:rFonts w:hAnsi="仿宋" w:cs="仿宋"/>
          <w:color w:val="auto"/>
          <w:sz w:val="32"/>
          <w:szCs w:val="32"/>
          <w:highlight w:val="none"/>
        </w:rPr>
      </w:pPr>
      <w:r>
        <w:rPr>
          <w:rFonts w:hint="eastAsia"/>
          <w:color w:val="auto"/>
          <w:sz w:val="32"/>
          <w:szCs w:val="32"/>
          <w:highlight w:val="none"/>
          <w:lang w:val="en-US"/>
        </w:rPr>
        <w:t>加强河道、水库、闸站水信息采集，实时掌握雨情、水情、汛情、旱情、灾情，</w:t>
      </w:r>
      <w:r>
        <w:rPr>
          <w:rFonts w:hAnsi="仿宋" w:cs="仿宋"/>
          <w:color w:val="auto"/>
          <w:sz w:val="32"/>
          <w:szCs w:val="32"/>
          <w:highlight w:val="none"/>
        </w:rPr>
        <w:t>完善防汛排水预警指挥系统，保障排水、抢险及时有效。加强应急培训和演练，提高队伍应急处置水平。汛期坚持</w:t>
      </w:r>
      <w:r>
        <w:rPr>
          <w:rFonts w:hint="eastAsia" w:hAnsi="仿宋" w:cs="仿宋"/>
          <w:color w:val="auto"/>
          <w:sz w:val="32"/>
          <w:szCs w:val="32"/>
          <w:highlight w:val="none"/>
        </w:rPr>
        <w:t>关键点位</w:t>
      </w:r>
      <w:r>
        <w:rPr>
          <w:rFonts w:hAnsi="仿宋" w:cs="仿宋"/>
          <w:color w:val="auto"/>
          <w:sz w:val="32"/>
          <w:szCs w:val="32"/>
          <w:highlight w:val="none"/>
        </w:rPr>
        <w:t>24小时值守，</w:t>
      </w:r>
      <w:r>
        <w:rPr>
          <w:rFonts w:hint="eastAsia" w:hAnsi="仿宋" w:cs="仿宋"/>
          <w:color w:val="auto"/>
          <w:sz w:val="32"/>
          <w:szCs w:val="32"/>
          <w:highlight w:val="none"/>
        </w:rPr>
        <w:t>积水严重地区移动泵车等应急设备随时守候，</w:t>
      </w:r>
      <w:r>
        <w:rPr>
          <w:rFonts w:hAnsi="仿宋" w:cs="仿宋"/>
          <w:color w:val="auto"/>
          <w:sz w:val="32"/>
          <w:szCs w:val="32"/>
          <w:highlight w:val="none"/>
        </w:rPr>
        <w:t>有效应对极端天</w:t>
      </w:r>
      <w:r>
        <w:rPr>
          <w:rFonts w:hint="eastAsia" w:hAnsi="仿宋" w:cs="仿宋"/>
          <w:color w:val="auto"/>
          <w:sz w:val="32"/>
          <w:szCs w:val="32"/>
          <w:highlight w:val="none"/>
        </w:rPr>
        <w:t>气</w:t>
      </w:r>
      <w:r>
        <w:rPr>
          <w:rFonts w:hAnsi="仿宋" w:cs="仿宋"/>
          <w:color w:val="auto"/>
          <w:sz w:val="32"/>
          <w:szCs w:val="32"/>
          <w:highlight w:val="none"/>
        </w:rPr>
        <w:t>，保障城市排水安全。</w:t>
      </w:r>
    </w:p>
    <w:p w14:paraId="1D32F592">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）强化工程管理</w:t>
      </w:r>
    </w:p>
    <w:p w14:paraId="22C55066">
      <w:pPr>
        <w:pStyle w:val="3"/>
        <w:keepNext w:val="0"/>
        <w:keepLines w:val="0"/>
        <w:pageBreakBefore w:val="0"/>
        <w:kinsoku/>
        <w:overflowPunct/>
        <w:topLinePunct w:val="0"/>
        <w:bidi w:val="0"/>
        <w:spacing w:line="600" w:lineRule="exact"/>
        <w:ind w:firstLine="640" w:firstLineChars="200"/>
        <w:jc w:val="both"/>
        <w:textAlignment w:val="auto"/>
        <w:rPr>
          <w:rFonts w:hAnsi="仿宋" w:cs="仿宋"/>
          <w:color w:val="auto"/>
          <w:sz w:val="32"/>
          <w:szCs w:val="32"/>
          <w:highlight w:val="none"/>
        </w:rPr>
      </w:pPr>
      <w:r>
        <w:rPr>
          <w:rFonts w:hint="eastAsia" w:hAnsi="仿宋" w:cs="仿宋"/>
          <w:color w:val="auto"/>
          <w:sz w:val="32"/>
          <w:szCs w:val="32"/>
          <w:highlight w:val="none"/>
        </w:rPr>
        <w:t>进一步强化非防洪工程项目涉河、涉蓄滞洪区有效管理。深入开展汛前防汛检查，汛前对河道、蓄滞洪区、涵闸、泵站等水利工程进行检查，确保河道、蓄滞洪区的功能正常发挥。组织开展蓄滞洪区居民财产登记核查，修订完善蓄滞洪区人口转移安置预案、行洪河道防汛预案、超标洪水防御预案、二级河道防汛预案，加强行洪河道及蓄滞洪区日常管理和应急管理，保证河道、蓄滞洪区及时安全有效运用。强化工程联合调度，实施抗旱水源调配，保障防汛安全和农业用水需求。</w:t>
      </w:r>
    </w:p>
    <w:p w14:paraId="5FAF4764">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r>
        <w:rPr>
          <w:rFonts w:hint="eastAsia" w:ascii="Times New Roman" w:hAnsi="Times New Roman" w:eastAsia="黑体" w:cs="Times New Roman"/>
          <w:bCs/>
          <w:kern w:val="2"/>
          <w:sz w:val="32"/>
          <w:szCs w:val="32"/>
          <w:highlight w:val="none"/>
          <w:lang w:eastAsia="zh-CN" w:bidi="ar-SA"/>
        </w:rPr>
        <w:t>第三节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强化水生态环境监管</w:t>
      </w:r>
      <w:bookmarkEnd w:id="13"/>
    </w:p>
    <w:p w14:paraId="054D1FC0">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“十四五”期间，水生态环境监管主要以河（湖）长制工作为主线，充分发挥河（湖）长制制度优势，建立治理、管理、保护三位一体的河湖管护体系，统筹各方力量，推动全区水环境质量持续改善。</w:t>
      </w:r>
    </w:p>
    <w:p w14:paraId="43EF657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一、健全河（湖）长制机制</w:t>
      </w:r>
    </w:p>
    <w:p w14:paraId="3DFA530C">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rPr>
      </w:pP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val="en-US"/>
        </w:rPr>
        <w:t>压实河（湖）长职责</w:t>
      </w:r>
    </w:p>
    <w:p w14:paraId="2EFC0AA7">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sz w:val="32"/>
          <w:szCs w:val="32"/>
          <w:highlight w:val="none"/>
        </w:rPr>
      </w:pPr>
      <w:r>
        <w:rPr>
          <w:rFonts w:hAnsi="仿宋" w:cs="仿宋"/>
          <w:bCs/>
          <w:kern w:val="2"/>
          <w:sz w:val="32"/>
          <w:szCs w:val="32"/>
          <w:highlight w:val="none"/>
          <w:lang w:val="en-US" w:bidi="ar-SA"/>
        </w:rPr>
        <w:t>坚持依法监管、依法履职，全面落实双总河（湖）长，制定河（湖）长制工作规范，明确河（湖）长制工作标准、职责及各项工作流程；深入推进各级河（湖）长常态化培训，提高履职能力。充分发挥河（湖）长党政领导作用，健全河</w:t>
      </w:r>
      <w:r>
        <w:rPr>
          <w:rFonts w:hint="eastAsia" w:hAnsi="仿宋" w:cs="仿宋"/>
          <w:bCs/>
          <w:kern w:val="2"/>
          <w:sz w:val="32"/>
          <w:szCs w:val="32"/>
          <w:highlight w:val="none"/>
          <w:lang w:val="en-US" w:bidi="ar-SA"/>
        </w:rPr>
        <w:t>（</w:t>
      </w:r>
      <w:r>
        <w:rPr>
          <w:rFonts w:hAnsi="仿宋" w:cs="仿宋"/>
          <w:bCs/>
          <w:kern w:val="2"/>
          <w:sz w:val="32"/>
          <w:szCs w:val="32"/>
          <w:highlight w:val="none"/>
          <w:lang w:val="en-US" w:bidi="ar-SA"/>
        </w:rPr>
        <w:t>湖</w:t>
      </w:r>
      <w:r>
        <w:rPr>
          <w:rFonts w:hint="eastAsia" w:hAnsi="仿宋" w:cs="仿宋"/>
          <w:bCs/>
          <w:kern w:val="2"/>
          <w:sz w:val="32"/>
          <w:szCs w:val="32"/>
          <w:highlight w:val="none"/>
          <w:lang w:val="en-US" w:bidi="ar-SA"/>
        </w:rPr>
        <w:t>）</w:t>
      </w:r>
      <w:r>
        <w:rPr>
          <w:rFonts w:hAnsi="仿宋" w:cs="仿宋"/>
          <w:bCs/>
          <w:kern w:val="2"/>
          <w:sz w:val="32"/>
          <w:szCs w:val="32"/>
          <w:highlight w:val="none"/>
          <w:lang w:val="en-US" w:bidi="ar-SA"/>
        </w:rPr>
        <w:t>长制</w:t>
      </w:r>
      <w:r>
        <w:rPr>
          <w:rFonts w:hint="eastAsia" w:hAnsi="仿宋" w:cs="仿宋"/>
          <w:bCs/>
          <w:kern w:val="2"/>
          <w:sz w:val="32"/>
          <w:szCs w:val="32"/>
          <w:highlight w:val="none"/>
          <w:lang w:val="en-US" w:bidi="ar-SA"/>
        </w:rPr>
        <w:t>“</w:t>
      </w:r>
      <w:r>
        <w:rPr>
          <w:rFonts w:hAnsi="仿宋" w:cs="仿宋"/>
          <w:bCs/>
          <w:kern w:val="2"/>
          <w:sz w:val="32"/>
          <w:szCs w:val="32"/>
          <w:highlight w:val="none"/>
          <w:lang w:val="en-US" w:bidi="ar-SA"/>
        </w:rPr>
        <w:t>河长吹哨、部门报</w:t>
      </w:r>
      <w:r>
        <w:rPr>
          <w:rFonts w:hint="eastAsia" w:hAnsi="仿宋" w:cs="仿宋"/>
          <w:bCs/>
          <w:kern w:val="2"/>
          <w:sz w:val="32"/>
          <w:szCs w:val="32"/>
          <w:highlight w:val="none"/>
          <w:lang w:val="en-US" w:bidi="ar-SA"/>
        </w:rPr>
        <w:t>到”</w:t>
      </w:r>
      <w:r>
        <w:rPr>
          <w:rFonts w:hAnsi="仿宋" w:cs="仿宋"/>
          <w:bCs/>
          <w:kern w:val="2"/>
          <w:sz w:val="32"/>
          <w:szCs w:val="32"/>
          <w:highlight w:val="none"/>
          <w:lang w:val="en-US" w:bidi="ar-SA"/>
        </w:rPr>
        <w:t>、河</w:t>
      </w:r>
      <w:r>
        <w:rPr>
          <w:rFonts w:hint="eastAsia" w:hAnsi="仿宋" w:cs="仿宋"/>
          <w:bCs/>
          <w:kern w:val="2"/>
          <w:sz w:val="32"/>
          <w:szCs w:val="32"/>
          <w:highlight w:val="none"/>
          <w:lang w:val="en-US" w:bidi="ar-SA"/>
        </w:rPr>
        <w:t>（</w:t>
      </w:r>
      <w:r>
        <w:rPr>
          <w:rFonts w:hAnsi="仿宋" w:cs="仿宋"/>
          <w:bCs/>
          <w:kern w:val="2"/>
          <w:sz w:val="32"/>
          <w:szCs w:val="32"/>
          <w:highlight w:val="none"/>
          <w:lang w:val="en-US" w:bidi="ar-SA"/>
        </w:rPr>
        <w:t>湖</w:t>
      </w:r>
      <w:r>
        <w:rPr>
          <w:rFonts w:hint="eastAsia" w:hAnsi="仿宋" w:cs="仿宋"/>
          <w:bCs/>
          <w:kern w:val="2"/>
          <w:sz w:val="32"/>
          <w:szCs w:val="32"/>
          <w:highlight w:val="none"/>
          <w:lang w:val="en-US" w:bidi="ar-SA"/>
        </w:rPr>
        <w:t>）</w:t>
      </w:r>
      <w:r>
        <w:rPr>
          <w:rFonts w:hAnsi="仿宋" w:cs="仿宋"/>
          <w:bCs/>
          <w:kern w:val="2"/>
          <w:sz w:val="32"/>
          <w:szCs w:val="32"/>
          <w:highlight w:val="none"/>
          <w:lang w:val="en-US" w:bidi="ar-SA"/>
        </w:rPr>
        <w:t>长示范、协调联动等机制。</w:t>
      </w:r>
    </w:p>
    <w:p w14:paraId="4954723E">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val="en-US"/>
        </w:rPr>
      </w:pP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val="en-US"/>
        </w:rPr>
        <w:t>加大考核工作力度</w:t>
      </w:r>
    </w:p>
    <w:p w14:paraId="06E413D9">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int="eastAsia" w:hAnsi="仿宋" w:cs="仿宋"/>
          <w:bCs/>
          <w:kern w:val="2"/>
          <w:sz w:val="32"/>
          <w:szCs w:val="32"/>
          <w:highlight w:val="none"/>
          <w:lang w:val="en-US" w:bidi="ar-SA"/>
        </w:rPr>
        <w:t>推动考核任务指标化，重新分解一二级河道水质考核断面，加大河湖水质在考核中的占比，推动各级河（湖）长履职尽责，提升全区水环境质量。把河（湖）长发现问题解决问题作为履职的重点，进行通报和排名。整改落实责任化</w:t>
      </w:r>
      <w:r>
        <w:rPr>
          <w:rFonts w:hint="eastAsia" w:hAnsi="仿宋" w:cs="仿宋"/>
          <w:bCs/>
          <w:kern w:val="2"/>
          <w:sz w:val="32"/>
          <w:szCs w:val="32"/>
          <w:highlight w:val="none"/>
          <w:lang w:val="en-US" w:eastAsia="zh-CN" w:bidi="ar-SA"/>
        </w:rPr>
        <w:t>，</w:t>
      </w:r>
      <w:r>
        <w:rPr>
          <w:rFonts w:hint="eastAsia" w:hAnsi="仿宋" w:cs="仿宋"/>
          <w:bCs/>
          <w:kern w:val="2"/>
          <w:sz w:val="32"/>
          <w:szCs w:val="32"/>
          <w:highlight w:val="none"/>
          <w:lang w:val="en-US" w:bidi="ar-SA"/>
        </w:rPr>
        <w:t>切实加大问责力度，倒逼河（湖）长履职尽责。</w:t>
      </w:r>
    </w:p>
    <w:p w14:paraId="703BC7F8">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bCs/>
          <w:kern w:val="2"/>
          <w:sz w:val="32"/>
          <w:szCs w:val="32"/>
          <w:highlight w:val="none"/>
          <w:lang w:val="en-US" w:bidi="ar-SA"/>
        </w:rPr>
      </w:pPr>
      <w:r>
        <w:rPr>
          <w:rFonts w:hint="eastAsia" w:ascii="楷体_GB2312" w:hAnsi="楷体_GB2312" w:eastAsia="楷体_GB2312" w:cs="楷体_GB2312"/>
          <w:bCs/>
          <w:kern w:val="2"/>
          <w:sz w:val="32"/>
          <w:szCs w:val="32"/>
          <w:highlight w:val="none"/>
          <w:lang w:val="en-US" w:eastAsia="zh-CN" w:bidi="ar-SA"/>
        </w:rPr>
        <w:t>（三）</w:t>
      </w:r>
      <w:r>
        <w:rPr>
          <w:rFonts w:hint="eastAsia" w:ascii="楷体_GB2312" w:hAnsi="楷体_GB2312" w:eastAsia="楷体_GB2312" w:cs="楷体_GB2312"/>
          <w:bCs/>
          <w:kern w:val="2"/>
          <w:sz w:val="32"/>
          <w:szCs w:val="32"/>
          <w:highlight w:val="none"/>
          <w:lang w:val="en-US" w:bidi="ar-SA"/>
        </w:rPr>
        <w:t>完善社会监督和公众参与机制</w:t>
      </w:r>
    </w:p>
    <w:p w14:paraId="2C66492D">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int="eastAsia" w:hAnsi="仿宋" w:cs="仿宋"/>
          <w:bCs/>
          <w:kern w:val="2"/>
          <w:sz w:val="32"/>
          <w:szCs w:val="32"/>
          <w:highlight w:val="none"/>
          <w:lang w:val="en-US" w:bidi="ar-SA"/>
        </w:rPr>
        <w:t>充分调动社会力量护河治河，聘请“民间河（湖）长”、社会义务监督员等参与河湖监督，发挥好河（湖）长制社会监督员和志愿者作用，营造全社会共同参与河湖管护的氛围。</w:t>
      </w:r>
    </w:p>
    <w:p w14:paraId="1C61B2F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二、提升河湖保护监管水平</w:t>
      </w:r>
    </w:p>
    <w:p w14:paraId="6F5DE75F">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bCs/>
          <w:kern w:val="2"/>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（一）涉水空间规范化管控</w:t>
      </w:r>
    </w:p>
    <w:p w14:paraId="7B5A68E3">
      <w:pPr>
        <w:pStyle w:val="3"/>
        <w:keepNext w:val="0"/>
        <w:keepLines w:val="0"/>
        <w:pageBreakBefore w:val="0"/>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int="eastAsia" w:hAnsi="仿宋" w:cs="仿宋"/>
          <w:sz w:val="32"/>
          <w:szCs w:val="32"/>
          <w:highlight w:val="none"/>
        </w:rPr>
        <w:t>强化河湖水域岸线管理保护。在已完成的区管河湖蓝线划定和界桩设立工作基础上，加大巡查力度，确保岸线管理到位。继续推动河湖“清四乱”工作常态化规范化。</w:t>
      </w:r>
    </w:p>
    <w:p w14:paraId="5342DC04">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bCs/>
          <w:kern w:val="2"/>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（二）强化河湖生态水量监管</w:t>
      </w:r>
    </w:p>
    <w:p w14:paraId="18A37B3E">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Ansi="仿宋" w:cs="仿宋"/>
          <w:bCs/>
          <w:kern w:val="2"/>
          <w:sz w:val="32"/>
          <w:szCs w:val="32"/>
          <w:highlight w:val="none"/>
          <w:lang w:val="en-US" w:bidi="ar-SA"/>
        </w:rPr>
        <w:t>明确重要河湖生态水量（水位）目标，强化生态调水补水有序有效的同时，加强河湖生态水量（水位）管控和考核，实现在线监测与实时管理，加强保水护水，严格执行河湖取排水备案统计制度。</w:t>
      </w:r>
    </w:p>
    <w:p w14:paraId="2D403EDB">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bCs/>
          <w:kern w:val="2"/>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（三）科技助力河湖巡查管护</w:t>
      </w:r>
    </w:p>
    <w:p w14:paraId="294356A0">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Ansi="仿宋" w:cs="仿宋"/>
          <w:bCs/>
          <w:kern w:val="2"/>
          <w:sz w:val="32"/>
          <w:szCs w:val="32"/>
          <w:highlight w:val="none"/>
          <w:lang w:val="en-US" w:bidi="ar-SA"/>
        </w:rPr>
        <w:t>利用先进智能巡查设备，及时发现隐蔽问题，提高河湖日常巡查和河（湖）长制暗查暗访效率。采用政府购买服务的方式，利用卫星遥感技术对河湖污染、水体黑臭、岸线管理等定期对比，实现河湖全方位监管。推动重点河湖视频监控建设，及时发现并制止违规违法行为。</w:t>
      </w:r>
    </w:p>
    <w:p w14:paraId="543BB152">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bCs/>
          <w:kern w:val="2"/>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（四）水质监测与数据共享建设</w:t>
      </w:r>
    </w:p>
    <w:p w14:paraId="55C6A705">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Ansi="仿宋" w:cs="仿宋"/>
          <w:bCs/>
          <w:kern w:val="2"/>
          <w:sz w:val="32"/>
          <w:szCs w:val="32"/>
          <w:highlight w:val="none"/>
          <w:lang w:val="en-US" w:bidi="ar-SA"/>
        </w:rPr>
        <w:t>加强水质监测网络建设，实现重要河湖断面、污水处理厂等水质实时在线监测，及时预警水质恶化情况。推动水务、规划资源、生态环境、城市管理、农业农村等多部门涉水数据共享，为排查问题源头线索及河（湖）长指挥决策提供技术支撑。</w:t>
      </w:r>
    </w:p>
    <w:p w14:paraId="68B4A1D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三、提高水污染防治能力</w:t>
      </w:r>
    </w:p>
    <w:p w14:paraId="36319C03">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bCs/>
          <w:kern w:val="2"/>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（一）严格工业污水排放监管</w:t>
      </w:r>
    </w:p>
    <w:p w14:paraId="510D575D">
      <w:pPr>
        <w:pStyle w:val="3"/>
        <w:keepNext w:val="0"/>
        <w:keepLines w:val="0"/>
        <w:pageBreakBefore w:val="0"/>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Ansi="仿宋" w:cs="仿宋"/>
          <w:bCs/>
          <w:kern w:val="2"/>
          <w:sz w:val="32"/>
          <w:szCs w:val="32"/>
          <w:highlight w:val="none"/>
          <w:lang w:val="en-US" w:bidi="ar-SA"/>
        </w:rPr>
        <w:t>停止审批工业园区外新建、改建、扩建新增水污染物的工业项目，持续推进现有工业企业污水排放规范治理，实现所有工业园区污水全部收集处理、达标排放；按照有关规定要求，强化工业集聚区水污染规范化整治及其水污染治理在线监控和智能化监管，实现所有集聚区污水全部收集处理、达标排放。</w:t>
      </w:r>
    </w:p>
    <w:p w14:paraId="6313353A">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bCs/>
          <w:kern w:val="2"/>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（二）加大农业农村水污染防治</w:t>
      </w:r>
    </w:p>
    <w:p w14:paraId="6C445693">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Ansi="仿宋" w:cs="仿宋"/>
          <w:bCs/>
          <w:color w:val="auto"/>
          <w:kern w:val="2"/>
          <w:sz w:val="32"/>
          <w:szCs w:val="32"/>
          <w:highlight w:val="none"/>
          <w:lang w:val="en-US" w:bidi="ar-SA"/>
        </w:rPr>
        <w:t>加强养殖业水污染防治，强化已治理的规模化养殖场监督执法，推进新建畜禽、水产等养殖场规模化、标准化、生态化建设，提高养殖场污水处理及废物利用。</w:t>
      </w:r>
      <w:r>
        <w:rPr>
          <w:rFonts w:hint="eastAsia" w:hAnsi="仿宋" w:cs="仿宋"/>
          <w:bCs/>
          <w:color w:val="auto"/>
          <w:kern w:val="2"/>
          <w:sz w:val="32"/>
          <w:szCs w:val="32"/>
          <w:highlight w:val="none"/>
          <w:lang w:val="en-US" w:bidi="ar-SA"/>
        </w:rPr>
        <w:t>实施农业面源污染防治工程</w:t>
      </w:r>
      <w:r>
        <w:rPr>
          <w:rFonts w:hAnsi="仿宋" w:cs="仿宋"/>
          <w:bCs/>
          <w:color w:val="auto"/>
          <w:kern w:val="2"/>
          <w:sz w:val="32"/>
          <w:szCs w:val="32"/>
          <w:highlight w:val="none"/>
          <w:lang w:val="en-US" w:bidi="ar-SA"/>
        </w:rPr>
        <w:t>。继续</w:t>
      </w:r>
      <w:r>
        <w:rPr>
          <w:rFonts w:hAnsi="仿宋" w:cs="仿宋"/>
          <w:bCs/>
          <w:kern w:val="2"/>
          <w:sz w:val="32"/>
          <w:szCs w:val="32"/>
          <w:highlight w:val="none"/>
          <w:lang w:val="en-US" w:bidi="ar-SA"/>
        </w:rPr>
        <w:t>巩固黑臭水体</w:t>
      </w:r>
      <w:r>
        <w:rPr>
          <w:rFonts w:hint="eastAsia" w:hAnsi="仿宋" w:cs="仿宋"/>
          <w:bCs/>
          <w:kern w:val="2"/>
          <w:sz w:val="32"/>
          <w:szCs w:val="32"/>
          <w:highlight w:val="none"/>
          <w:lang w:val="en-US" w:bidi="ar-SA"/>
        </w:rPr>
        <w:t>、</w:t>
      </w:r>
      <w:r>
        <w:rPr>
          <w:rFonts w:hint="eastAsia" w:hAnsi="仿宋" w:cs="仿宋"/>
          <w:sz w:val="32"/>
          <w:szCs w:val="32"/>
          <w:highlight w:val="none"/>
        </w:rPr>
        <w:t>农村沟渠坑塘</w:t>
      </w:r>
      <w:r>
        <w:rPr>
          <w:rFonts w:hAnsi="仿宋" w:cs="仿宋"/>
          <w:bCs/>
          <w:kern w:val="2"/>
          <w:sz w:val="32"/>
          <w:szCs w:val="32"/>
          <w:highlight w:val="none"/>
          <w:lang w:val="en-US" w:bidi="ar-SA"/>
        </w:rPr>
        <w:t>治理成果，改善水环境质量。</w:t>
      </w:r>
    </w:p>
    <w:p w14:paraId="5ABAB479">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int="eastAsia" w:ascii="楷体_GB2312" w:hAnsi="楷体_GB2312" w:eastAsia="楷体_GB2312" w:cs="楷体_GB2312"/>
          <w:bCs/>
          <w:kern w:val="2"/>
          <w:sz w:val="32"/>
          <w:szCs w:val="32"/>
          <w:highlight w:val="none"/>
          <w:lang w:val="en-US" w:bidi="ar-SA"/>
        </w:rPr>
      </w:pPr>
      <w:r>
        <w:rPr>
          <w:rFonts w:hint="eastAsia" w:ascii="楷体_GB2312" w:hAnsi="楷体_GB2312" w:eastAsia="楷体_GB2312" w:cs="楷体_GB2312"/>
          <w:bCs/>
          <w:kern w:val="2"/>
          <w:sz w:val="32"/>
          <w:szCs w:val="32"/>
          <w:highlight w:val="none"/>
          <w:lang w:val="en-US" w:eastAsia="zh-CN" w:bidi="ar-SA"/>
        </w:rPr>
        <w:t>（三）</w:t>
      </w:r>
      <w:r>
        <w:rPr>
          <w:rFonts w:hint="eastAsia" w:ascii="楷体_GB2312" w:hAnsi="楷体_GB2312" w:eastAsia="楷体_GB2312" w:cs="楷体_GB2312"/>
          <w:bCs/>
          <w:kern w:val="2"/>
          <w:sz w:val="32"/>
          <w:szCs w:val="32"/>
          <w:highlight w:val="none"/>
          <w:lang w:val="en-US" w:bidi="ar-SA"/>
        </w:rPr>
        <w:t>强化入河排污口管控</w:t>
      </w:r>
    </w:p>
    <w:p w14:paraId="2C229754">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bCs/>
          <w:kern w:val="2"/>
          <w:sz w:val="32"/>
          <w:szCs w:val="32"/>
          <w:highlight w:val="none"/>
          <w:lang w:val="en-US" w:bidi="ar-SA"/>
        </w:rPr>
      </w:pPr>
      <w:r>
        <w:rPr>
          <w:rFonts w:hAnsi="仿宋" w:cs="仿宋"/>
          <w:bCs/>
          <w:kern w:val="2"/>
          <w:sz w:val="32"/>
          <w:szCs w:val="32"/>
          <w:highlight w:val="none"/>
          <w:lang w:val="en-US" w:bidi="ar-SA"/>
        </w:rPr>
        <w:t>严格控制新建、扩建入河排污口，强化入河排污口论证和审批，禁止在饮用水水源保护区内设置入河排污口。加强已有入河排污口监督管理，采用定期和不定期结合方式监测水质，加大超标排放行为惩罚力度，有效控制入河污染物。</w:t>
      </w:r>
    </w:p>
    <w:p w14:paraId="48B7F02B">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bookmarkStart w:id="15" w:name="_Toc66804166"/>
      <w:r>
        <w:rPr>
          <w:rFonts w:hint="eastAsia" w:ascii="Times New Roman" w:hAnsi="Times New Roman" w:eastAsia="黑体" w:cs="Times New Roman"/>
          <w:bCs/>
          <w:kern w:val="2"/>
          <w:sz w:val="32"/>
          <w:szCs w:val="32"/>
          <w:highlight w:val="none"/>
          <w:lang w:eastAsia="zh-CN" w:bidi="ar-SA"/>
        </w:rPr>
        <w:t>第四节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强化水务工程建设</w:t>
      </w:r>
      <w:r>
        <w:rPr>
          <w:rFonts w:hint="eastAsia" w:ascii="Times New Roman" w:hAnsi="Times New Roman" w:eastAsia="黑体" w:cs="Times New Roman"/>
          <w:bCs/>
          <w:kern w:val="2"/>
          <w:sz w:val="32"/>
          <w:szCs w:val="32"/>
          <w:highlight w:val="none"/>
          <w:lang w:eastAsia="zh-CN" w:bidi="ar-SA"/>
        </w:rPr>
        <w:t>和</w:t>
      </w:r>
      <w:r>
        <w:rPr>
          <w:rFonts w:hint="eastAsia" w:ascii="Times New Roman" w:hAnsi="Times New Roman" w:eastAsia="黑体" w:cs="Times New Roman"/>
          <w:bCs/>
          <w:kern w:val="2"/>
          <w:sz w:val="32"/>
          <w:szCs w:val="32"/>
          <w:highlight w:val="none"/>
          <w:lang w:bidi="ar-SA"/>
        </w:rPr>
        <w:t>运行监管</w:t>
      </w:r>
      <w:bookmarkEnd w:id="15"/>
    </w:p>
    <w:p w14:paraId="3BF72B5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一、提高建设管理能力</w:t>
      </w:r>
    </w:p>
    <w:p w14:paraId="1989315C">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创新建设管理机制</w:t>
      </w:r>
    </w:p>
    <w:p w14:paraId="74B857C8">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建立水务工程建设信用体系，全面实行信用监管，不断完善守信激励失信惩戒机制，更好发挥诚信体系市场刚性约束作用。创新建设管理模式，探索以竞争方式选定项目法人，积极推行工程总承包（EPC）方式，加强项目全过程管理与控制。强化项目法人履</w:t>
      </w:r>
      <w:r>
        <w:rPr>
          <w:rFonts w:hint="eastAsia" w:hAnsi="仿宋" w:cs="仿宋"/>
          <w:sz w:val="32"/>
          <w:szCs w:val="32"/>
          <w:highlight w:val="none"/>
          <w:lang w:eastAsia="zh-CN"/>
        </w:rPr>
        <w:t>职</w:t>
      </w:r>
      <w:r>
        <w:rPr>
          <w:rFonts w:hint="eastAsia" w:hAnsi="仿宋" w:cs="仿宋"/>
          <w:sz w:val="32"/>
          <w:szCs w:val="32"/>
          <w:highlight w:val="none"/>
        </w:rPr>
        <w:t>监管，推行项目代建制，倒逼项目法人、监理单位提升履职尽责能力，加强项目合同管理，确保程序合规，杜绝转包</w:t>
      </w:r>
      <w:r>
        <w:rPr>
          <w:rFonts w:hint="eastAsia" w:hAnsi="仿宋" w:cs="仿宋"/>
          <w:sz w:val="32"/>
          <w:szCs w:val="32"/>
          <w:highlight w:val="none"/>
          <w:lang w:eastAsia="zh-CN"/>
        </w:rPr>
        <w:t>、违法</w:t>
      </w:r>
      <w:r>
        <w:rPr>
          <w:rFonts w:hint="eastAsia" w:hAnsi="仿宋" w:cs="仿宋"/>
          <w:sz w:val="32"/>
          <w:szCs w:val="32"/>
          <w:highlight w:val="none"/>
        </w:rPr>
        <w:t>分包等行为。</w:t>
      </w:r>
    </w:p>
    <w:p w14:paraId="6DF5234A">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（二）提升工程建设质量安全</w:t>
      </w:r>
    </w:p>
    <w:p w14:paraId="39D56963">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推广建筑信息模型（BIM）技术在水务工程全生命期应用，压实现场质量安全保证体系</w:t>
      </w:r>
      <w:r>
        <w:rPr>
          <w:rFonts w:hint="eastAsia" w:hAnsi="仿宋" w:cs="仿宋"/>
          <w:sz w:val="32"/>
          <w:szCs w:val="32"/>
          <w:highlight w:val="none"/>
          <w:lang w:eastAsia="zh-CN"/>
        </w:rPr>
        <w:t>。</w:t>
      </w:r>
      <w:r>
        <w:rPr>
          <w:rFonts w:hint="eastAsia" w:hAnsi="仿宋" w:cs="仿宋"/>
          <w:sz w:val="32"/>
          <w:szCs w:val="32"/>
          <w:highlight w:val="none"/>
        </w:rPr>
        <w:t>推行地下管道工程验收采用视频内窥检查等方法</w:t>
      </w:r>
      <w:r>
        <w:rPr>
          <w:rFonts w:hint="eastAsia" w:hAnsi="仿宋" w:cs="仿宋"/>
          <w:sz w:val="32"/>
          <w:szCs w:val="32"/>
          <w:highlight w:val="none"/>
          <w:lang w:eastAsia="zh-CN"/>
        </w:rPr>
        <w:t>。</w:t>
      </w:r>
      <w:r>
        <w:rPr>
          <w:rFonts w:hint="eastAsia" w:hAnsi="仿宋" w:cs="仿宋"/>
          <w:sz w:val="32"/>
          <w:szCs w:val="32"/>
          <w:highlight w:val="none"/>
        </w:rPr>
        <w:t>强化行业质量监督，加强工程质量监督队伍建设，公开质量投诉举报信息平台，接受社会各界对工程质量的监督。严格落实工程建设安全生产管理规定，执行安全设施与主体工程三同时制度。</w:t>
      </w:r>
    </w:p>
    <w:p w14:paraId="60506C13">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（三）严格建设资金监管</w:t>
      </w:r>
    </w:p>
    <w:p w14:paraId="78EBC3AA">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对重点项目、重点单位加大专项检查力度，动态跟踪掌握建设资金拨付、使用情况，严格工程结算和竣工决算</w:t>
      </w:r>
      <w:r>
        <w:rPr>
          <w:rFonts w:hint="eastAsia" w:hAnsi="仿宋" w:cs="仿宋"/>
          <w:sz w:val="32"/>
          <w:szCs w:val="32"/>
          <w:highlight w:val="none"/>
          <w:lang w:eastAsia="zh-CN"/>
        </w:rPr>
        <w:t>审核、审计</w:t>
      </w:r>
      <w:r>
        <w:rPr>
          <w:rFonts w:hint="eastAsia" w:hAnsi="仿宋" w:cs="仿宋"/>
          <w:sz w:val="32"/>
          <w:szCs w:val="32"/>
          <w:highlight w:val="none"/>
        </w:rPr>
        <w:t>，全面实施建设项目绩效评价。健全建设单位内控机制，规范资金使用，加强投资控制，保障建设资金投资效益。</w:t>
      </w:r>
    </w:p>
    <w:p w14:paraId="510BB20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二、提升运行管理水平</w:t>
      </w:r>
    </w:p>
    <w:p w14:paraId="56EF9E31">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hAnsi="仿宋" w:cs="仿宋"/>
          <w:sz w:val="32"/>
          <w:szCs w:val="32"/>
          <w:highlight w:val="none"/>
          <w:lang w:eastAsia="zh-CN"/>
        </w:rPr>
        <w:t>（一）</w:t>
      </w:r>
      <w:r>
        <w:rPr>
          <w:rFonts w:hint="eastAsia" w:ascii="楷体_GB2312" w:hAnsi="楷体_GB2312" w:eastAsia="楷体_GB2312" w:cs="楷体_GB2312"/>
          <w:sz w:val="32"/>
          <w:szCs w:val="32"/>
          <w:highlight w:val="none"/>
          <w:lang w:eastAsia="zh-CN"/>
        </w:rPr>
        <w:t>完善管理机制制度</w:t>
      </w:r>
    </w:p>
    <w:p w14:paraId="0AD6973C">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以长期良性运行为目标，健全工程</w:t>
      </w:r>
      <w:r>
        <w:rPr>
          <w:rFonts w:hint="eastAsia" w:hAnsi="仿宋" w:cs="仿宋"/>
          <w:sz w:val="32"/>
          <w:szCs w:val="32"/>
          <w:highlight w:val="none"/>
          <w:lang w:eastAsia="zh-CN"/>
        </w:rPr>
        <w:t>维修</w:t>
      </w:r>
      <w:r>
        <w:rPr>
          <w:rFonts w:hint="eastAsia" w:hAnsi="仿宋" w:cs="仿宋"/>
          <w:sz w:val="32"/>
          <w:szCs w:val="32"/>
          <w:highlight w:val="none"/>
        </w:rPr>
        <w:t>养护投入机制，科学合理确定维修养护定额标准，逐步落实维修养护经费。推动专业化、社会化的工程运行管理模式，提升管护标准和效果。进一步规范管理制度，明确运行维护职责，细化管理环节，规范操作规程，形成流程化、闭合化、可追溯的管理模式。</w:t>
      </w:r>
    </w:p>
    <w:p w14:paraId="5182EB6F">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（二）夯实设施资料基础</w:t>
      </w:r>
    </w:p>
    <w:p w14:paraId="6481FE30">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及时更新堤防水闸基础信息数据库数据并进行现场核查，确保数据真实准确。强化底线思维，开展风险隐患排查和评估，制定应急处置预案，做到设施运行状态底数清、情况明。</w:t>
      </w:r>
    </w:p>
    <w:p w14:paraId="384197D4">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（三）提升达标管理水平</w:t>
      </w:r>
    </w:p>
    <w:p w14:paraId="1A884FB4">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以标准化、精细化为突破口，持续推进达标创建工作，规范管理行为、改善设施面貌、提升管理效能。完善水工程维修养护规程，推动水工程标准化和网格化管理。</w:t>
      </w:r>
    </w:p>
    <w:p w14:paraId="7B6CA6BF">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（四）提高人才队伍技能</w:t>
      </w:r>
    </w:p>
    <w:p w14:paraId="120CB944">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采取专家领导大讲堂、基层大培训等形式，将管理与技术、业务与政策、操作与理论相结合，将培训工作向基础性、业务性、技能性、现代性深入，提升实际操作能力、故障分析处理能力和专业化管理水平。</w:t>
      </w:r>
    </w:p>
    <w:p w14:paraId="59013060">
      <w:pPr>
        <w:pStyle w:val="3"/>
        <w:keepNext w:val="0"/>
        <w:keepLines w:val="0"/>
        <w:pageBreakBefore w:val="0"/>
        <w:kinsoku/>
        <w:overflowPunct/>
        <w:topLinePunct w:val="0"/>
        <w:bidi w:val="0"/>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（五）科技助力现代化管理</w:t>
      </w:r>
    </w:p>
    <w:p w14:paraId="14E3D8E3">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以水利设施安全、规范、可靠运行为目标，加强识别和预警工程安全风险，推动水利设施安全监测和安全鉴定，层层压实防汛和设施安全管理责任。</w:t>
      </w:r>
    </w:p>
    <w:p w14:paraId="77AAFCA5">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Ansi="仿宋" w:cs="仿宋"/>
          <w:sz w:val="32"/>
          <w:szCs w:val="32"/>
          <w:highlight w:val="none"/>
        </w:rPr>
        <w:br w:type="page"/>
      </w:r>
    </w:p>
    <w:p w14:paraId="3FFA2EF3">
      <w:pPr>
        <w:keepNext w:val="0"/>
        <w:keepLines w:val="0"/>
        <w:pageBreakBefore w:val="0"/>
        <w:widowControl w:val="0"/>
        <w:numPr>
          <w:ilvl w:val="0"/>
          <w:numId w:val="1"/>
        </w:numPr>
        <w:kinsoku/>
        <w:wordWrap/>
        <w:overflowPunct/>
        <w:topLinePunct w:val="0"/>
        <w:autoSpaceDE/>
        <w:autoSpaceDN/>
        <w:bidi w:val="0"/>
        <w:adjustRightInd/>
        <w:snapToGrid/>
        <w:spacing w:before="120" w:beforeLines="50" w:after="120" w:afterLines="50" w:line="600" w:lineRule="exact"/>
        <w:jc w:val="center"/>
        <w:textAlignment w:val="auto"/>
        <w:outlineLvl w:val="0"/>
        <w:rPr>
          <w:rFonts w:ascii="方正小标宋简体" w:hAnsi="方正小标宋简体" w:eastAsia="方正小标宋简体" w:cs="方正小标宋简体"/>
          <w:bCs/>
          <w:kern w:val="2"/>
          <w:sz w:val="36"/>
          <w:szCs w:val="36"/>
          <w:highlight w:val="none"/>
          <w:lang w:bidi="ar-SA"/>
        </w:rPr>
      </w:pPr>
      <w:bookmarkStart w:id="16" w:name="_Toc66804169"/>
      <w:r>
        <w:rPr>
          <w:rFonts w:hint="eastAsia" w:ascii="方正小标宋简体" w:hAnsi="方正小标宋简体" w:eastAsia="方正小标宋简体" w:cs="方正小标宋简体"/>
          <w:bCs/>
          <w:kern w:val="2"/>
          <w:sz w:val="36"/>
          <w:szCs w:val="36"/>
          <w:highlight w:val="none"/>
          <w:lang w:val="en-US" w:eastAsia="zh-CN" w:bidi="ar-SA"/>
        </w:rPr>
        <w:t xml:space="preserve">  </w:t>
      </w:r>
      <w:r>
        <w:rPr>
          <w:rFonts w:hint="eastAsia" w:ascii="方正小标宋简体" w:hAnsi="方正小标宋简体" w:eastAsia="方正小标宋简体" w:cs="方正小标宋简体"/>
          <w:bCs/>
          <w:kern w:val="2"/>
          <w:sz w:val="36"/>
          <w:szCs w:val="36"/>
          <w:highlight w:val="none"/>
          <w:lang w:bidi="ar-SA"/>
        </w:rPr>
        <w:t>改革促发展主要任务</w:t>
      </w:r>
      <w:bookmarkEnd w:id="16"/>
    </w:p>
    <w:p w14:paraId="1EB4FE28">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充分发挥市场在资源配置中的决定性作用，更好发挥政府主导作用，依法治水管水，加强科技创新和人才培养，持续推进“放管服”重点改革，构建充满活力、富有效率、创新引领、法制保障的水治理制度。</w:t>
      </w:r>
    </w:p>
    <w:p w14:paraId="75E43B46">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bookmarkStart w:id="17" w:name="_Toc66804170"/>
      <w:r>
        <w:rPr>
          <w:rFonts w:hint="eastAsia" w:ascii="Times New Roman" w:hAnsi="Times New Roman" w:eastAsia="黑体" w:cs="Times New Roman"/>
          <w:bCs/>
          <w:kern w:val="2"/>
          <w:sz w:val="32"/>
          <w:szCs w:val="32"/>
          <w:highlight w:val="none"/>
          <w:lang w:eastAsia="zh-CN" w:bidi="ar-SA"/>
        </w:rPr>
        <w:t>第一节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全面依法治水</w:t>
      </w:r>
      <w:bookmarkEnd w:id="17"/>
    </w:p>
    <w:p w14:paraId="4280ED8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bookmarkStart w:id="18" w:name="_Toc66804171"/>
      <w:r>
        <w:rPr>
          <w:rFonts w:hint="eastAsia" w:ascii="黑体" w:hAnsi="黑体" w:eastAsia="黑体" w:cs="黑体"/>
          <w:sz w:val="32"/>
          <w:szCs w:val="32"/>
          <w:lang w:val="en" w:eastAsia="zh-CN"/>
        </w:rPr>
        <w:t>一、加强执法制度和能力建设</w:t>
      </w:r>
    </w:p>
    <w:p w14:paraId="6F79175E">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严格落实行政执法“三项制度”，推行水行政执法公示制度、执法全过程记录制度、重大执法决定法制审核制度，避免程序违法，提高依法行政能力。持续推进水政执法队伍执法能力建设，着力解决执法“宽松软”的问题。</w:t>
      </w:r>
    </w:p>
    <w:p w14:paraId="4CD08D5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二、加强涉水执法与监督</w:t>
      </w:r>
    </w:p>
    <w:p w14:paraId="73C820EE">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组织开展供水、排水设施、河道管理等多领域专项执法行动，多部门联合治理涉河“四乱”等问题，减少存量，遏制增量。</w:t>
      </w:r>
    </w:p>
    <w:p w14:paraId="01620AE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三、加强执法联动与衔接</w:t>
      </w:r>
    </w:p>
    <w:p w14:paraId="08A0B065">
      <w:pPr>
        <w:pStyle w:val="3"/>
        <w:keepNext w:val="0"/>
        <w:keepLines w:val="0"/>
        <w:pageBreakBefore w:val="0"/>
        <w:numPr>
          <w:ilvl w:val="0"/>
          <w:numId w:val="0"/>
        </w:numPr>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健全完善区域与区域、部门与部门联合执法机制，推进水行政执法与水务行业强监管有效衔接，完善水行政执法与刑事司法衔接机制。</w:t>
      </w:r>
    </w:p>
    <w:p w14:paraId="0BC46B03">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r>
        <w:rPr>
          <w:rFonts w:hint="eastAsia" w:ascii="Times New Roman" w:hAnsi="Times New Roman" w:eastAsia="黑体" w:cs="Times New Roman"/>
          <w:bCs/>
          <w:kern w:val="2"/>
          <w:sz w:val="32"/>
          <w:szCs w:val="32"/>
          <w:highlight w:val="none"/>
          <w:lang w:eastAsia="zh-CN" w:bidi="ar-SA"/>
        </w:rPr>
        <w:t>第二节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优化政务服务</w:t>
      </w:r>
      <w:bookmarkEnd w:id="18"/>
    </w:p>
    <w:p w14:paraId="6BEF1E20">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深化“放管服”改革，持续推进“一制三化”审批制度改革，深化承诺审批制，推进政务服务标准化、智能化、便利化。强化事中事后监管，制定承诺审批监管措施，加强对行政相对人的监督检查。贯彻落实《天津市社会信用条例》，建立健全信用监管体系，推动供水、排水、水利建设市场等不同领域建立以信用为基础的分级分类监管机制，严格落实信用分级标准、不良行为记录标准、红黑名单制度，依法依规实施“双随机、一公开”、守信激励失信惩戒等监管措施。</w:t>
      </w:r>
    </w:p>
    <w:p w14:paraId="7AC85FD9">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p>
    <w:p w14:paraId="23F6A6D2">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sectPr>
          <w:headerReference r:id="rId20" w:type="default"/>
          <w:footerReference r:id="rId21"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0" w:num="1"/>
          <w:rtlGutter w:val="0"/>
          <w:docGrid w:linePitch="299" w:charSpace="0"/>
        </w:sectPr>
      </w:pPr>
    </w:p>
    <w:p w14:paraId="6A9E18E2">
      <w:pPr>
        <w:keepNext w:val="0"/>
        <w:keepLines w:val="0"/>
        <w:pageBreakBefore w:val="0"/>
        <w:kinsoku/>
        <w:overflowPunct/>
        <w:topLinePunct w:val="0"/>
        <w:autoSpaceDE/>
        <w:autoSpaceDN/>
        <w:bidi w:val="0"/>
        <w:spacing w:before="120" w:beforeLines="50" w:after="120" w:afterLines="50" w:line="600" w:lineRule="exact"/>
        <w:jc w:val="center"/>
        <w:textAlignment w:val="auto"/>
        <w:outlineLvl w:val="0"/>
        <w:rPr>
          <w:rFonts w:ascii="方正小标宋简体" w:hAnsi="方正小标宋简体" w:eastAsia="方正小标宋简体" w:cs="方正小标宋简体"/>
          <w:bCs/>
          <w:kern w:val="2"/>
          <w:sz w:val="36"/>
          <w:szCs w:val="36"/>
          <w:highlight w:val="none"/>
          <w:lang w:bidi="ar-SA"/>
        </w:rPr>
      </w:pPr>
      <w:bookmarkStart w:id="19" w:name="_Toc66804172"/>
      <w:r>
        <w:rPr>
          <w:rFonts w:hint="eastAsia" w:ascii="方正小标宋简体" w:hAnsi="方正小标宋简体" w:eastAsia="方正小标宋简体" w:cs="方正小标宋简体"/>
          <w:bCs/>
          <w:kern w:val="2"/>
          <w:sz w:val="36"/>
          <w:szCs w:val="36"/>
          <w:highlight w:val="none"/>
          <w:lang w:bidi="ar-SA"/>
        </w:rPr>
        <w:t>第七章  “十四五”时期水务重大项目</w:t>
      </w:r>
      <w:bookmarkEnd w:id="19"/>
    </w:p>
    <w:p w14:paraId="721A9EEA">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sectPr>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docGrid w:linePitch="299" w:charSpace="0"/>
        </w:sectPr>
      </w:pPr>
      <w:r>
        <w:rPr>
          <w:rFonts w:hint="eastAsia" w:hAnsi="仿宋" w:cs="仿宋"/>
          <w:sz w:val="32"/>
          <w:szCs w:val="32"/>
          <w:highlight w:val="none"/>
        </w:rPr>
        <w:t>经梳理，本区将组织</w:t>
      </w:r>
      <w:r>
        <w:rPr>
          <w:rFonts w:hint="eastAsia" w:hAnsi="仿宋" w:cs="仿宋"/>
          <w:sz w:val="32"/>
          <w:szCs w:val="32"/>
          <w:highlight w:val="none"/>
          <w:lang w:eastAsia="zh-CN"/>
        </w:rPr>
        <w:t>或配合</w:t>
      </w:r>
      <w:r>
        <w:rPr>
          <w:rFonts w:hint="eastAsia" w:hAnsi="仿宋" w:cs="仿宋"/>
          <w:sz w:val="32"/>
          <w:szCs w:val="32"/>
          <w:highlight w:val="none"/>
        </w:rPr>
        <w:t>实施供水工程、防洪除涝减灾工程、水环境治理与水生态保护工程、水务信息化建设共</w:t>
      </w:r>
      <w:r>
        <w:rPr>
          <w:rFonts w:hint="eastAsia" w:hAnsi="仿宋" w:cs="仿宋"/>
          <w:sz w:val="32"/>
          <w:szCs w:val="32"/>
          <w:highlight w:val="none"/>
          <w:lang w:val="en-US" w:eastAsia="zh-CN"/>
        </w:rPr>
        <w:t>4</w:t>
      </w:r>
      <w:r>
        <w:rPr>
          <w:rFonts w:hint="eastAsia" w:hAnsi="仿宋" w:cs="仿宋"/>
          <w:sz w:val="32"/>
          <w:szCs w:val="32"/>
          <w:highlight w:val="none"/>
        </w:rPr>
        <w:t>个方面</w:t>
      </w:r>
      <w:r>
        <w:rPr>
          <w:rFonts w:hAnsi="仿宋" w:cs="仿宋"/>
          <w:sz w:val="32"/>
          <w:szCs w:val="32"/>
          <w:highlight w:val="none"/>
          <w:lang w:val="en-US"/>
        </w:rPr>
        <w:t>21</w:t>
      </w:r>
      <w:r>
        <w:rPr>
          <w:rFonts w:hint="eastAsia" w:hAnsi="仿宋" w:cs="仿宋"/>
          <w:sz w:val="32"/>
          <w:szCs w:val="32"/>
          <w:highlight w:val="none"/>
        </w:rPr>
        <w:t>个水务重大项目，匡算总投资</w:t>
      </w:r>
      <w:r>
        <w:rPr>
          <w:rFonts w:hAnsi="仿宋" w:cs="仿宋"/>
          <w:sz w:val="32"/>
          <w:szCs w:val="32"/>
          <w:highlight w:val="none"/>
        </w:rPr>
        <w:t>46.43</w:t>
      </w:r>
      <w:r>
        <w:rPr>
          <w:rFonts w:hint="eastAsia" w:hAnsi="仿宋" w:cs="仿宋"/>
          <w:sz w:val="32"/>
          <w:szCs w:val="32"/>
          <w:highlight w:val="none"/>
        </w:rPr>
        <w:t>亿元</w:t>
      </w:r>
      <w:r>
        <w:rPr>
          <w:rFonts w:hint="eastAsia" w:hAnsi="仿宋" w:cs="仿宋"/>
          <w:sz w:val="32"/>
          <w:szCs w:val="32"/>
          <w:highlight w:val="none"/>
          <w:lang w:eastAsia="zh-CN"/>
        </w:rPr>
        <w:t>，其中市级投资</w:t>
      </w:r>
      <w:r>
        <w:rPr>
          <w:rFonts w:hint="eastAsia" w:hAnsi="仿宋" w:cs="仿宋"/>
          <w:sz w:val="32"/>
          <w:szCs w:val="32"/>
          <w:highlight w:val="none"/>
          <w:lang w:val="en-US" w:eastAsia="zh-CN"/>
        </w:rPr>
        <w:t>23.93亿元</w:t>
      </w:r>
      <w:r>
        <w:rPr>
          <w:rFonts w:hint="eastAsia" w:hAnsi="仿宋" w:cs="仿宋"/>
          <w:sz w:val="32"/>
          <w:szCs w:val="32"/>
          <w:highlight w:val="none"/>
          <w:lang w:eastAsia="zh-CN"/>
        </w:rPr>
        <w:t>，本区投资</w:t>
      </w:r>
      <w:r>
        <w:rPr>
          <w:rFonts w:hint="eastAsia" w:hAnsi="仿宋" w:cs="仿宋"/>
          <w:sz w:val="32"/>
          <w:szCs w:val="32"/>
          <w:highlight w:val="none"/>
          <w:lang w:val="en-US" w:eastAsia="zh-CN"/>
        </w:rPr>
        <w:t>22.5亿元。</w:t>
      </w:r>
      <w:r>
        <w:rPr>
          <w:rFonts w:hint="eastAsia" w:hAnsi="仿宋" w:cs="仿宋"/>
          <w:sz w:val="32"/>
          <w:szCs w:val="32"/>
          <w:highlight w:val="none"/>
          <w:lang w:eastAsia="zh-CN"/>
        </w:rPr>
        <w:t>按工程类型划分，</w:t>
      </w:r>
      <w:r>
        <w:rPr>
          <w:rFonts w:hint="eastAsia" w:hAnsi="仿宋" w:cs="仿宋"/>
          <w:sz w:val="32"/>
          <w:szCs w:val="32"/>
          <w:highlight w:val="none"/>
        </w:rPr>
        <w:t>供水工程10.40</w:t>
      </w:r>
      <w:r>
        <w:rPr>
          <w:rFonts w:hint="eastAsia" w:hAnsi="仿宋" w:cs="仿宋"/>
          <w:sz w:val="32"/>
          <w:szCs w:val="32"/>
          <w:highlight w:val="none"/>
          <w:lang w:val="en-US"/>
        </w:rPr>
        <w:t>亿，均由市级部门投资建设，占</w:t>
      </w:r>
      <w:r>
        <w:rPr>
          <w:rFonts w:hint="eastAsia" w:hAnsi="仿宋" w:cs="仿宋"/>
          <w:sz w:val="32"/>
          <w:szCs w:val="32"/>
          <w:highlight w:val="none"/>
        </w:rPr>
        <w:t>总投资</w:t>
      </w:r>
      <w:r>
        <w:rPr>
          <w:rFonts w:hAnsi="仿宋" w:cs="仿宋"/>
          <w:sz w:val="32"/>
          <w:szCs w:val="32"/>
          <w:highlight w:val="none"/>
        </w:rPr>
        <w:t>22.40</w:t>
      </w:r>
      <w:r>
        <w:rPr>
          <w:rFonts w:hint="eastAsia" w:hAnsi="仿宋" w:cs="仿宋"/>
          <w:sz w:val="32"/>
          <w:szCs w:val="32"/>
          <w:highlight w:val="none"/>
        </w:rPr>
        <w:t>％</w:t>
      </w:r>
      <w:r>
        <w:rPr>
          <w:rFonts w:hint="eastAsia" w:hAnsi="仿宋" w:cs="仿宋"/>
          <w:sz w:val="32"/>
          <w:szCs w:val="32"/>
          <w:highlight w:val="none"/>
          <w:lang w:eastAsia="zh-CN"/>
        </w:rPr>
        <w:t>；</w:t>
      </w:r>
      <w:r>
        <w:rPr>
          <w:rFonts w:hint="eastAsia" w:hAnsi="仿宋" w:cs="仿宋"/>
          <w:sz w:val="32"/>
          <w:szCs w:val="32"/>
          <w:highlight w:val="none"/>
        </w:rPr>
        <w:t>防洪除涝减灾工程</w:t>
      </w:r>
      <w:r>
        <w:rPr>
          <w:rFonts w:hAnsi="仿宋" w:cs="仿宋"/>
          <w:sz w:val="32"/>
          <w:szCs w:val="32"/>
          <w:highlight w:val="none"/>
        </w:rPr>
        <w:t>14.76</w:t>
      </w:r>
      <w:r>
        <w:rPr>
          <w:rFonts w:hint="eastAsia" w:hAnsi="仿宋" w:cs="仿宋"/>
          <w:sz w:val="32"/>
          <w:szCs w:val="32"/>
          <w:highlight w:val="none"/>
        </w:rPr>
        <w:t>亿元，其中由市级部门投资</w:t>
      </w:r>
      <w:r>
        <w:rPr>
          <w:rFonts w:hAnsi="仿宋" w:cs="仿宋"/>
          <w:sz w:val="32"/>
          <w:szCs w:val="32"/>
          <w:highlight w:val="none"/>
        </w:rPr>
        <w:t>2.1</w:t>
      </w:r>
      <w:r>
        <w:rPr>
          <w:rFonts w:hint="eastAsia" w:hAnsi="仿宋" w:cs="仿宋"/>
          <w:sz w:val="32"/>
          <w:szCs w:val="32"/>
          <w:highlight w:val="none"/>
          <w:lang w:val="en-US"/>
        </w:rPr>
        <w:t>亿元，本区投资</w:t>
      </w:r>
      <w:r>
        <w:rPr>
          <w:rFonts w:hAnsi="仿宋" w:cs="仿宋"/>
          <w:sz w:val="32"/>
          <w:szCs w:val="32"/>
          <w:highlight w:val="none"/>
          <w:lang w:val="en-US"/>
        </w:rPr>
        <w:t>12.66</w:t>
      </w:r>
      <w:r>
        <w:rPr>
          <w:rFonts w:hint="eastAsia" w:hAnsi="仿宋" w:cs="仿宋"/>
          <w:sz w:val="32"/>
          <w:szCs w:val="32"/>
          <w:highlight w:val="none"/>
          <w:lang w:val="en-US"/>
        </w:rPr>
        <w:t>亿元，</w:t>
      </w:r>
      <w:r>
        <w:rPr>
          <w:rFonts w:hint="eastAsia" w:hAnsi="仿宋" w:cs="仿宋"/>
          <w:sz w:val="32"/>
          <w:szCs w:val="32"/>
          <w:highlight w:val="none"/>
        </w:rPr>
        <w:t>占总投资</w:t>
      </w:r>
      <w:r>
        <w:rPr>
          <w:rFonts w:hAnsi="仿宋" w:cs="仿宋"/>
          <w:sz w:val="32"/>
          <w:szCs w:val="32"/>
          <w:highlight w:val="none"/>
        </w:rPr>
        <w:t>31.79</w:t>
      </w:r>
      <w:r>
        <w:rPr>
          <w:rFonts w:hint="eastAsia" w:hAnsi="仿宋" w:cs="仿宋"/>
          <w:sz w:val="32"/>
          <w:szCs w:val="32"/>
          <w:highlight w:val="none"/>
        </w:rPr>
        <w:t>％</w:t>
      </w:r>
      <w:r>
        <w:rPr>
          <w:rFonts w:hint="eastAsia" w:hAnsi="仿宋" w:cs="仿宋"/>
          <w:sz w:val="32"/>
          <w:szCs w:val="32"/>
          <w:highlight w:val="none"/>
          <w:lang w:eastAsia="zh-CN"/>
        </w:rPr>
        <w:t>；</w:t>
      </w:r>
      <w:r>
        <w:rPr>
          <w:rFonts w:hint="eastAsia" w:hAnsi="仿宋" w:cs="仿宋"/>
          <w:sz w:val="32"/>
          <w:szCs w:val="32"/>
          <w:highlight w:val="none"/>
        </w:rPr>
        <w:t>水环境治理与水生态保护工程21.</w:t>
      </w:r>
      <w:r>
        <w:rPr>
          <w:rFonts w:hAnsi="仿宋" w:cs="仿宋"/>
          <w:sz w:val="32"/>
          <w:szCs w:val="32"/>
          <w:highlight w:val="none"/>
        </w:rPr>
        <w:t>2</w:t>
      </w:r>
      <w:r>
        <w:rPr>
          <w:rFonts w:hint="eastAsia" w:hAnsi="仿宋" w:cs="仿宋"/>
          <w:sz w:val="32"/>
          <w:szCs w:val="32"/>
          <w:highlight w:val="none"/>
        </w:rPr>
        <w:t>2亿元，其中由市级部门投资11.</w:t>
      </w:r>
      <w:r>
        <w:rPr>
          <w:rFonts w:hAnsi="仿宋" w:cs="仿宋"/>
          <w:sz w:val="32"/>
          <w:szCs w:val="32"/>
          <w:highlight w:val="none"/>
        </w:rPr>
        <w:t>43</w:t>
      </w:r>
      <w:r>
        <w:rPr>
          <w:rFonts w:hint="eastAsia" w:hAnsi="仿宋" w:cs="仿宋"/>
          <w:sz w:val="32"/>
          <w:szCs w:val="32"/>
          <w:highlight w:val="none"/>
          <w:lang w:val="en-US"/>
        </w:rPr>
        <w:t>亿元，本区投资9.</w:t>
      </w:r>
      <w:r>
        <w:rPr>
          <w:rFonts w:hAnsi="仿宋" w:cs="仿宋"/>
          <w:sz w:val="32"/>
          <w:szCs w:val="32"/>
          <w:highlight w:val="none"/>
          <w:lang w:val="en-US"/>
        </w:rPr>
        <w:t>79</w:t>
      </w:r>
      <w:r>
        <w:rPr>
          <w:rFonts w:hint="eastAsia" w:hAnsi="仿宋" w:cs="仿宋"/>
          <w:sz w:val="32"/>
          <w:szCs w:val="32"/>
          <w:highlight w:val="none"/>
          <w:lang w:val="en-US"/>
        </w:rPr>
        <w:t>亿元，</w:t>
      </w:r>
      <w:r>
        <w:rPr>
          <w:rFonts w:hint="eastAsia" w:hAnsi="仿宋" w:cs="仿宋"/>
          <w:sz w:val="32"/>
          <w:szCs w:val="32"/>
          <w:highlight w:val="none"/>
        </w:rPr>
        <w:t>占总投资</w:t>
      </w:r>
      <w:r>
        <w:rPr>
          <w:rFonts w:hAnsi="仿宋" w:cs="仿宋"/>
          <w:sz w:val="32"/>
          <w:szCs w:val="32"/>
          <w:highlight w:val="none"/>
        </w:rPr>
        <w:t>45.70</w:t>
      </w:r>
      <w:r>
        <w:rPr>
          <w:rFonts w:hint="eastAsia" w:hAnsi="仿宋" w:cs="仿宋"/>
          <w:sz w:val="32"/>
          <w:szCs w:val="32"/>
          <w:highlight w:val="none"/>
        </w:rPr>
        <w:t>％</w:t>
      </w:r>
      <w:r>
        <w:rPr>
          <w:rFonts w:hint="eastAsia" w:hAnsi="仿宋" w:cs="仿宋"/>
          <w:sz w:val="32"/>
          <w:szCs w:val="32"/>
          <w:highlight w:val="none"/>
          <w:lang w:eastAsia="zh-CN"/>
        </w:rPr>
        <w:t>；</w:t>
      </w:r>
      <w:r>
        <w:rPr>
          <w:rFonts w:hint="eastAsia" w:hAnsi="仿宋" w:cs="仿宋"/>
          <w:sz w:val="32"/>
          <w:szCs w:val="32"/>
          <w:highlight w:val="none"/>
        </w:rPr>
        <w:t>水务信息化建设0.05亿元，占总投资0.1</w:t>
      </w:r>
      <w:r>
        <w:rPr>
          <w:rFonts w:hAnsi="仿宋" w:cs="仿宋"/>
          <w:sz w:val="32"/>
          <w:szCs w:val="32"/>
          <w:highlight w:val="none"/>
        </w:rPr>
        <w:t>1</w:t>
      </w:r>
      <w:r>
        <w:rPr>
          <w:rFonts w:hint="eastAsia" w:hAnsi="仿宋" w:cs="仿宋"/>
          <w:sz w:val="32"/>
          <w:szCs w:val="32"/>
          <w:highlight w:val="none"/>
        </w:rPr>
        <w:t>％</w:t>
      </w:r>
      <w:bookmarkStart w:id="20" w:name="_Toc415470375"/>
      <w:bookmarkStart w:id="21" w:name="_Toc466533068"/>
      <w:bookmarkStart w:id="22" w:name="_Toc415470156"/>
      <w:bookmarkStart w:id="23" w:name="_Toc286497991"/>
      <w:bookmarkStart w:id="24" w:name="_Toc415470029"/>
      <w:bookmarkStart w:id="25" w:name="_Toc270166533"/>
      <w:r>
        <w:rPr>
          <w:rFonts w:hint="eastAsia" w:hAnsi="仿宋" w:cs="仿宋"/>
          <w:sz w:val="32"/>
          <w:szCs w:val="32"/>
          <w:highlight w:val="none"/>
        </w:rPr>
        <w:t>。</w:t>
      </w:r>
    </w:p>
    <w:bookmarkEnd w:id="20"/>
    <w:bookmarkEnd w:id="21"/>
    <w:bookmarkEnd w:id="22"/>
    <w:bookmarkEnd w:id="23"/>
    <w:bookmarkEnd w:id="24"/>
    <w:bookmarkEnd w:id="25"/>
    <w:p w14:paraId="25163209">
      <w:pPr>
        <w:keepNext w:val="0"/>
        <w:keepLines w:val="0"/>
        <w:pageBreakBefore w:val="0"/>
        <w:kinsoku/>
        <w:overflowPunct/>
        <w:topLinePunct w:val="0"/>
        <w:bidi w:val="0"/>
        <w:spacing w:line="600" w:lineRule="exact"/>
        <w:jc w:val="center"/>
        <w:textAlignment w:val="auto"/>
        <w:rPr>
          <w:rFonts w:ascii="黑体" w:hAnsi="黑体" w:eastAsia="黑体"/>
          <w:sz w:val="28"/>
          <w:szCs w:val="28"/>
          <w:highlight w:val="none"/>
          <w:lang w:val="en-US"/>
        </w:rPr>
      </w:pPr>
      <w:r>
        <w:rPr>
          <w:rFonts w:hint="eastAsia" w:ascii="黑体" w:hAnsi="黑体" w:eastAsia="黑体"/>
          <w:sz w:val="28"/>
          <w:szCs w:val="28"/>
          <w:highlight w:val="none"/>
          <w:lang w:val="en-US"/>
        </w:rPr>
        <w:t>表</w:t>
      </w:r>
      <w:r>
        <w:rPr>
          <w:rFonts w:hint="eastAsia" w:ascii="黑体" w:hAnsi="黑体" w:eastAsia="黑体"/>
          <w:sz w:val="28"/>
          <w:szCs w:val="28"/>
          <w:highlight w:val="none"/>
          <w:lang w:val="en-US" w:eastAsia="zh-CN"/>
        </w:rPr>
        <w:t>7.1</w:t>
      </w:r>
      <w:r>
        <w:rPr>
          <w:rFonts w:hint="eastAsia" w:ascii="黑体" w:hAnsi="黑体" w:eastAsia="黑体"/>
          <w:sz w:val="28"/>
          <w:szCs w:val="28"/>
          <w:highlight w:val="none"/>
          <w:lang w:val="en-US"/>
        </w:rPr>
        <w:t xml:space="preserve">  北辰区水安全保障“十四五”时期水务重大项目表</w:t>
      </w:r>
    </w:p>
    <w:tbl>
      <w:tblPr>
        <w:tblStyle w:val="28"/>
        <w:tblW w:w="9351" w:type="dxa"/>
        <w:jc w:val="center"/>
        <w:tblLayout w:type="fixed"/>
        <w:tblCellMar>
          <w:top w:w="0" w:type="dxa"/>
          <w:left w:w="108" w:type="dxa"/>
          <w:bottom w:w="0" w:type="dxa"/>
          <w:right w:w="108" w:type="dxa"/>
        </w:tblCellMar>
      </w:tblPr>
      <w:tblGrid>
        <w:gridCol w:w="891"/>
        <w:gridCol w:w="1622"/>
        <w:gridCol w:w="3604"/>
        <w:gridCol w:w="1078"/>
        <w:gridCol w:w="1078"/>
        <w:gridCol w:w="1078"/>
      </w:tblGrid>
      <w:tr w14:paraId="07721F7D">
        <w:trPr>
          <w:trHeight w:val="144" w:hRule="atLeast"/>
          <w:tblHeader/>
          <w:jc w:val="center"/>
        </w:trPr>
        <w:tc>
          <w:tcPr>
            <w:tcW w:w="891" w:type="dxa"/>
            <w:vMerge w:val="restart"/>
            <w:tcBorders>
              <w:top w:val="single" w:color="auto" w:sz="4" w:space="0"/>
              <w:left w:val="single" w:color="auto" w:sz="4" w:space="0"/>
              <w:right w:val="single" w:color="auto" w:sz="4" w:space="0"/>
            </w:tcBorders>
            <w:shd w:val="clear" w:color="auto" w:fill="auto"/>
            <w:noWrap/>
            <w:vAlign w:val="center"/>
          </w:tcPr>
          <w:p w14:paraId="1234FB5F">
            <w:pPr>
              <w:keepNext w:val="0"/>
              <w:keepLines w:val="0"/>
              <w:pageBreakBefore w:val="0"/>
              <w:widowControl/>
              <w:kinsoku/>
              <w:overflowPunct/>
              <w:topLinePunct w:val="0"/>
              <w:autoSpaceDE/>
              <w:autoSpaceDN/>
              <w:bidi w:val="0"/>
              <w:spacing w:line="600" w:lineRule="exact"/>
              <w:jc w:val="center"/>
              <w:textAlignment w:val="auto"/>
              <w:rPr>
                <w:rFonts w:hint="eastAsia" w:ascii="黑体" w:hAnsi="黑体" w:eastAsia="黑体" w:cs="黑体"/>
                <w:color w:val="000000"/>
                <w:sz w:val="21"/>
                <w:szCs w:val="21"/>
                <w:highlight w:val="none"/>
                <w:lang w:val="en-US" w:bidi="ar-SA"/>
              </w:rPr>
            </w:pPr>
            <w:r>
              <w:rPr>
                <w:rFonts w:hint="eastAsia" w:ascii="黑体" w:hAnsi="黑体" w:eastAsia="黑体" w:cs="黑体"/>
                <w:color w:val="000000"/>
                <w:sz w:val="21"/>
                <w:szCs w:val="21"/>
                <w:highlight w:val="none"/>
                <w:lang w:val="en-US" w:bidi="ar-SA"/>
              </w:rPr>
              <w:t>序号</w:t>
            </w:r>
          </w:p>
        </w:tc>
        <w:tc>
          <w:tcPr>
            <w:tcW w:w="1622" w:type="dxa"/>
            <w:vMerge w:val="restart"/>
            <w:tcBorders>
              <w:top w:val="single" w:color="auto" w:sz="4" w:space="0"/>
              <w:left w:val="nil"/>
              <w:right w:val="single" w:color="auto" w:sz="4" w:space="0"/>
            </w:tcBorders>
            <w:shd w:val="clear" w:color="auto" w:fill="auto"/>
            <w:noWrap/>
            <w:vAlign w:val="center"/>
          </w:tcPr>
          <w:p w14:paraId="0899FC1B">
            <w:pPr>
              <w:keepNext w:val="0"/>
              <w:keepLines w:val="0"/>
              <w:pageBreakBefore w:val="0"/>
              <w:widowControl/>
              <w:kinsoku/>
              <w:overflowPunct/>
              <w:topLinePunct w:val="0"/>
              <w:autoSpaceDE/>
              <w:autoSpaceDN/>
              <w:bidi w:val="0"/>
              <w:spacing w:line="600" w:lineRule="exact"/>
              <w:jc w:val="center"/>
              <w:textAlignment w:val="auto"/>
              <w:rPr>
                <w:rFonts w:hint="eastAsia" w:ascii="黑体" w:hAnsi="黑体" w:eastAsia="黑体" w:cs="黑体"/>
                <w:color w:val="000000"/>
                <w:sz w:val="21"/>
                <w:szCs w:val="21"/>
                <w:highlight w:val="none"/>
                <w:lang w:val="en-US" w:bidi="ar-SA"/>
              </w:rPr>
            </w:pPr>
            <w:r>
              <w:rPr>
                <w:rFonts w:hint="eastAsia" w:ascii="黑体" w:hAnsi="黑体" w:eastAsia="黑体" w:cs="黑体"/>
                <w:color w:val="000000"/>
                <w:sz w:val="21"/>
                <w:szCs w:val="21"/>
                <w:highlight w:val="none"/>
                <w:lang w:val="en-US" w:bidi="ar-SA"/>
              </w:rPr>
              <w:t>工程建设</w:t>
            </w:r>
          </w:p>
        </w:tc>
        <w:tc>
          <w:tcPr>
            <w:tcW w:w="3604" w:type="dxa"/>
            <w:vMerge w:val="restart"/>
            <w:tcBorders>
              <w:top w:val="single" w:color="auto" w:sz="4" w:space="0"/>
              <w:left w:val="nil"/>
              <w:right w:val="single" w:color="auto" w:sz="4" w:space="0"/>
            </w:tcBorders>
            <w:shd w:val="clear" w:color="auto" w:fill="auto"/>
            <w:vAlign w:val="center"/>
          </w:tcPr>
          <w:p w14:paraId="04198DE1">
            <w:pPr>
              <w:keepNext w:val="0"/>
              <w:keepLines w:val="0"/>
              <w:pageBreakBefore w:val="0"/>
              <w:widowControl/>
              <w:kinsoku/>
              <w:overflowPunct/>
              <w:topLinePunct w:val="0"/>
              <w:autoSpaceDE/>
              <w:autoSpaceDN/>
              <w:bidi w:val="0"/>
              <w:spacing w:line="600" w:lineRule="exact"/>
              <w:jc w:val="center"/>
              <w:textAlignment w:val="auto"/>
              <w:rPr>
                <w:rFonts w:hint="eastAsia" w:ascii="黑体" w:hAnsi="黑体" w:eastAsia="黑体" w:cs="黑体"/>
                <w:color w:val="000000"/>
                <w:sz w:val="21"/>
                <w:szCs w:val="21"/>
                <w:highlight w:val="none"/>
                <w:lang w:val="en-US" w:bidi="ar-SA"/>
              </w:rPr>
            </w:pPr>
            <w:r>
              <w:rPr>
                <w:rFonts w:hint="eastAsia" w:ascii="黑体" w:hAnsi="黑体" w:eastAsia="黑体" w:cs="黑体"/>
                <w:color w:val="000000"/>
                <w:sz w:val="21"/>
                <w:szCs w:val="21"/>
                <w:highlight w:val="none"/>
                <w:lang w:val="en-US" w:bidi="ar-SA"/>
              </w:rPr>
              <w:t>主要内容、规模</w:t>
            </w:r>
          </w:p>
        </w:tc>
        <w:tc>
          <w:tcPr>
            <w:tcW w:w="1078" w:type="dxa"/>
            <w:vMerge w:val="restart"/>
            <w:tcBorders>
              <w:top w:val="single" w:color="auto" w:sz="4" w:space="0"/>
              <w:left w:val="nil"/>
              <w:right w:val="single" w:color="auto" w:sz="4" w:space="0"/>
            </w:tcBorders>
            <w:shd w:val="clear" w:color="auto" w:fill="auto"/>
            <w:vAlign w:val="center"/>
          </w:tcPr>
          <w:p w14:paraId="08D69C47">
            <w:pPr>
              <w:keepNext w:val="0"/>
              <w:keepLines w:val="0"/>
              <w:pageBreakBefore w:val="0"/>
              <w:widowControl/>
              <w:kinsoku/>
              <w:overflowPunct/>
              <w:topLinePunct w:val="0"/>
              <w:autoSpaceDE/>
              <w:autoSpaceDN/>
              <w:bidi w:val="0"/>
              <w:spacing w:line="600" w:lineRule="exact"/>
              <w:jc w:val="center"/>
              <w:textAlignment w:val="auto"/>
              <w:rPr>
                <w:rFonts w:hint="eastAsia" w:ascii="黑体" w:hAnsi="黑体" w:eastAsia="黑体" w:cs="黑体"/>
                <w:color w:val="000000"/>
                <w:sz w:val="21"/>
                <w:szCs w:val="21"/>
                <w:highlight w:val="none"/>
                <w:lang w:val="en-US" w:bidi="ar-SA"/>
              </w:rPr>
            </w:pPr>
            <w:r>
              <w:rPr>
                <w:rFonts w:hint="eastAsia" w:ascii="黑体" w:hAnsi="黑体" w:eastAsia="黑体" w:cs="黑体"/>
                <w:color w:val="000000"/>
                <w:sz w:val="21"/>
                <w:szCs w:val="21"/>
                <w:highlight w:val="none"/>
                <w:lang w:val="en-US" w:bidi="ar-SA"/>
              </w:rPr>
              <w:t>投资</w:t>
            </w:r>
          </w:p>
          <w:p w14:paraId="4CEDB05C">
            <w:pPr>
              <w:keepNext w:val="0"/>
              <w:keepLines w:val="0"/>
              <w:pageBreakBefore w:val="0"/>
              <w:widowControl/>
              <w:kinsoku/>
              <w:overflowPunct/>
              <w:topLinePunct w:val="0"/>
              <w:autoSpaceDE/>
              <w:autoSpaceDN/>
              <w:bidi w:val="0"/>
              <w:spacing w:line="600" w:lineRule="exact"/>
              <w:jc w:val="center"/>
              <w:textAlignment w:val="auto"/>
              <w:rPr>
                <w:rFonts w:hint="eastAsia" w:ascii="黑体" w:hAnsi="黑体" w:eastAsia="黑体" w:cs="黑体"/>
                <w:color w:val="000000"/>
                <w:sz w:val="21"/>
                <w:szCs w:val="21"/>
                <w:highlight w:val="none"/>
                <w:lang w:val="en-US" w:bidi="ar-SA"/>
              </w:rPr>
            </w:pPr>
            <w:r>
              <w:rPr>
                <w:rFonts w:hint="eastAsia" w:ascii="黑体" w:hAnsi="黑体" w:eastAsia="黑体" w:cs="黑体"/>
                <w:color w:val="000000"/>
                <w:sz w:val="21"/>
                <w:szCs w:val="21"/>
                <w:highlight w:val="none"/>
                <w:lang w:val="en-US" w:bidi="ar-SA"/>
              </w:rPr>
              <w:t>（万元）</w:t>
            </w:r>
          </w:p>
        </w:tc>
        <w:tc>
          <w:tcPr>
            <w:tcW w:w="2156" w:type="dxa"/>
            <w:gridSpan w:val="2"/>
            <w:tcBorders>
              <w:top w:val="single" w:color="auto" w:sz="4" w:space="0"/>
              <w:left w:val="nil"/>
              <w:bottom w:val="single" w:color="auto" w:sz="4" w:space="0"/>
              <w:right w:val="single" w:color="auto" w:sz="4" w:space="0"/>
            </w:tcBorders>
            <w:shd w:val="clear" w:color="auto" w:fill="auto"/>
            <w:vAlign w:val="center"/>
          </w:tcPr>
          <w:p w14:paraId="1152D98B">
            <w:pPr>
              <w:keepNext w:val="0"/>
              <w:keepLines w:val="0"/>
              <w:pageBreakBefore w:val="0"/>
              <w:kinsoku/>
              <w:overflowPunct/>
              <w:topLinePunct w:val="0"/>
              <w:bidi w:val="0"/>
              <w:spacing w:line="600" w:lineRule="exact"/>
              <w:jc w:val="center"/>
              <w:textAlignment w:val="auto"/>
              <w:rPr>
                <w:rFonts w:hint="eastAsia" w:ascii="黑体" w:hAnsi="黑体" w:eastAsia="黑体" w:cs="黑体"/>
                <w:color w:val="000000"/>
                <w:sz w:val="21"/>
                <w:szCs w:val="21"/>
                <w:highlight w:val="none"/>
                <w:lang w:val="en-US" w:bidi="ar-SA"/>
              </w:rPr>
            </w:pPr>
            <w:r>
              <w:rPr>
                <w:rFonts w:hint="eastAsia" w:ascii="黑体" w:hAnsi="黑体" w:eastAsia="黑体" w:cs="黑体"/>
                <w:color w:val="000000"/>
                <w:sz w:val="21"/>
                <w:szCs w:val="21"/>
                <w:highlight w:val="none"/>
                <w:lang w:val="en-US" w:bidi="ar-SA"/>
              </w:rPr>
              <w:t>分级投资</w:t>
            </w:r>
          </w:p>
        </w:tc>
      </w:tr>
      <w:tr w14:paraId="726B1661">
        <w:trPr>
          <w:trHeight w:val="687" w:hRule="atLeast"/>
          <w:tblHeader/>
          <w:jc w:val="center"/>
        </w:trPr>
        <w:tc>
          <w:tcPr>
            <w:tcW w:w="891" w:type="dxa"/>
            <w:vMerge w:val="continue"/>
            <w:tcBorders>
              <w:left w:val="single" w:color="auto" w:sz="4" w:space="0"/>
              <w:bottom w:val="single" w:color="auto" w:sz="4" w:space="0"/>
              <w:right w:val="single" w:color="auto" w:sz="4" w:space="0"/>
            </w:tcBorders>
            <w:shd w:val="clear" w:color="auto" w:fill="auto"/>
            <w:noWrap/>
            <w:vAlign w:val="center"/>
          </w:tcPr>
          <w:p w14:paraId="1DA3E6DD">
            <w:pPr>
              <w:keepNext w:val="0"/>
              <w:keepLines w:val="0"/>
              <w:pageBreakBefore w:val="0"/>
              <w:widowControl/>
              <w:kinsoku/>
              <w:overflowPunct/>
              <w:topLinePunct w:val="0"/>
              <w:autoSpaceDE/>
              <w:autoSpaceDN/>
              <w:bidi w:val="0"/>
              <w:spacing w:line="600" w:lineRule="exact"/>
              <w:jc w:val="center"/>
              <w:textAlignment w:val="auto"/>
              <w:rPr>
                <w:rFonts w:hint="eastAsia" w:ascii="黑体" w:hAnsi="黑体" w:eastAsia="黑体" w:cs="黑体"/>
                <w:color w:val="000000"/>
                <w:sz w:val="21"/>
                <w:szCs w:val="21"/>
                <w:highlight w:val="none"/>
                <w:lang w:val="en-US" w:bidi="ar-SA"/>
              </w:rPr>
            </w:pPr>
          </w:p>
        </w:tc>
        <w:tc>
          <w:tcPr>
            <w:tcW w:w="1622" w:type="dxa"/>
            <w:vMerge w:val="continue"/>
            <w:tcBorders>
              <w:left w:val="nil"/>
              <w:bottom w:val="single" w:color="auto" w:sz="4" w:space="0"/>
              <w:right w:val="single" w:color="auto" w:sz="4" w:space="0"/>
            </w:tcBorders>
            <w:shd w:val="clear" w:color="auto" w:fill="auto"/>
            <w:noWrap/>
            <w:vAlign w:val="center"/>
          </w:tcPr>
          <w:p w14:paraId="3BEF5410">
            <w:pPr>
              <w:keepNext w:val="0"/>
              <w:keepLines w:val="0"/>
              <w:pageBreakBefore w:val="0"/>
              <w:widowControl/>
              <w:kinsoku/>
              <w:overflowPunct/>
              <w:topLinePunct w:val="0"/>
              <w:autoSpaceDE/>
              <w:autoSpaceDN/>
              <w:bidi w:val="0"/>
              <w:spacing w:line="600" w:lineRule="exact"/>
              <w:jc w:val="center"/>
              <w:textAlignment w:val="auto"/>
              <w:rPr>
                <w:rFonts w:hint="eastAsia" w:ascii="黑体" w:hAnsi="黑体" w:eastAsia="黑体" w:cs="黑体"/>
                <w:color w:val="000000"/>
                <w:sz w:val="21"/>
                <w:szCs w:val="21"/>
                <w:highlight w:val="none"/>
                <w:lang w:val="en-US" w:bidi="ar-SA"/>
              </w:rPr>
            </w:pPr>
          </w:p>
        </w:tc>
        <w:tc>
          <w:tcPr>
            <w:tcW w:w="3604" w:type="dxa"/>
            <w:vMerge w:val="continue"/>
            <w:tcBorders>
              <w:left w:val="nil"/>
              <w:bottom w:val="single" w:color="auto" w:sz="4" w:space="0"/>
              <w:right w:val="single" w:color="auto" w:sz="4" w:space="0"/>
            </w:tcBorders>
            <w:shd w:val="clear" w:color="auto" w:fill="auto"/>
            <w:vAlign w:val="center"/>
          </w:tcPr>
          <w:p w14:paraId="048DEF8A">
            <w:pPr>
              <w:keepNext w:val="0"/>
              <w:keepLines w:val="0"/>
              <w:pageBreakBefore w:val="0"/>
              <w:widowControl/>
              <w:kinsoku/>
              <w:overflowPunct/>
              <w:topLinePunct w:val="0"/>
              <w:autoSpaceDE/>
              <w:autoSpaceDN/>
              <w:bidi w:val="0"/>
              <w:spacing w:line="600" w:lineRule="exact"/>
              <w:jc w:val="center"/>
              <w:textAlignment w:val="auto"/>
              <w:rPr>
                <w:rFonts w:hint="eastAsia" w:ascii="黑体" w:hAnsi="黑体" w:eastAsia="黑体" w:cs="黑体"/>
                <w:color w:val="000000"/>
                <w:sz w:val="21"/>
                <w:szCs w:val="21"/>
                <w:highlight w:val="none"/>
                <w:lang w:val="en-US" w:bidi="ar-SA"/>
              </w:rPr>
            </w:pPr>
          </w:p>
        </w:tc>
        <w:tc>
          <w:tcPr>
            <w:tcW w:w="1078" w:type="dxa"/>
            <w:vMerge w:val="continue"/>
            <w:tcBorders>
              <w:left w:val="nil"/>
              <w:bottom w:val="single" w:color="auto" w:sz="4" w:space="0"/>
              <w:right w:val="single" w:color="auto" w:sz="4" w:space="0"/>
            </w:tcBorders>
            <w:shd w:val="clear" w:color="auto" w:fill="auto"/>
            <w:vAlign w:val="center"/>
          </w:tcPr>
          <w:p w14:paraId="1408E9B4">
            <w:pPr>
              <w:keepNext w:val="0"/>
              <w:keepLines w:val="0"/>
              <w:pageBreakBefore w:val="0"/>
              <w:widowControl/>
              <w:kinsoku/>
              <w:overflowPunct/>
              <w:topLinePunct w:val="0"/>
              <w:autoSpaceDE/>
              <w:autoSpaceDN/>
              <w:bidi w:val="0"/>
              <w:spacing w:line="600" w:lineRule="exact"/>
              <w:jc w:val="center"/>
              <w:textAlignment w:val="auto"/>
              <w:rPr>
                <w:rFonts w:hint="eastAsia" w:ascii="黑体" w:hAnsi="黑体" w:eastAsia="黑体" w:cs="黑体"/>
                <w:color w:val="000000"/>
                <w:sz w:val="21"/>
                <w:szCs w:val="21"/>
                <w:highlight w:val="none"/>
                <w:lang w:val="en-US" w:bidi="ar-SA"/>
              </w:rPr>
            </w:pPr>
          </w:p>
        </w:tc>
        <w:tc>
          <w:tcPr>
            <w:tcW w:w="1078" w:type="dxa"/>
            <w:tcBorders>
              <w:top w:val="single" w:color="auto" w:sz="4" w:space="0"/>
              <w:left w:val="nil"/>
              <w:bottom w:val="single" w:color="auto" w:sz="4" w:space="0"/>
              <w:right w:val="single" w:color="auto" w:sz="4" w:space="0"/>
            </w:tcBorders>
            <w:shd w:val="clear" w:color="auto" w:fill="auto"/>
            <w:vAlign w:val="center"/>
          </w:tcPr>
          <w:p w14:paraId="0BD72B6A">
            <w:pPr>
              <w:keepNext w:val="0"/>
              <w:keepLines w:val="0"/>
              <w:pageBreakBefore w:val="0"/>
              <w:kinsoku/>
              <w:overflowPunct/>
              <w:topLinePunct w:val="0"/>
              <w:bidi w:val="0"/>
              <w:spacing w:line="600" w:lineRule="exact"/>
              <w:jc w:val="center"/>
              <w:textAlignment w:val="auto"/>
              <w:rPr>
                <w:rFonts w:hint="eastAsia" w:ascii="黑体" w:hAnsi="黑体" w:eastAsia="黑体" w:cs="黑体"/>
                <w:color w:val="000000"/>
                <w:sz w:val="21"/>
                <w:szCs w:val="21"/>
                <w:highlight w:val="none"/>
                <w:lang w:val="en-US" w:bidi="ar-SA"/>
              </w:rPr>
            </w:pPr>
            <w:r>
              <w:rPr>
                <w:rFonts w:hint="eastAsia" w:ascii="黑体" w:hAnsi="黑体" w:eastAsia="黑体" w:cs="黑体"/>
                <w:color w:val="000000"/>
                <w:sz w:val="21"/>
                <w:szCs w:val="21"/>
                <w:highlight w:val="none"/>
                <w:lang w:val="en-US" w:bidi="ar-SA"/>
              </w:rPr>
              <w:t>区级投资（万元）</w:t>
            </w:r>
          </w:p>
        </w:tc>
        <w:tc>
          <w:tcPr>
            <w:tcW w:w="1078" w:type="dxa"/>
            <w:tcBorders>
              <w:top w:val="single" w:color="auto" w:sz="4" w:space="0"/>
              <w:left w:val="nil"/>
              <w:bottom w:val="single" w:color="auto" w:sz="4" w:space="0"/>
              <w:right w:val="single" w:color="auto" w:sz="4" w:space="0"/>
            </w:tcBorders>
            <w:shd w:val="clear" w:color="auto" w:fill="auto"/>
            <w:vAlign w:val="center"/>
          </w:tcPr>
          <w:p w14:paraId="35163731">
            <w:pPr>
              <w:keepNext w:val="0"/>
              <w:keepLines w:val="0"/>
              <w:pageBreakBefore w:val="0"/>
              <w:kinsoku/>
              <w:overflowPunct/>
              <w:topLinePunct w:val="0"/>
              <w:bidi w:val="0"/>
              <w:spacing w:line="600" w:lineRule="exact"/>
              <w:jc w:val="center"/>
              <w:textAlignment w:val="auto"/>
              <w:rPr>
                <w:rFonts w:hint="eastAsia" w:ascii="黑体" w:hAnsi="黑体" w:eastAsia="黑体" w:cs="黑体"/>
                <w:color w:val="000000"/>
                <w:sz w:val="21"/>
                <w:szCs w:val="21"/>
                <w:highlight w:val="none"/>
                <w:lang w:val="en-US" w:bidi="ar-SA"/>
              </w:rPr>
            </w:pPr>
            <w:r>
              <w:rPr>
                <w:rFonts w:hint="eastAsia" w:ascii="黑体" w:hAnsi="黑体" w:eastAsia="黑体" w:cs="黑体"/>
                <w:color w:val="000000"/>
                <w:sz w:val="21"/>
                <w:szCs w:val="21"/>
                <w:highlight w:val="none"/>
                <w:lang w:val="en-US" w:bidi="ar-SA"/>
              </w:rPr>
              <w:t>市级以上部门投资  （万元）</w:t>
            </w:r>
          </w:p>
        </w:tc>
      </w:tr>
      <w:tr w14:paraId="7A7DD696">
        <w:trPr>
          <w:trHeight w:val="48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19A82DB1">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622" w:type="dxa"/>
            <w:tcBorders>
              <w:top w:val="nil"/>
              <w:left w:val="nil"/>
              <w:bottom w:val="single" w:color="auto" w:sz="4" w:space="0"/>
              <w:right w:val="single" w:color="auto" w:sz="4" w:space="0"/>
            </w:tcBorders>
            <w:shd w:val="clear" w:color="auto" w:fill="auto"/>
            <w:noWrap/>
            <w:vAlign w:val="center"/>
          </w:tcPr>
          <w:p w14:paraId="72D33A70">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总计</w:t>
            </w:r>
          </w:p>
        </w:tc>
        <w:tc>
          <w:tcPr>
            <w:tcW w:w="3604" w:type="dxa"/>
            <w:tcBorders>
              <w:top w:val="nil"/>
              <w:left w:val="nil"/>
              <w:bottom w:val="single" w:color="auto" w:sz="4" w:space="0"/>
              <w:right w:val="single" w:color="auto" w:sz="4" w:space="0"/>
            </w:tcBorders>
            <w:shd w:val="clear" w:color="auto" w:fill="auto"/>
            <w:vAlign w:val="center"/>
          </w:tcPr>
          <w:p w14:paraId="07FBD3E8">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noWrap/>
            <w:vAlign w:val="center"/>
          </w:tcPr>
          <w:p w14:paraId="3DEF829A">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464330</w:t>
            </w:r>
          </w:p>
        </w:tc>
        <w:tc>
          <w:tcPr>
            <w:tcW w:w="1078" w:type="dxa"/>
            <w:tcBorders>
              <w:top w:val="nil"/>
              <w:left w:val="nil"/>
              <w:bottom w:val="single" w:color="auto" w:sz="4" w:space="0"/>
              <w:right w:val="single" w:color="auto" w:sz="4" w:space="0"/>
            </w:tcBorders>
            <w:shd w:val="clear" w:color="auto" w:fill="auto"/>
            <w:vAlign w:val="center"/>
          </w:tcPr>
          <w:p w14:paraId="7DFCBB14">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225030</w:t>
            </w:r>
          </w:p>
        </w:tc>
        <w:tc>
          <w:tcPr>
            <w:tcW w:w="1078" w:type="dxa"/>
            <w:tcBorders>
              <w:top w:val="nil"/>
              <w:left w:val="nil"/>
              <w:bottom w:val="single" w:color="auto" w:sz="4" w:space="0"/>
              <w:right w:val="single" w:color="auto" w:sz="4" w:space="0"/>
            </w:tcBorders>
            <w:shd w:val="clear" w:color="auto" w:fill="auto"/>
            <w:vAlign w:val="center"/>
          </w:tcPr>
          <w:p w14:paraId="271D07DD">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239300</w:t>
            </w:r>
          </w:p>
        </w:tc>
      </w:tr>
      <w:tr w14:paraId="57D190F3">
        <w:trPr>
          <w:trHeight w:val="469"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658CFD14">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一</w:t>
            </w:r>
          </w:p>
        </w:tc>
        <w:tc>
          <w:tcPr>
            <w:tcW w:w="1622" w:type="dxa"/>
            <w:tcBorders>
              <w:top w:val="nil"/>
              <w:left w:val="nil"/>
              <w:bottom w:val="single" w:color="auto" w:sz="4" w:space="0"/>
              <w:right w:val="single" w:color="auto" w:sz="4" w:space="0"/>
            </w:tcBorders>
            <w:shd w:val="clear" w:color="auto" w:fill="auto"/>
            <w:noWrap/>
            <w:vAlign w:val="center"/>
          </w:tcPr>
          <w:p w14:paraId="1CDDBE39">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城乡供水工程</w:t>
            </w:r>
          </w:p>
        </w:tc>
        <w:tc>
          <w:tcPr>
            <w:tcW w:w="3604" w:type="dxa"/>
            <w:tcBorders>
              <w:top w:val="nil"/>
              <w:left w:val="nil"/>
              <w:bottom w:val="single" w:color="auto" w:sz="4" w:space="0"/>
              <w:right w:val="single" w:color="auto" w:sz="4" w:space="0"/>
            </w:tcBorders>
            <w:shd w:val="clear" w:color="auto" w:fill="auto"/>
            <w:vAlign w:val="center"/>
          </w:tcPr>
          <w:p w14:paraId="00DBA3F0">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noWrap/>
            <w:vAlign w:val="center"/>
          </w:tcPr>
          <w:p w14:paraId="3794A7B3">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104000</w:t>
            </w:r>
          </w:p>
        </w:tc>
        <w:tc>
          <w:tcPr>
            <w:tcW w:w="1078" w:type="dxa"/>
            <w:tcBorders>
              <w:top w:val="nil"/>
              <w:left w:val="nil"/>
              <w:bottom w:val="single" w:color="auto" w:sz="4" w:space="0"/>
              <w:right w:val="single" w:color="auto" w:sz="4" w:space="0"/>
            </w:tcBorders>
            <w:shd w:val="clear" w:color="auto" w:fill="auto"/>
            <w:vAlign w:val="center"/>
          </w:tcPr>
          <w:p w14:paraId="61128BB7">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vAlign w:val="center"/>
          </w:tcPr>
          <w:p w14:paraId="44BE23A0">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104000</w:t>
            </w:r>
          </w:p>
        </w:tc>
      </w:tr>
      <w:tr w14:paraId="244F39AD">
        <w:trPr>
          <w:trHeight w:val="53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1D18C3F8">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w:t>
            </w:r>
          </w:p>
        </w:tc>
        <w:tc>
          <w:tcPr>
            <w:tcW w:w="1622" w:type="dxa"/>
            <w:tcBorders>
              <w:top w:val="nil"/>
              <w:left w:val="nil"/>
              <w:bottom w:val="single" w:color="auto" w:sz="4" w:space="0"/>
              <w:right w:val="single" w:color="auto" w:sz="4" w:space="0"/>
            </w:tcBorders>
            <w:shd w:val="clear" w:color="auto" w:fill="auto"/>
            <w:noWrap/>
            <w:vAlign w:val="center"/>
          </w:tcPr>
          <w:p w14:paraId="01F2B741">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引滦引江新引河联络线及泵站工程</w:t>
            </w:r>
          </w:p>
        </w:tc>
        <w:tc>
          <w:tcPr>
            <w:tcW w:w="3604" w:type="dxa"/>
            <w:tcBorders>
              <w:top w:val="nil"/>
              <w:left w:val="nil"/>
              <w:bottom w:val="single" w:color="auto" w:sz="4" w:space="0"/>
              <w:right w:val="single" w:color="auto" w:sz="4" w:space="0"/>
            </w:tcBorders>
            <w:shd w:val="clear" w:color="auto" w:fill="auto"/>
            <w:vAlign w:val="center"/>
          </w:tcPr>
          <w:p w14:paraId="4C128B67">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sz w:val="21"/>
                <w:szCs w:val="21"/>
                <w:highlight w:val="none"/>
                <w:lang w:val="en-US" w:bidi="ar-SA"/>
              </w:rPr>
            </w:pPr>
            <w:r>
              <w:rPr>
                <w:rFonts w:hint="eastAsia" w:ascii="仿宋_GB2312" w:hAnsi="仿宋_GB2312" w:eastAsia="仿宋_GB2312" w:cs="仿宋_GB2312"/>
                <w:sz w:val="21"/>
                <w:szCs w:val="21"/>
                <w:highlight w:val="none"/>
                <w:lang w:val="en-US" w:bidi="ar-SA"/>
              </w:rPr>
              <w:t>敷设新引河管线14公里；新建大张庄加压泵站；改造永青渠首泵站。</w:t>
            </w:r>
          </w:p>
        </w:tc>
        <w:tc>
          <w:tcPr>
            <w:tcW w:w="1078" w:type="dxa"/>
            <w:tcBorders>
              <w:top w:val="nil"/>
              <w:left w:val="nil"/>
              <w:bottom w:val="single" w:color="auto" w:sz="4" w:space="0"/>
              <w:right w:val="single" w:color="auto" w:sz="4" w:space="0"/>
            </w:tcBorders>
            <w:shd w:val="clear" w:color="auto" w:fill="auto"/>
            <w:noWrap/>
            <w:vAlign w:val="center"/>
          </w:tcPr>
          <w:p w14:paraId="7BD04388">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88000</w:t>
            </w:r>
          </w:p>
        </w:tc>
        <w:tc>
          <w:tcPr>
            <w:tcW w:w="1078" w:type="dxa"/>
            <w:tcBorders>
              <w:top w:val="nil"/>
              <w:left w:val="nil"/>
              <w:bottom w:val="single" w:color="auto" w:sz="4" w:space="0"/>
              <w:right w:val="single" w:color="auto" w:sz="4" w:space="0"/>
            </w:tcBorders>
            <w:shd w:val="clear" w:color="auto" w:fill="auto"/>
            <w:vAlign w:val="center"/>
          </w:tcPr>
          <w:p w14:paraId="7FA2D803">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vAlign w:val="center"/>
          </w:tcPr>
          <w:p w14:paraId="10C6BBD6">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88000</w:t>
            </w:r>
          </w:p>
        </w:tc>
      </w:tr>
      <w:tr w14:paraId="4F12306D">
        <w:trPr>
          <w:trHeight w:val="577"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674D3838">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w:t>
            </w:r>
          </w:p>
        </w:tc>
        <w:tc>
          <w:tcPr>
            <w:tcW w:w="1622" w:type="dxa"/>
            <w:tcBorders>
              <w:top w:val="nil"/>
              <w:left w:val="nil"/>
              <w:bottom w:val="single" w:color="auto" w:sz="4" w:space="0"/>
              <w:right w:val="single" w:color="auto" w:sz="4" w:space="0"/>
            </w:tcBorders>
            <w:shd w:val="clear" w:color="auto" w:fill="auto"/>
            <w:noWrap/>
            <w:vAlign w:val="center"/>
          </w:tcPr>
          <w:p w14:paraId="6C780899">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主城区主干管网工程</w:t>
            </w:r>
          </w:p>
        </w:tc>
        <w:tc>
          <w:tcPr>
            <w:tcW w:w="3604" w:type="dxa"/>
            <w:tcBorders>
              <w:top w:val="nil"/>
              <w:left w:val="nil"/>
              <w:bottom w:val="single" w:color="auto" w:sz="4" w:space="0"/>
              <w:right w:val="single" w:color="auto" w:sz="4" w:space="0"/>
            </w:tcBorders>
            <w:shd w:val="clear" w:color="auto" w:fill="auto"/>
            <w:vAlign w:val="center"/>
          </w:tcPr>
          <w:p w14:paraId="747FC49C">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sz w:val="21"/>
                <w:szCs w:val="21"/>
                <w:highlight w:val="none"/>
                <w:lang w:val="en-US" w:eastAsia="zh-CN" w:bidi="ar-SA"/>
              </w:rPr>
            </w:pPr>
            <w:r>
              <w:rPr>
                <w:rFonts w:hint="eastAsia" w:ascii="仿宋_GB2312" w:hAnsi="仿宋_GB2312" w:eastAsia="仿宋_GB2312" w:cs="仿宋_GB2312"/>
                <w:sz w:val="21"/>
                <w:szCs w:val="21"/>
                <w:highlight w:val="none"/>
                <w:lang w:val="en-US" w:bidi="ar-SA"/>
              </w:rPr>
              <w:t>建设外环线东北部调线、北辰光荣道管线等工程</w:t>
            </w:r>
            <w:r>
              <w:rPr>
                <w:rFonts w:hint="eastAsia" w:ascii="仿宋_GB2312" w:hAnsi="仿宋_GB2312" w:eastAsia="仿宋_GB2312" w:cs="仿宋_GB2312"/>
                <w:sz w:val="21"/>
                <w:szCs w:val="21"/>
                <w:highlight w:val="none"/>
                <w:lang w:val="en-US" w:eastAsia="zh-CN" w:bidi="ar-SA"/>
              </w:rPr>
              <w:t>。</w:t>
            </w:r>
          </w:p>
        </w:tc>
        <w:tc>
          <w:tcPr>
            <w:tcW w:w="1078" w:type="dxa"/>
            <w:tcBorders>
              <w:top w:val="nil"/>
              <w:left w:val="nil"/>
              <w:bottom w:val="single" w:color="auto" w:sz="4" w:space="0"/>
              <w:right w:val="single" w:color="auto" w:sz="4" w:space="0"/>
            </w:tcBorders>
            <w:shd w:val="clear" w:color="auto" w:fill="auto"/>
            <w:noWrap/>
            <w:vAlign w:val="center"/>
          </w:tcPr>
          <w:p w14:paraId="3F37A1DB">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16000</w:t>
            </w:r>
          </w:p>
        </w:tc>
        <w:tc>
          <w:tcPr>
            <w:tcW w:w="1078" w:type="dxa"/>
            <w:tcBorders>
              <w:top w:val="nil"/>
              <w:left w:val="nil"/>
              <w:bottom w:val="single" w:color="auto" w:sz="4" w:space="0"/>
              <w:right w:val="single" w:color="auto" w:sz="4" w:space="0"/>
            </w:tcBorders>
            <w:shd w:val="clear" w:color="auto" w:fill="auto"/>
            <w:vAlign w:val="center"/>
          </w:tcPr>
          <w:p w14:paraId="7C5321EE">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vAlign w:val="center"/>
          </w:tcPr>
          <w:p w14:paraId="6AA19F65">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16000</w:t>
            </w:r>
          </w:p>
        </w:tc>
      </w:tr>
      <w:tr w14:paraId="276F9D5F">
        <w:trPr>
          <w:trHeight w:val="504"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2F8B8344">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二</w:t>
            </w:r>
          </w:p>
        </w:tc>
        <w:tc>
          <w:tcPr>
            <w:tcW w:w="1622" w:type="dxa"/>
            <w:tcBorders>
              <w:top w:val="nil"/>
              <w:left w:val="nil"/>
              <w:bottom w:val="single" w:color="auto" w:sz="4" w:space="0"/>
              <w:right w:val="single" w:color="auto" w:sz="4" w:space="0"/>
            </w:tcBorders>
            <w:shd w:val="clear" w:color="auto" w:fill="auto"/>
            <w:noWrap/>
            <w:vAlign w:val="center"/>
          </w:tcPr>
          <w:p w14:paraId="6815BE7C">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防洪除涝工程</w:t>
            </w:r>
          </w:p>
        </w:tc>
        <w:tc>
          <w:tcPr>
            <w:tcW w:w="3604" w:type="dxa"/>
            <w:tcBorders>
              <w:top w:val="nil"/>
              <w:left w:val="nil"/>
              <w:bottom w:val="single" w:color="auto" w:sz="4" w:space="0"/>
              <w:right w:val="single" w:color="auto" w:sz="4" w:space="0"/>
            </w:tcBorders>
            <w:shd w:val="clear" w:color="auto" w:fill="auto"/>
            <w:vAlign w:val="center"/>
          </w:tcPr>
          <w:p w14:paraId="2C25C62C">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noWrap/>
            <w:vAlign w:val="center"/>
          </w:tcPr>
          <w:p w14:paraId="730BB392">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147620</w:t>
            </w:r>
          </w:p>
        </w:tc>
        <w:tc>
          <w:tcPr>
            <w:tcW w:w="1078" w:type="dxa"/>
            <w:tcBorders>
              <w:top w:val="nil"/>
              <w:left w:val="nil"/>
              <w:bottom w:val="single" w:color="auto" w:sz="4" w:space="0"/>
              <w:right w:val="single" w:color="auto" w:sz="4" w:space="0"/>
            </w:tcBorders>
            <w:shd w:val="clear" w:color="auto" w:fill="auto"/>
            <w:vAlign w:val="center"/>
          </w:tcPr>
          <w:p w14:paraId="1E061C75">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126620</w:t>
            </w:r>
          </w:p>
        </w:tc>
        <w:tc>
          <w:tcPr>
            <w:tcW w:w="1078" w:type="dxa"/>
            <w:tcBorders>
              <w:top w:val="nil"/>
              <w:left w:val="nil"/>
              <w:bottom w:val="single" w:color="auto" w:sz="4" w:space="0"/>
              <w:right w:val="single" w:color="auto" w:sz="4" w:space="0"/>
            </w:tcBorders>
            <w:shd w:val="clear" w:color="auto" w:fill="auto"/>
            <w:vAlign w:val="center"/>
          </w:tcPr>
          <w:p w14:paraId="6508AF83">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21000</w:t>
            </w:r>
          </w:p>
        </w:tc>
      </w:tr>
      <w:tr w14:paraId="5F3976D0">
        <w:trPr>
          <w:trHeight w:val="599"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09EEEE66">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w:t>
            </w:r>
          </w:p>
        </w:tc>
        <w:tc>
          <w:tcPr>
            <w:tcW w:w="1622" w:type="dxa"/>
            <w:tcBorders>
              <w:top w:val="nil"/>
              <w:left w:val="nil"/>
              <w:bottom w:val="single" w:color="auto" w:sz="4" w:space="0"/>
              <w:right w:val="single" w:color="auto" w:sz="4" w:space="0"/>
            </w:tcBorders>
            <w:shd w:val="clear" w:color="auto" w:fill="auto"/>
            <w:noWrap/>
            <w:vAlign w:val="center"/>
          </w:tcPr>
          <w:p w14:paraId="5F81099B">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病险水闸除险加固工程</w:t>
            </w:r>
          </w:p>
        </w:tc>
        <w:tc>
          <w:tcPr>
            <w:tcW w:w="3604" w:type="dxa"/>
            <w:tcBorders>
              <w:top w:val="nil"/>
              <w:left w:val="nil"/>
              <w:bottom w:val="single" w:color="auto" w:sz="4" w:space="0"/>
              <w:right w:val="single" w:color="auto" w:sz="4" w:space="0"/>
            </w:tcBorders>
            <w:shd w:val="clear" w:color="auto" w:fill="auto"/>
            <w:vAlign w:val="center"/>
          </w:tcPr>
          <w:p w14:paraId="0884A454">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实施北京排污河防潮闸除险加固。</w:t>
            </w:r>
          </w:p>
        </w:tc>
        <w:tc>
          <w:tcPr>
            <w:tcW w:w="1078" w:type="dxa"/>
            <w:tcBorders>
              <w:top w:val="nil"/>
              <w:left w:val="nil"/>
              <w:bottom w:val="single" w:color="auto" w:sz="4" w:space="0"/>
              <w:right w:val="single" w:color="auto" w:sz="4" w:space="0"/>
            </w:tcBorders>
            <w:shd w:val="clear" w:color="auto" w:fill="auto"/>
            <w:noWrap/>
            <w:vAlign w:val="center"/>
          </w:tcPr>
          <w:p w14:paraId="72D430E2">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4000</w:t>
            </w:r>
          </w:p>
        </w:tc>
        <w:tc>
          <w:tcPr>
            <w:tcW w:w="1078" w:type="dxa"/>
            <w:tcBorders>
              <w:top w:val="nil"/>
              <w:left w:val="nil"/>
              <w:bottom w:val="single" w:color="auto" w:sz="4" w:space="0"/>
              <w:right w:val="single" w:color="auto" w:sz="4" w:space="0"/>
            </w:tcBorders>
            <w:shd w:val="clear" w:color="auto" w:fill="auto"/>
            <w:vAlign w:val="center"/>
          </w:tcPr>
          <w:p w14:paraId="757E6F40">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vAlign w:val="center"/>
          </w:tcPr>
          <w:p w14:paraId="252A4162">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4000</w:t>
            </w:r>
          </w:p>
        </w:tc>
      </w:tr>
      <w:tr w14:paraId="5C6E8D9F">
        <w:trPr>
          <w:trHeight w:val="585"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472A81E9">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w:t>
            </w:r>
          </w:p>
        </w:tc>
        <w:tc>
          <w:tcPr>
            <w:tcW w:w="1622" w:type="dxa"/>
            <w:tcBorders>
              <w:top w:val="nil"/>
              <w:left w:val="nil"/>
              <w:bottom w:val="single" w:color="auto" w:sz="4" w:space="0"/>
              <w:right w:val="single" w:color="auto" w:sz="4" w:space="0"/>
            </w:tcBorders>
            <w:shd w:val="clear" w:color="auto" w:fill="auto"/>
            <w:noWrap/>
            <w:vAlign w:val="center"/>
          </w:tcPr>
          <w:p w14:paraId="028A22E8">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易积水片区改造工程</w:t>
            </w:r>
          </w:p>
        </w:tc>
        <w:tc>
          <w:tcPr>
            <w:tcW w:w="3604" w:type="dxa"/>
            <w:tcBorders>
              <w:top w:val="nil"/>
              <w:left w:val="nil"/>
              <w:bottom w:val="single" w:color="auto" w:sz="4" w:space="0"/>
              <w:right w:val="single" w:color="auto" w:sz="4" w:space="0"/>
            </w:tcBorders>
            <w:shd w:val="clear" w:color="auto" w:fill="auto"/>
            <w:vAlign w:val="center"/>
          </w:tcPr>
          <w:p w14:paraId="06B1E625">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建设汾河南道雨水泵站及配套管网。</w:t>
            </w:r>
          </w:p>
        </w:tc>
        <w:tc>
          <w:tcPr>
            <w:tcW w:w="1078" w:type="dxa"/>
            <w:tcBorders>
              <w:top w:val="nil"/>
              <w:left w:val="nil"/>
              <w:bottom w:val="single" w:color="auto" w:sz="4" w:space="0"/>
              <w:right w:val="single" w:color="auto" w:sz="4" w:space="0"/>
            </w:tcBorders>
            <w:shd w:val="clear" w:color="auto" w:fill="auto"/>
            <w:noWrap/>
            <w:vAlign w:val="center"/>
          </w:tcPr>
          <w:p w14:paraId="7E981505">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27000</w:t>
            </w:r>
          </w:p>
        </w:tc>
        <w:tc>
          <w:tcPr>
            <w:tcW w:w="1078" w:type="dxa"/>
            <w:tcBorders>
              <w:top w:val="nil"/>
              <w:left w:val="nil"/>
              <w:bottom w:val="single" w:color="auto" w:sz="4" w:space="0"/>
              <w:right w:val="single" w:color="auto" w:sz="4" w:space="0"/>
            </w:tcBorders>
            <w:shd w:val="clear" w:color="auto" w:fill="auto"/>
            <w:vAlign w:val="center"/>
          </w:tcPr>
          <w:p w14:paraId="66C039AC">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27000</w:t>
            </w:r>
          </w:p>
        </w:tc>
        <w:tc>
          <w:tcPr>
            <w:tcW w:w="1078" w:type="dxa"/>
            <w:tcBorders>
              <w:top w:val="nil"/>
              <w:left w:val="nil"/>
              <w:bottom w:val="single" w:color="auto" w:sz="4" w:space="0"/>
              <w:right w:val="single" w:color="auto" w:sz="4" w:space="0"/>
            </w:tcBorders>
            <w:shd w:val="clear" w:color="auto" w:fill="auto"/>
            <w:vAlign w:val="center"/>
          </w:tcPr>
          <w:p w14:paraId="1BEA33E6">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14:paraId="01C54962">
        <w:trPr>
          <w:trHeight w:val="766"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5224E06B">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3</w:t>
            </w:r>
          </w:p>
        </w:tc>
        <w:tc>
          <w:tcPr>
            <w:tcW w:w="1622" w:type="dxa"/>
            <w:tcBorders>
              <w:top w:val="nil"/>
              <w:left w:val="nil"/>
              <w:bottom w:val="single" w:color="auto" w:sz="4" w:space="0"/>
              <w:right w:val="single" w:color="auto" w:sz="4" w:space="0"/>
            </w:tcBorders>
            <w:shd w:val="clear" w:color="auto" w:fill="auto"/>
            <w:noWrap/>
            <w:vAlign w:val="center"/>
          </w:tcPr>
          <w:p w14:paraId="47423F97">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河口闸站建设工程</w:t>
            </w:r>
          </w:p>
        </w:tc>
        <w:tc>
          <w:tcPr>
            <w:tcW w:w="3604" w:type="dxa"/>
            <w:tcBorders>
              <w:top w:val="nil"/>
              <w:left w:val="nil"/>
              <w:bottom w:val="single" w:color="auto" w:sz="4" w:space="0"/>
              <w:right w:val="single" w:color="auto" w:sz="4" w:space="0"/>
            </w:tcBorders>
            <w:shd w:val="clear" w:color="auto" w:fill="auto"/>
            <w:vAlign w:val="center"/>
          </w:tcPr>
          <w:p w14:paraId="2DEEA9BF">
            <w:pPr>
              <w:keepNext w:val="0"/>
              <w:keepLines w:val="0"/>
              <w:pageBreakBefore w:val="0"/>
              <w:widowControl/>
              <w:kinsoku/>
              <w:overflowPunct/>
              <w:topLinePunct w:val="0"/>
              <w:autoSpaceDE/>
              <w:autoSpaceDN/>
              <w:bidi w:val="0"/>
              <w:spacing w:line="600" w:lineRule="exact"/>
              <w:jc w:val="both"/>
              <w:textAlignment w:val="auto"/>
              <w:rPr>
                <w:rFonts w:hint="eastAsia" w:ascii="仿宋_GB2312" w:hAnsi="仿宋_GB2312" w:eastAsia="仿宋_GB2312" w:cs="仿宋_GB2312"/>
                <w:color w:val="000000"/>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bidi="ar-SA"/>
              </w:rPr>
              <w:t>扩建堵口堤泵站，设计流量20立方米/秒；扩建新开河左岸泵站，设计流量17立方米/秒</w:t>
            </w:r>
            <w:r>
              <w:rPr>
                <w:rFonts w:hint="eastAsia" w:ascii="仿宋_GB2312" w:hAnsi="仿宋_GB2312" w:eastAsia="仿宋_GB2312" w:cs="仿宋_GB2312"/>
                <w:color w:val="000000"/>
                <w:sz w:val="21"/>
                <w:szCs w:val="21"/>
                <w:highlight w:val="none"/>
                <w:lang w:val="en-US" w:eastAsia="zh-CN" w:bidi="ar-SA"/>
              </w:rPr>
              <w:t>。</w:t>
            </w:r>
          </w:p>
        </w:tc>
        <w:tc>
          <w:tcPr>
            <w:tcW w:w="1078" w:type="dxa"/>
            <w:tcBorders>
              <w:top w:val="nil"/>
              <w:left w:val="nil"/>
              <w:bottom w:val="single" w:color="auto" w:sz="4" w:space="0"/>
              <w:right w:val="single" w:color="auto" w:sz="4" w:space="0"/>
            </w:tcBorders>
            <w:shd w:val="clear" w:color="auto" w:fill="auto"/>
            <w:noWrap/>
            <w:vAlign w:val="center"/>
          </w:tcPr>
          <w:p w14:paraId="210780C1">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17000</w:t>
            </w:r>
          </w:p>
        </w:tc>
        <w:tc>
          <w:tcPr>
            <w:tcW w:w="1078" w:type="dxa"/>
            <w:tcBorders>
              <w:top w:val="nil"/>
              <w:left w:val="nil"/>
              <w:bottom w:val="single" w:color="auto" w:sz="4" w:space="0"/>
              <w:right w:val="single" w:color="auto" w:sz="4" w:space="0"/>
            </w:tcBorders>
            <w:shd w:val="clear" w:color="auto" w:fill="auto"/>
            <w:vAlign w:val="center"/>
          </w:tcPr>
          <w:p w14:paraId="416CC837">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vAlign w:val="center"/>
          </w:tcPr>
          <w:p w14:paraId="5C628416">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17000</w:t>
            </w:r>
          </w:p>
        </w:tc>
      </w:tr>
      <w:tr w14:paraId="272DCBAE">
        <w:trPr>
          <w:trHeight w:val="1617"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0181D317">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4</w:t>
            </w:r>
          </w:p>
        </w:tc>
        <w:tc>
          <w:tcPr>
            <w:tcW w:w="1622" w:type="dxa"/>
            <w:tcBorders>
              <w:top w:val="nil"/>
              <w:left w:val="nil"/>
              <w:bottom w:val="single" w:color="auto" w:sz="4" w:space="0"/>
              <w:right w:val="single" w:color="auto" w:sz="4" w:space="0"/>
            </w:tcBorders>
            <w:shd w:val="clear" w:color="auto" w:fill="auto"/>
            <w:noWrap/>
            <w:vAlign w:val="center"/>
          </w:tcPr>
          <w:p w14:paraId="68A336EC">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雨水泵站扩容工程</w:t>
            </w:r>
          </w:p>
        </w:tc>
        <w:tc>
          <w:tcPr>
            <w:tcW w:w="3604" w:type="dxa"/>
            <w:tcBorders>
              <w:top w:val="nil"/>
              <w:left w:val="nil"/>
              <w:bottom w:val="single" w:color="auto" w:sz="4" w:space="0"/>
              <w:right w:val="single" w:color="auto" w:sz="4" w:space="0"/>
            </w:tcBorders>
            <w:shd w:val="clear" w:color="auto" w:fill="auto"/>
            <w:vAlign w:val="center"/>
          </w:tcPr>
          <w:p w14:paraId="18E0D7B7">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景丽路雨水泵站、双街3#雨水泵站、双街停车场雨水泵站、辰永路雨水泵站、宜白路（宜兴埠）雨水泵站、青光1</w:t>
            </w:r>
            <w:r>
              <w:rPr>
                <w:rFonts w:hint="eastAsia" w:ascii="仿宋_GB2312" w:hAnsi="仿宋_GB2312" w:eastAsia="仿宋_GB2312" w:cs="仿宋_GB2312"/>
                <w:color w:val="000000"/>
                <w:sz w:val="21"/>
                <w:szCs w:val="21"/>
                <w:highlight w:val="none"/>
                <w:vertAlign w:val="superscript"/>
                <w:lang w:val="en-US" w:bidi="ar-SA"/>
              </w:rPr>
              <w:t>#</w:t>
            </w:r>
            <w:r>
              <w:rPr>
                <w:rFonts w:hint="eastAsia" w:ascii="仿宋_GB2312" w:hAnsi="仿宋_GB2312" w:eastAsia="仿宋_GB2312" w:cs="仿宋_GB2312"/>
                <w:color w:val="000000"/>
                <w:sz w:val="21"/>
                <w:szCs w:val="21"/>
                <w:highlight w:val="none"/>
                <w:lang w:val="en-US" w:bidi="ar-SA"/>
              </w:rPr>
              <w:t>雨水泵站6座，总排水流量127.9立方米/秒。</w:t>
            </w:r>
          </w:p>
        </w:tc>
        <w:tc>
          <w:tcPr>
            <w:tcW w:w="1078" w:type="dxa"/>
            <w:tcBorders>
              <w:top w:val="nil"/>
              <w:left w:val="nil"/>
              <w:bottom w:val="single" w:color="auto" w:sz="4" w:space="0"/>
              <w:right w:val="single" w:color="auto" w:sz="4" w:space="0"/>
            </w:tcBorders>
            <w:shd w:val="clear" w:color="auto" w:fill="auto"/>
            <w:noWrap/>
            <w:vAlign w:val="center"/>
          </w:tcPr>
          <w:p w14:paraId="2836CB6E">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89000</w:t>
            </w:r>
          </w:p>
        </w:tc>
        <w:tc>
          <w:tcPr>
            <w:tcW w:w="1078" w:type="dxa"/>
            <w:tcBorders>
              <w:top w:val="nil"/>
              <w:left w:val="nil"/>
              <w:bottom w:val="single" w:color="auto" w:sz="4" w:space="0"/>
              <w:right w:val="single" w:color="auto" w:sz="4" w:space="0"/>
            </w:tcBorders>
            <w:shd w:val="clear" w:color="auto" w:fill="auto"/>
            <w:vAlign w:val="center"/>
          </w:tcPr>
          <w:p w14:paraId="390AA7FA">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1"/>
                <w:szCs w:val="21"/>
                <w:highlight w:val="none"/>
                <w:lang w:val="en-US" w:bidi="ar-SA"/>
              </w:rPr>
            </w:pPr>
            <w:r>
              <w:rPr>
                <w:rFonts w:hint="eastAsia" w:ascii="仿宋_GB2312" w:hAnsi="仿宋_GB2312" w:eastAsia="仿宋_GB2312" w:cs="仿宋_GB2312"/>
                <w:color w:val="auto"/>
                <w:sz w:val="21"/>
                <w:szCs w:val="21"/>
                <w:highlight w:val="none"/>
                <w:lang w:val="en-US" w:bidi="ar-SA"/>
              </w:rPr>
              <w:t>89000</w:t>
            </w:r>
          </w:p>
        </w:tc>
        <w:tc>
          <w:tcPr>
            <w:tcW w:w="1078" w:type="dxa"/>
            <w:tcBorders>
              <w:top w:val="nil"/>
              <w:left w:val="nil"/>
              <w:bottom w:val="single" w:color="auto" w:sz="4" w:space="0"/>
              <w:right w:val="single" w:color="auto" w:sz="4" w:space="0"/>
            </w:tcBorders>
            <w:shd w:val="clear" w:color="auto" w:fill="auto"/>
            <w:vAlign w:val="center"/>
          </w:tcPr>
          <w:p w14:paraId="327E6DD6">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FF0000"/>
                <w:sz w:val="21"/>
                <w:szCs w:val="21"/>
                <w:highlight w:val="none"/>
                <w:lang w:val="en-US" w:bidi="ar-SA"/>
              </w:rPr>
            </w:pPr>
            <w:r>
              <w:rPr>
                <w:rFonts w:hint="eastAsia" w:ascii="仿宋_GB2312" w:hAnsi="仿宋_GB2312" w:eastAsia="仿宋_GB2312" w:cs="仿宋_GB2312"/>
                <w:color w:val="FF0000"/>
                <w:sz w:val="21"/>
                <w:szCs w:val="21"/>
                <w:highlight w:val="none"/>
                <w:lang w:val="en-US" w:bidi="ar-SA"/>
              </w:rPr>
              <w:t>　</w:t>
            </w:r>
          </w:p>
        </w:tc>
      </w:tr>
      <w:tr w14:paraId="2036C567">
        <w:trPr>
          <w:trHeight w:val="796"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09A5EAAE">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5</w:t>
            </w:r>
          </w:p>
        </w:tc>
        <w:tc>
          <w:tcPr>
            <w:tcW w:w="1622" w:type="dxa"/>
            <w:tcBorders>
              <w:top w:val="nil"/>
              <w:left w:val="nil"/>
              <w:bottom w:val="single" w:color="auto" w:sz="4" w:space="0"/>
              <w:right w:val="single" w:color="auto" w:sz="4" w:space="0"/>
            </w:tcBorders>
            <w:shd w:val="clear" w:color="auto" w:fill="auto"/>
            <w:vAlign w:val="center"/>
          </w:tcPr>
          <w:p w14:paraId="30E88CBE">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农村扬水站改造工程</w:t>
            </w:r>
          </w:p>
        </w:tc>
        <w:tc>
          <w:tcPr>
            <w:tcW w:w="3604" w:type="dxa"/>
            <w:tcBorders>
              <w:top w:val="nil"/>
              <w:left w:val="nil"/>
              <w:bottom w:val="single" w:color="auto" w:sz="4" w:space="0"/>
              <w:right w:val="single" w:color="auto" w:sz="4" w:space="0"/>
            </w:tcBorders>
            <w:shd w:val="clear" w:color="auto" w:fill="auto"/>
            <w:vAlign w:val="center"/>
          </w:tcPr>
          <w:p w14:paraId="149899BB">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bidi="ar-SA"/>
              </w:rPr>
              <w:t>实施韩盛庄泵站扩建工程，设计排涝流量20立方米/秒，设计灌溉流量1立方米/秒</w:t>
            </w:r>
            <w:r>
              <w:rPr>
                <w:rFonts w:hint="eastAsia" w:ascii="仿宋_GB2312" w:hAnsi="仿宋_GB2312" w:eastAsia="仿宋_GB2312" w:cs="仿宋_GB2312"/>
                <w:color w:val="000000"/>
                <w:sz w:val="21"/>
                <w:szCs w:val="21"/>
                <w:highlight w:val="none"/>
                <w:lang w:val="en-US" w:eastAsia="zh-CN" w:bidi="ar-SA"/>
              </w:rPr>
              <w:t>。</w:t>
            </w:r>
          </w:p>
        </w:tc>
        <w:tc>
          <w:tcPr>
            <w:tcW w:w="1078" w:type="dxa"/>
            <w:tcBorders>
              <w:top w:val="nil"/>
              <w:left w:val="nil"/>
              <w:bottom w:val="single" w:color="auto" w:sz="4" w:space="0"/>
              <w:right w:val="single" w:color="auto" w:sz="4" w:space="0"/>
            </w:tcBorders>
            <w:shd w:val="clear" w:color="auto" w:fill="auto"/>
            <w:noWrap/>
            <w:vAlign w:val="center"/>
          </w:tcPr>
          <w:p w14:paraId="547D1249">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8600</w:t>
            </w:r>
          </w:p>
        </w:tc>
        <w:tc>
          <w:tcPr>
            <w:tcW w:w="1078" w:type="dxa"/>
            <w:tcBorders>
              <w:top w:val="nil"/>
              <w:left w:val="nil"/>
              <w:bottom w:val="single" w:color="auto" w:sz="4" w:space="0"/>
              <w:right w:val="single" w:color="auto" w:sz="4" w:space="0"/>
            </w:tcBorders>
            <w:shd w:val="clear" w:color="auto" w:fill="auto"/>
            <w:vAlign w:val="center"/>
          </w:tcPr>
          <w:p w14:paraId="2BD86A2C">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8600</w:t>
            </w:r>
          </w:p>
        </w:tc>
        <w:tc>
          <w:tcPr>
            <w:tcW w:w="1078" w:type="dxa"/>
            <w:tcBorders>
              <w:top w:val="nil"/>
              <w:left w:val="nil"/>
              <w:bottom w:val="single" w:color="auto" w:sz="4" w:space="0"/>
              <w:right w:val="single" w:color="auto" w:sz="4" w:space="0"/>
            </w:tcBorders>
            <w:shd w:val="clear" w:color="auto" w:fill="auto"/>
            <w:vAlign w:val="center"/>
          </w:tcPr>
          <w:p w14:paraId="1B52C9C3">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14:paraId="55868406">
        <w:trPr>
          <w:trHeight w:val="501"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7C7933E0">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6</w:t>
            </w:r>
          </w:p>
        </w:tc>
        <w:tc>
          <w:tcPr>
            <w:tcW w:w="1622" w:type="dxa"/>
            <w:tcBorders>
              <w:top w:val="nil"/>
              <w:left w:val="nil"/>
              <w:bottom w:val="single" w:color="auto" w:sz="4" w:space="0"/>
              <w:right w:val="single" w:color="auto" w:sz="4" w:space="0"/>
            </w:tcBorders>
            <w:shd w:val="clear" w:color="auto" w:fill="auto"/>
            <w:noWrap/>
            <w:vAlign w:val="center"/>
          </w:tcPr>
          <w:p w14:paraId="4213FE49">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二级河道治理工程</w:t>
            </w:r>
          </w:p>
        </w:tc>
        <w:tc>
          <w:tcPr>
            <w:tcW w:w="3604" w:type="dxa"/>
            <w:tcBorders>
              <w:top w:val="nil"/>
              <w:left w:val="nil"/>
              <w:bottom w:val="single" w:color="auto" w:sz="4" w:space="0"/>
              <w:right w:val="single" w:color="auto" w:sz="4" w:space="0"/>
            </w:tcBorders>
            <w:shd w:val="clear" w:color="auto" w:fill="auto"/>
            <w:vAlign w:val="center"/>
          </w:tcPr>
          <w:p w14:paraId="3760BFB1">
            <w:pPr>
              <w:keepNext w:val="0"/>
              <w:keepLines w:val="0"/>
              <w:pageBreakBefore w:val="0"/>
              <w:widowControl/>
              <w:kinsoku/>
              <w:overflowPunct/>
              <w:topLinePunct w:val="0"/>
              <w:autoSpaceDE/>
              <w:autoSpaceDN/>
              <w:bidi w:val="0"/>
              <w:spacing w:line="600" w:lineRule="exact"/>
              <w:jc w:val="left"/>
              <w:textAlignment w:val="auto"/>
              <w:rPr>
                <w:rFonts w:hint="eastAsia" w:ascii="仿宋_GB2312" w:hAnsi="仿宋_GB2312" w:eastAsia="仿宋_GB2312" w:cs="仿宋_GB2312"/>
                <w:color w:val="000000"/>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bidi="ar-SA"/>
              </w:rPr>
              <w:t>机场排水河东堤九园公路至芦新河泵站段复堤4.97公里（不含征地等费用）</w:t>
            </w:r>
            <w:r>
              <w:rPr>
                <w:rFonts w:hint="eastAsia" w:ascii="仿宋_GB2312" w:hAnsi="仿宋_GB2312" w:eastAsia="仿宋_GB2312" w:cs="仿宋_GB2312"/>
                <w:color w:val="000000"/>
                <w:sz w:val="21"/>
                <w:szCs w:val="21"/>
                <w:highlight w:val="none"/>
                <w:lang w:val="en-US" w:eastAsia="zh-CN" w:bidi="ar-SA"/>
              </w:rPr>
              <w:t>。</w:t>
            </w:r>
          </w:p>
        </w:tc>
        <w:tc>
          <w:tcPr>
            <w:tcW w:w="1078" w:type="dxa"/>
            <w:tcBorders>
              <w:top w:val="nil"/>
              <w:left w:val="nil"/>
              <w:bottom w:val="single" w:color="auto" w:sz="4" w:space="0"/>
              <w:right w:val="single" w:color="auto" w:sz="4" w:space="0"/>
            </w:tcBorders>
            <w:shd w:val="clear" w:color="auto" w:fill="auto"/>
            <w:noWrap/>
            <w:vAlign w:val="center"/>
          </w:tcPr>
          <w:p w14:paraId="20EB501D">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500</w:t>
            </w:r>
          </w:p>
        </w:tc>
        <w:tc>
          <w:tcPr>
            <w:tcW w:w="1078" w:type="dxa"/>
            <w:tcBorders>
              <w:top w:val="nil"/>
              <w:left w:val="nil"/>
              <w:bottom w:val="single" w:color="auto" w:sz="4" w:space="0"/>
              <w:right w:val="single" w:color="auto" w:sz="4" w:space="0"/>
            </w:tcBorders>
            <w:shd w:val="clear" w:color="auto" w:fill="auto"/>
            <w:vAlign w:val="center"/>
          </w:tcPr>
          <w:p w14:paraId="13AE3A85">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500</w:t>
            </w:r>
          </w:p>
        </w:tc>
        <w:tc>
          <w:tcPr>
            <w:tcW w:w="1078" w:type="dxa"/>
            <w:tcBorders>
              <w:top w:val="nil"/>
              <w:left w:val="nil"/>
              <w:bottom w:val="single" w:color="auto" w:sz="4" w:space="0"/>
              <w:right w:val="single" w:color="auto" w:sz="4" w:space="0"/>
            </w:tcBorders>
            <w:shd w:val="clear" w:color="auto" w:fill="auto"/>
            <w:vAlign w:val="center"/>
          </w:tcPr>
          <w:p w14:paraId="282ACD20">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14:paraId="34627E4B">
        <w:trPr>
          <w:trHeight w:val="1258"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564F32B5">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7</w:t>
            </w:r>
          </w:p>
        </w:tc>
        <w:tc>
          <w:tcPr>
            <w:tcW w:w="1622" w:type="dxa"/>
            <w:tcBorders>
              <w:top w:val="nil"/>
              <w:left w:val="nil"/>
              <w:bottom w:val="single" w:color="auto" w:sz="4" w:space="0"/>
              <w:right w:val="single" w:color="auto" w:sz="4" w:space="0"/>
            </w:tcBorders>
            <w:shd w:val="clear" w:color="auto" w:fill="auto"/>
            <w:noWrap/>
            <w:vAlign w:val="center"/>
          </w:tcPr>
          <w:p w14:paraId="4374DC05">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二级河道建筑物维修改造工程</w:t>
            </w:r>
          </w:p>
        </w:tc>
        <w:tc>
          <w:tcPr>
            <w:tcW w:w="3604" w:type="dxa"/>
            <w:tcBorders>
              <w:top w:val="nil"/>
              <w:left w:val="nil"/>
              <w:bottom w:val="single" w:color="auto" w:sz="4" w:space="0"/>
              <w:right w:val="single" w:color="auto" w:sz="4" w:space="0"/>
            </w:tcBorders>
            <w:shd w:val="clear" w:color="auto" w:fill="auto"/>
            <w:vAlign w:val="center"/>
          </w:tcPr>
          <w:p w14:paraId="5E66721F">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拆除重</w:t>
            </w:r>
            <w:r>
              <w:rPr>
                <w:rFonts w:hint="eastAsia" w:cs="仿宋_GB2312"/>
                <w:color w:val="000000"/>
                <w:sz w:val="21"/>
                <w:szCs w:val="21"/>
                <w:highlight w:val="none"/>
                <w:lang w:val="en-US" w:eastAsia="zh-CN" w:bidi="ar-SA"/>
              </w:rPr>
              <w:t>建</w:t>
            </w:r>
            <w:r>
              <w:rPr>
                <w:rFonts w:hint="eastAsia" w:ascii="仿宋_GB2312" w:hAnsi="仿宋_GB2312" w:eastAsia="仿宋_GB2312" w:cs="仿宋_GB2312"/>
                <w:color w:val="000000"/>
                <w:sz w:val="21"/>
                <w:szCs w:val="21"/>
                <w:highlight w:val="none"/>
                <w:lang w:val="en-US" w:bidi="ar-SA"/>
              </w:rPr>
              <w:t>中泓故道窑地桥</w:t>
            </w:r>
            <w:r>
              <w:rPr>
                <w:rFonts w:hint="eastAsia" w:cs="仿宋_GB2312"/>
                <w:color w:val="000000"/>
                <w:sz w:val="21"/>
                <w:szCs w:val="21"/>
                <w:highlight w:val="none"/>
                <w:lang w:val="en-US" w:eastAsia="zh-CN" w:bidi="ar-SA"/>
              </w:rPr>
              <w:t>，</w:t>
            </w:r>
            <w:r>
              <w:rPr>
                <w:rFonts w:hint="eastAsia" w:ascii="仿宋_GB2312" w:hAnsi="仿宋_GB2312" w:eastAsia="仿宋_GB2312" w:cs="仿宋_GB2312"/>
                <w:color w:val="000000"/>
                <w:sz w:val="21"/>
                <w:szCs w:val="21"/>
                <w:highlight w:val="none"/>
                <w:lang w:val="en-US" w:bidi="ar-SA"/>
              </w:rPr>
              <w:t>大修刘安庄桥、辛侯庄桥及牛场桥3座桥梁；二级河道节制闸、堤防、权属桥梁安全鉴定及维修；郎园引河管涵段探查、维修。</w:t>
            </w:r>
          </w:p>
        </w:tc>
        <w:tc>
          <w:tcPr>
            <w:tcW w:w="1078" w:type="dxa"/>
            <w:tcBorders>
              <w:top w:val="nil"/>
              <w:left w:val="nil"/>
              <w:bottom w:val="single" w:color="auto" w:sz="4" w:space="0"/>
              <w:right w:val="single" w:color="auto" w:sz="4" w:space="0"/>
            </w:tcBorders>
            <w:shd w:val="clear" w:color="auto" w:fill="auto"/>
            <w:noWrap/>
            <w:vAlign w:val="center"/>
          </w:tcPr>
          <w:p w14:paraId="6AFD818D">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1520</w:t>
            </w:r>
          </w:p>
        </w:tc>
        <w:tc>
          <w:tcPr>
            <w:tcW w:w="1078" w:type="dxa"/>
            <w:tcBorders>
              <w:top w:val="nil"/>
              <w:left w:val="nil"/>
              <w:bottom w:val="single" w:color="auto" w:sz="4" w:space="0"/>
              <w:right w:val="single" w:color="auto" w:sz="4" w:space="0"/>
            </w:tcBorders>
            <w:shd w:val="clear" w:color="auto" w:fill="auto"/>
            <w:vAlign w:val="center"/>
          </w:tcPr>
          <w:p w14:paraId="188D8920">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1520</w:t>
            </w:r>
          </w:p>
        </w:tc>
        <w:tc>
          <w:tcPr>
            <w:tcW w:w="1078" w:type="dxa"/>
            <w:tcBorders>
              <w:top w:val="nil"/>
              <w:left w:val="nil"/>
              <w:bottom w:val="single" w:color="auto" w:sz="4" w:space="0"/>
              <w:right w:val="single" w:color="auto" w:sz="4" w:space="0"/>
            </w:tcBorders>
            <w:shd w:val="clear" w:color="auto" w:fill="auto"/>
            <w:vAlign w:val="center"/>
          </w:tcPr>
          <w:p w14:paraId="4FC85FDA">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14:paraId="25338005">
        <w:trPr>
          <w:trHeight w:val="491"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6522B1BF">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三</w:t>
            </w:r>
          </w:p>
        </w:tc>
        <w:tc>
          <w:tcPr>
            <w:tcW w:w="1622" w:type="dxa"/>
            <w:tcBorders>
              <w:top w:val="nil"/>
              <w:left w:val="nil"/>
              <w:bottom w:val="single" w:color="auto" w:sz="4" w:space="0"/>
              <w:right w:val="single" w:color="auto" w:sz="4" w:space="0"/>
            </w:tcBorders>
            <w:shd w:val="clear" w:color="auto" w:fill="auto"/>
            <w:noWrap/>
            <w:vAlign w:val="center"/>
          </w:tcPr>
          <w:p w14:paraId="7C3B3136">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水生态环境保护工程</w:t>
            </w:r>
          </w:p>
        </w:tc>
        <w:tc>
          <w:tcPr>
            <w:tcW w:w="3604" w:type="dxa"/>
            <w:tcBorders>
              <w:top w:val="nil"/>
              <w:left w:val="nil"/>
              <w:bottom w:val="single" w:color="auto" w:sz="4" w:space="0"/>
              <w:right w:val="single" w:color="auto" w:sz="4" w:space="0"/>
            </w:tcBorders>
            <w:shd w:val="clear" w:color="auto" w:fill="auto"/>
            <w:vAlign w:val="center"/>
          </w:tcPr>
          <w:p w14:paraId="353C2363">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noWrap/>
            <w:vAlign w:val="center"/>
          </w:tcPr>
          <w:p w14:paraId="5FBEE42F">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rPr>
              <w:t>212200</w:t>
            </w:r>
          </w:p>
        </w:tc>
        <w:tc>
          <w:tcPr>
            <w:tcW w:w="1078" w:type="dxa"/>
            <w:tcBorders>
              <w:top w:val="nil"/>
              <w:left w:val="nil"/>
              <w:bottom w:val="single" w:color="auto" w:sz="4" w:space="0"/>
              <w:right w:val="single" w:color="auto" w:sz="4" w:space="0"/>
            </w:tcBorders>
            <w:shd w:val="clear" w:color="auto" w:fill="auto"/>
            <w:vAlign w:val="center"/>
          </w:tcPr>
          <w:p w14:paraId="2C1786E7">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97900</w:t>
            </w:r>
          </w:p>
        </w:tc>
        <w:tc>
          <w:tcPr>
            <w:tcW w:w="1078" w:type="dxa"/>
            <w:tcBorders>
              <w:top w:val="nil"/>
              <w:left w:val="nil"/>
              <w:bottom w:val="single" w:color="auto" w:sz="4" w:space="0"/>
              <w:right w:val="single" w:color="auto" w:sz="4" w:space="0"/>
            </w:tcBorders>
            <w:shd w:val="clear" w:color="auto" w:fill="auto"/>
            <w:vAlign w:val="center"/>
          </w:tcPr>
          <w:p w14:paraId="4450ED88">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114300</w:t>
            </w:r>
          </w:p>
        </w:tc>
      </w:tr>
      <w:tr w14:paraId="254A697B">
        <w:trPr>
          <w:trHeight w:val="596"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1360243C">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（一）</w:t>
            </w:r>
          </w:p>
        </w:tc>
        <w:tc>
          <w:tcPr>
            <w:tcW w:w="1622" w:type="dxa"/>
            <w:tcBorders>
              <w:top w:val="nil"/>
              <w:left w:val="nil"/>
              <w:bottom w:val="single" w:color="auto" w:sz="4" w:space="0"/>
              <w:right w:val="single" w:color="auto" w:sz="4" w:space="0"/>
            </w:tcBorders>
            <w:shd w:val="clear" w:color="auto" w:fill="auto"/>
            <w:noWrap/>
            <w:vAlign w:val="center"/>
          </w:tcPr>
          <w:p w14:paraId="2EAE420D">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水环境治理</w:t>
            </w:r>
          </w:p>
        </w:tc>
        <w:tc>
          <w:tcPr>
            <w:tcW w:w="3604" w:type="dxa"/>
            <w:tcBorders>
              <w:top w:val="nil"/>
              <w:left w:val="nil"/>
              <w:bottom w:val="single" w:color="auto" w:sz="4" w:space="0"/>
              <w:right w:val="single" w:color="auto" w:sz="4" w:space="0"/>
            </w:tcBorders>
            <w:shd w:val="clear" w:color="auto" w:fill="auto"/>
            <w:vAlign w:val="center"/>
          </w:tcPr>
          <w:p w14:paraId="1DF91D47">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noWrap/>
            <w:vAlign w:val="center"/>
          </w:tcPr>
          <w:p w14:paraId="6CF13177">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178600</w:t>
            </w:r>
          </w:p>
        </w:tc>
        <w:tc>
          <w:tcPr>
            <w:tcW w:w="1078" w:type="dxa"/>
            <w:tcBorders>
              <w:top w:val="nil"/>
              <w:left w:val="nil"/>
              <w:bottom w:val="single" w:color="auto" w:sz="4" w:space="0"/>
              <w:right w:val="single" w:color="auto" w:sz="4" w:space="0"/>
            </w:tcBorders>
            <w:shd w:val="clear" w:color="auto" w:fill="auto"/>
            <w:vAlign w:val="center"/>
          </w:tcPr>
          <w:p w14:paraId="3274F7FE">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88200</w:t>
            </w:r>
          </w:p>
        </w:tc>
        <w:tc>
          <w:tcPr>
            <w:tcW w:w="1078" w:type="dxa"/>
            <w:tcBorders>
              <w:top w:val="nil"/>
              <w:left w:val="nil"/>
              <w:bottom w:val="single" w:color="auto" w:sz="4" w:space="0"/>
              <w:right w:val="single" w:color="auto" w:sz="4" w:space="0"/>
            </w:tcBorders>
            <w:shd w:val="clear" w:color="auto" w:fill="auto"/>
            <w:vAlign w:val="center"/>
          </w:tcPr>
          <w:p w14:paraId="6FC62B82">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90400</w:t>
            </w:r>
          </w:p>
        </w:tc>
      </w:tr>
      <w:tr w14:paraId="28C1EE24">
        <w:trPr>
          <w:trHeight w:val="9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03F0D7DC">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w:t>
            </w:r>
          </w:p>
        </w:tc>
        <w:tc>
          <w:tcPr>
            <w:tcW w:w="1622" w:type="dxa"/>
            <w:tcBorders>
              <w:top w:val="nil"/>
              <w:left w:val="nil"/>
              <w:bottom w:val="single" w:color="auto" w:sz="4" w:space="0"/>
              <w:right w:val="single" w:color="auto" w:sz="4" w:space="0"/>
            </w:tcBorders>
            <w:shd w:val="clear" w:color="auto" w:fill="auto"/>
            <w:noWrap/>
            <w:vAlign w:val="center"/>
          </w:tcPr>
          <w:p w14:paraId="3B2550A2">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雨污调蓄池工程</w:t>
            </w:r>
          </w:p>
        </w:tc>
        <w:tc>
          <w:tcPr>
            <w:tcW w:w="3604" w:type="dxa"/>
            <w:tcBorders>
              <w:top w:val="nil"/>
              <w:left w:val="nil"/>
              <w:bottom w:val="single" w:color="auto" w:sz="4" w:space="0"/>
              <w:right w:val="single" w:color="auto" w:sz="4" w:space="0"/>
            </w:tcBorders>
            <w:shd w:val="clear" w:color="auto" w:fill="auto"/>
            <w:vAlign w:val="center"/>
          </w:tcPr>
          <w:p w14:paraId="62960006">
            <w:pPr>
              <w:keepNext w:val="0"/>
              <w:keepLines w:val="0"/>
              <w:pageBreakBefore w:val="0"/>
              <w:widowControl/>
              <w:kinsoku/>
              <w:overflowPunct/>
              <w:topLinePunct w:val="0"/>
              <w:autoSpaceDE/>
              <w:autoSpaceDN/>
              <w:bidi w:val="0"/>
              <w:spacing w:line="600" w:lineRule="exact"/>
              <w:jc w:val="left"/>
              <w:textAlignment w:val="auto"/>
              <w:rPr>
                <w:rFonts w:hint="eastAsia" w:ascii="仿宋_GB2312" w:hAnsi="仿宋_GB2312" w:eastAsia="仿宋_GB2312" w:cs="仿宋_GB2312"/>
                <w:color w:val="000000"/>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bidi="ar-SA"/>
              </w:rPr>
              <w:t>新建闫街、四十七中、北运河北3座初期雨水调蓄池，新增调蓄能力15.4万立方米</w:t>
            </w:r>
            <w:r>
              <w:rPr>
                <w:rFonts w:hint="eastAsia" w:ascii="仿宋_GB2312" w:hAnsi="仿宋_GB2312" w:eastAsia="仿宋_GB2312" w:cs="仿宋_GB2312"/>
                <w:color w:val="000000"/>
                <w:sz w:val="21"/>
                <w:szCs w:val="21"/>
                <w:highlight w:val="none"/>
                <w:lang w:val="en-US" w:eastAsia="zh-CN" w:bidi="ar-SA"/>
              </w:rPr>
              <w:t>。</w:t>
            </w:r>
          </w:p>
        </w:tc>
        <w:tc>
          <w:tcPr>
            <w:tcW w:w="1078" w:type="dxa"/>
            <w:tcBorders>
              <w:top w:val="nil"/>
              <w:left w:val="nil"/>
              <w:bottom w:val="single" w:color="auto" w:sz="4" w:space="0"/>
              <w:right w:val="single" w:color="auto" w:sz="4" w:space="0"/>
            </w:tcBorders>
            <w:shd w:val="clear" w:color="auto" w:fill="auto"/>
            <w:noWrap/>
            <w:vAlign w:val="center"/>
          </w:tcPr>
          <w:p w14:paraId="0181CA90">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90400</w:t>
            </w:r>
          </w:p>
        </w:tc>
        <w:tc>
          <w:tcPr>
            <w:tcW w:w="1078" w:type="dxa"/>
            <w:tcBorders>
              <w:top w:val="nil"/>
              <w:left w:val="nil"/>
              <w:bottom w:val="single" w:color="auto" w:sz="4" w:space="0"/>
              <w:right w:val="single" w:color="auto" w:sz="4" w:space="0"/>
            </w:tcBorders>
            <w:shd w:val="clear" w:color="auto" w:fill="auto"/>
            <w:vAlign w:val="center"/>
          </w:tcPr>
          <w:p w14:paraId="0A73B446">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vAlign w:val="center"/>
          </w:tcPr>
          <w:p w14:paraId="3FAE3738">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90400</w:t>
            </w:r>
          </w:p>
        </w:tc>
      </w:tr>
      <w:tr w14:paraId="120CD0B2">
        <w:trPr>
          <w:trHeight w:val="796"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5D647C16">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w:t>
            </w:r>
          </w:p>
        </w:tc>
        <w:tc>
          <w:tcPr>
            <w:tcW w:w="1622" w:type="dxa"/>
            <w:tcBorders>
              <w:top w:val="nil"/>
              <w:left w:val="nil"/>
              <w:bottom w:val="single" w:color="auto" w:sz="4" w:space="0"/>
              <w:right w:val="single" w:color="auto" w:sz="4" w:space="0"/>
            </w:tcBorders>
            <w:shd w:val="clear" w:color="auto" w:fill="auto"/>
            <w:vAlign w:val="center"/>
          </w:tcPr>
          <w:p w14:paraId="2DE01F98">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北辰区新区污水处理厂工程</w:t>
            </w:r>
          </w:p>
        </w:tc>
        <w:tc>
          <w:tcPr>
            <w:tcW w:w="3604" w:type="dxa"/>
            <w:tcBorders>
              <w:top w:val="nil"/>
              <w:left w:val="nil"/>
              <w:bottom w:val="single" w:color="auto" w:sz="4" w:space="0"/>
              <w:right w:val="single" w:color="auto" w:sz="4" w:space="0"/>
            </w:tcBorders>
            <w:shd w:val="clear" w:color="auto" w:fill="auto"/>
            <w:vAlign w:val="center"/>
          </w:tcPr>
          <w:p w14:paraId="68AEB8C8">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处理规模为12万立方米/日，出水水质要求达到天津市《城镇污水处理厂污染物排放标准》（DB12/599-2015）的A标准。</w:t>
            </w:r>
          </w:p>
        </w:tc>
        <w:tc>
          <w:tcPr>
            <w:tcW w:w="1078" w:type="dxa"/>
            <w:tcBorders>
              <w:top w:val="nil"/>
              <w:left w:val="nil"/>
              <w:bottom w:val="single" w:color="auto" w:sz="4" w:space="0"/>
              <w:right w:val="single" w:color="auto" w:sz="4" w:space="0"/>
            </w:tcBorders>
            <w:shd w:val="clear" w:color="auto" w:fill="auto"/>
            <w:noWrap/>
            <w:vAlign w:val="center"/>
          </w:tcPr>
          <w:p w14:paraId="001CF91B">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69300</w:t>
            </w:r>
          </w:p>
        </w:tc>
        <w:tc>
          <w:tcPr>
            <w:tcW w:w="1078" w:type="dxa"/>
            <w:tcBorders>
              <w:top w:val="nil"/>
              <w:left w:val="nil"/>
              <w:bottom w:val="single" w:color="auto" w:sz="4" w:space="0"/>
              <w:right w:val="single" w:color="auto" w:sz="4" w:space="0"/>
            </w:tcBorders>
            <w:shd w:val="clear" w:color="auto" w:fill="auto"/>
            <w:vAlign w:val="center"/>
          </w:tcPr>
          <w:p w14:paraId="30126ABA">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69300</w:t>
            </w:r>
          </w:p>
        </w:tc>
        <w:tc>
          <w:tcPr>
            <w:tcW w:w="1078" w:type="dxa"/>
            <w:tcBorders>
              <w:top w:val="nil"/>
              <w:left w:val="nil"/>
              <w:bottom w:val="single" w:color="auto" w:sz="4" w:space="0"/>
              <w:right w:val="single" w:color="auto" w:sz="4" w:space="0"/>
            </w:tcBorders>
            <w:shd w:val="clear" w:color="auto" w:fill="auto"/>
            <w:vAlign w:val="center"/>
          </w:tcPr>
          <w:p w14:paraId="1EA94B00">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14:paraId="7BF5994C">
        <w:trPr>
          <w:trHeight w:val="1061"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2B45F">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3</w:t>
            </w:r>
          </w:p>
        </w:tc>
        <w:tc>
          <w:tcPr>
            <w:tcW w:w="1622" w:type="dxa"/>
            <w:tcBorders>
              <w:top w:val="single" w:color="auto" w:sz="4" w:space="0"/>
              <w:left w:val="nil"/>
              <w:bottom w:val="single" w:color="auto" w:sz="4" w:space="0"/>
              <w:right w:val="single" w:color="auto" w:sz="4" w:space="0"/>
            </w:tcBorders>
            <w:shd w:val="clear" w:color="auto" w:fill="auto"/>
            <w:vAlign w:val="center"/>
          </w:tcPr>
          <w:p w14:paraId="459166B0">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北辰区新区污水处理厂配套管网切改工程</w:t>
            </w:r>
          </w:p>
        </w:tc>
        <w:tc>
          <w:tcPr>
            <w:tcW w:w="3604" w:type="dxa"/>
            <w:tcBorders>
              <w:top w:val="single" w:color="auto" w:sz="4" w:space="0"/>
              <w:left w:val="nil"/>
              <w:bottom w:val="single" w:color="auto" w:sz="4" w:space="0"/>
              <w:right w:val="single" w:color="auto" w:sz="4" w:space="0"/>
            </w:tcBorders>
            <w:shd w:val="clear" w:color="auto" w:fill="auto"/>
            <w:vAlign w:val="center"/>
          </w:tcPr>
          <w:p w14:paraId="600FD382">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将科技园区凯发污水处理厂进水管、西堤头镇污水处理厂进水管、刘快庄村污水主管、陆路港污水主管切改进新区污水处理厂配套管网内。</w:t>
            </w:r>
          </w:p>
        </w:tc>
        <w:tc>
          <w:tcPr>
            <w:tcW w:w="1078" w:type="dxa"/>
            <w:tcBorders>
              <w:top w:val="single" w:color="auto" w:sz="4" w:space="0"/>
              <w:left w:val="nil"/>
              <w:bottom w:val="single" w:color="auto" w:sz="4" w:space="0"/>
              <w:right w:val="single" w:color="auto" w:sz="4" w:space="0"/>
            </w:tcBorders>
            <w:shd w:val="clear" w:color="auto" w:fill="auto"/>
            <w:noWrap/>
            <w:vAlign w:val="center"/>
          </w:tcPr>
          <w:p w14:paraId="7184D62F">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2800</w:t>
            </w:r>
          </w:p>
        </w:tc>
        <w:tc>
          <w:tcPr>
            <w:tcW w:w="1078" w:type="dxa"/>
            <w:tcBorders>
              <w:top w:val="single" w:color="auto" w:sz="4" w:space="0"/>
              <w:left w:val="nil"/>
              <w:bottom w:val="single" w:color="auto" w:sz="4" w:space="0"/>
              <w:right w:val="single" w:color="auto" w:sz="4" w:space="0"/>
            </w:tcBorders>
            <w:shd w:val="clear" w:color="auto" w:fill="auto"/>
            <w:vAlign w:val="center"/>
          </w:tcPr>
          <w:p w14:paraId="2952CB1F">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2800</w:t>
            </w:r>
          </w:p>
        </w:tc>
        <w:tc>
          <w:tcPr>
            <w:tcW w:w="1078" w:type="dxa"/>
            <w:tcBorders>
              <w:top w:val="single" w:color="auto" w:sz="4" w:space="0"/>
              <w:left w:val="nil"/>
              <w:bottom w:val="single" w:color="auto" w:sz="4" w:space="0"/>
              <w:right w:val="single" w:color="auto" w:sz="4" w:space="0"/>
            </w:tcBorders>
            <w:shd w:val="clear" w:color="auto" w:fill="auto"/>
            <w:vAlign w:val="center"/>
          </w:tcPr>
          <w:p w14:paraId="78A94777">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14:paraId="10991693">
        <w:trPr>
          <w:trHeight w:val="1328"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12089">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4</w:t>
            </w:r>
          </w:p>
        </w:tc>
        <w:tc>
          <w:tcPr>
            <w:tcW w:w="1622" w:type="dxa"/>
            <w:tcBorders>
              <w:top w:val="single" w:color="auto" w:sz="4" w:space="0"/>
              <w:left w:val="nil"/>
              <w:bottom w:val="single" w:color="auto" w:sz="4" w:space="0"/>
              <w:right w:val="single" w:color="auto" w:sz="4" w:space="0"/>
            </w:tcBorders>
            <w:shd w:val="clear" w:color="auto" w:fill="auto"/>
            <w:noWrap/>
            <w:vAlign w:val="center"/>
          </w:tcPr>
          <w:p w14:paraId="4D7CBC66">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污水泵站扩容工程</w:t>
            </w:r>
          </w:p>
        </w:tc>
        <w:tc>
          <w:tcPr>
            <w:tcW w:w="3604" w:type="dxa"/>
            <w:tcBorders>
              <w:top w:val="single" w:color="auto" w:sz="4" w:space="0"/>
              <w:left w:val="nil"/>
              <w:bottom w:val="single" w:color="auto" w:sz="4" w:space="0"/>
              <w:right w:val="single" w:color="auto" w:sz="4" w:space="0"/>
            </w:tcBorders>
            <w:shd w:val="clear" w:color="auto" w:fill="auto"/>
            <w:vAlign w:val="center"/>
          </w:tcPr>
          <w:p w14:paraId="3699F335">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实施小淀镇污水泵站改扩建工程，设计流量0.9立方米/秒。新建宜兴埠污水泵站、北仓污水泵站、双青</w:t>
            </w:r>
            <w:r>
              <w:rPr>
                <w:rFonts w:hint="eastAsia" w:ascii="仿宋_GB2312" w:hAnsi="仿宋_GB2312" w:eastAsia="仿宋_GB2312" w:cs="仿宋_GB2312"/>
                <w:color w:val="000000"/>
                <w:sz w:val="21"/>
                <w:szCs w:val="21"/>
                <w:highlight w:val="none"/>
                <w:lang w:val="en-US" w:eastAsia="zh-CN" w:bidi="ar-SA"/>
              </w:rPr>
              <w:t>2</w:t>
            </w:r>
            <w:r>
              <w:rPr>
                <w:rFonts w:hint="eastAsia" w:ascii="仿宋_GB2312" w:hAnsi="仿宋_GB2312" w:eastAsia="仿宋_GB2312" w:cs="仿宋_GB2312"/>
                <w:color w:val="000000"/>
                <w:sz w:val="21"/>
                <w:szCs w:val="21"/>
                <w:highlight w:val="none"/>
                <w:vertAlign w:val="superscript"/>
                <w:lang w:val="en-US" w:eastAsia="zh-CN" w:bidi="ar-SA"/>
              </w:rPr>
              <w:t>#</w:t>
            </w:r>
            <w:r>
              <w:rPr>
                <w:rFonts w:hint="eastAsia" w:ascii="仿宋_GB2312" w:hAnsi="仿宋_GB2312" w:eastAsia="仿宋_GB2312" w:cs="仿宋_GB2312"/>
                <w:color w:val="000000"/>
                <w:sz w:val="21"/>
                <w:szCs w:val="21"/>
                <w:highlight w:val="none"/>
                <w:lang w:val="en-US" w:bidi="ar-SA"/>
              </w:rPr>
              <w:t>污水泵站，总排水流量1.43 立方米秒。</w:t>
            </w:r>
          </w:p>
        </w:tc>
        <w:tc>
          <w:tcPr>
            <w:tcW w:w="1078" w:type="dxa"/>
            <w:tcBorders>
              <w:top w:val="single" w:color="auto" w:sz="4" w:space="0"/>
              <w:left w:val="nil"/>
              <w:bottom w:val="single" w:color="auto" w:sz="4" w:space="0"/>
              <w:right w:val="single" w:color="auto" w:sz="4" w:space="0"/>
            </w:tcBorders>
            <w:shd w:val="clear" w:color="auto" w:fill="auto"/>
            <w:noWrap/>
            <w:vAlign w:val="center"/>
          </w:tcPr>
          <w:p w14:paraId="0CC805B2">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16100</w:t>
            </w:r>
          </w:p>
        </w:tc>
        <w:tc>
          <w:tcPr>
            <w:tcW w:w="1078" w:type="dxa"/>
            <w:tcBorders>
              <w:top w:val="single" w:color="auto" w:sz="4" w:space="0"/>
              <w:left w:val="nil"/>
              <w:bottom w:val="single" w:color="auto" w:sz="4" w:space="0"/>
              <w:right w:val="single" w:color="auto" w:sz="4" w:space="0"/>
            </w:tcBorders>
            <w:shd w:val="clear" w:color="auto" w:fill="auto"/>
            <w:vAlign w:val="center"/>
          </w:tcPr>
          <w:p w14:paraId="488A3880">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16100</w:t>
            </w:r>
          </w:p>
        </w:tc>
        <w:tc>
          <w:tcPr>
            <w:tcW w:w="1078" w:type="dxa"/>
            <w:tcBorders>
              <w:top w:val="single" w:color="auto" w:sz="4" w:space="0"/>
              <w:left w:val="nil"/>
              <w:bottom w:val="single" w:color="auto" w:sz="4" w:space="0"/>
              <w:right w:val="single" w:color="auto" w:sz="4" w:space="0"/>
            </w:tcBorders>
            <w:shd w:val="clear" w:color="auto" w:fill="auto"/>
            <w:vAlign w:val="center"/>
          </w:tcPr>
          <w:p w14:paraId="79B39BA9">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14:paraId="28B9E720">
        <w:trPr>
          <w:trHeight w:val="608"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25C12784">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（二）</w:t>
            </w:r>
          </w:p>
        </w:tc>
        <w:tc>
          <w:tcPr>
            <w:tcW w:w="1622" w:type="dxa"/>
            <w:tcBorders>
              <w:top w:val="nil"/>
              <w:left w:val="nil"/>
              <w:bottom w:val="single" w:color="auto" w:sz="4" w:space="0"/>
              <w:right w:val="single" w:color="auto" w:sz="4" w:space="0"/>
            </w:tcBorders>
            <w:shd w:val="clear" w:color="auto" w:fill="auto"/>
            <w:noWrap/>
            <w:vAlign w:val="center"/>
          </w:tcPr>
          <w:p w14:paraId="18F326DC">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水生态保护</w:t>
            </w:r>
          </w:p>
        </w:tc>
        <w:tc>
          <w:tcPr>
            <w:tcW w:w="3604" w:type="dxa"/>
            <w:tcBorders>
              <w:top w:val="nil"/>
              <w:left w:val="nil"/>
              <w:bottom w:val="single" w:color="auto" w:sz="4" w:space="0"/>
              <w:right w:val="single" w:color="auto" w:sz="4" w:space="0"/>
            </w:tcBorders>
            <w:shd w:val="clear" w:color="auto" w:fill="auto"/>
            <w:vAlign w:val="center"/>
          </w:tcPr>
          <w:p w14:paraId="4D7965D8">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noWrap/>
            <w:vAlign w:val="center"/>
          </w:tcPr>
          <w:p w14:paraId="17692242">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rPr>
              <w:t>33600</w:t>
            </w:r>
          </w:p>
        </w:tc>
        <w:tc>
          <w:tcPr>
            <w:tcW w:w="1078" w:type="dxa"/>
            <w:tcBorders>
              <w:top w:val="nil"/>
              <w:left w:val="nil"/>
              <w:bottom w:val="single" w:color="auto" w:sz="4" w:space="0"/>
              <w:right w:val="single" w:color="auto" w:sz="4" w:space="0"/>
            </w:tcBorders>
            <w:shd w:val="clear" w:color="auto" w:fill="auto"/>
            <w:vAlign w:val="center"/>
          </w:tcPr>
          <w:p w14:paraId="036E0C7A">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9700</w:t>
            </w:r>
          </w:p>
        </w:tc>
        <w:tc>
          <w:tcPr>
            <w:tcW w:w="1078" w:type="dxa"/>
            <w:tcBorders>
              <w:top w:val="nil"/>
              <w:left w:val="nil"/>
              <w:bottom w:val="single" w:color="auto" w:sz="4" w:space="0"/>
              <w:right w:val="single" w:color="auto" w:sz="4" w:space="0"/>
            </w:tcBorders>
            <w:shd w:val="clear" w:color="auto" w:fill="auto"/>
            <w:vAlign w:val="center"/>
          </w:tcPr>
          <w:p w14:paraId="24D0DA35">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23900</w:t>
            </w:r>
          </w:p>
        </w:tc>
      </w:tr>
      <w:tr w14:paraId="7B444236">
        <w:trPr>
          <w:trHeight w:val="893"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15871962">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w:t>
            </w:r>
          </w:p>
        </w:tc>
        <w:tc>
          <w:tcPr>
            <w:tcW w:w="1622" w:type="dxa"/>
            <w:tcBorders>
              <w:top w:val="nil"/>
              <w:left w:val="nil"/>
              <w:bottom w:val="single" w:color="auto" w:sz="4" w:space="0"/>
              <w:right w:val="single" w:color="auto" w:sz="4" w:space="0"/>
            </w:tcBorders>
            <w:shd w:val="clear" w:color="auto" w:fill="auto"/>
            <w:noWrap/>
            <w:vAlign w:val="center"/>
          </w:tcPr>
          <w:p w14:paraId="06A35C68">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永定河综合治理与生态修复工程</w:t>
            </w:r>
          </w:p>
        </w:tc>
        <w:tc>
          <w:tcPr>
            <w:tcW w:w="3604" w:type="dxa"/>
            <w:tcBorders>
              <w:top w:val="nil"/>
              <w:left w:val="nil"/>
              <w:bottom w:val="single" w:color="auto" w:sz="4" w:space="0"/>
              <w:right w:val="single" w:color="auto" w:sz="4" w:space="0"/>
            </w:tcBorders>
            <w:shd w:val="clear" w:color="auto" w:fill="auto"/>
            <w:vAlign w:val="center"/>
          </w:tcPr>
          <w:p w14:paraId="786DFE68">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eastAsia="zh-CN" w:bidi="ar-SA"/>
              </w:rPr>
              <w:t>河道清淤扩挖</w:t>
            </w:r>
            <w:r>
              <w:rPr>
                <w:rFonts w:hint="eastAsia" w:ascii="仿宋_GB2312" w:hAnsi="仿宋_GB2312" w:eastAsia="仿宋_GB2312" w:cs="仿宋_GB2312"/>
                <w:color w:val="000000"/>
                <w:sz w:val="21"/>
                <w:szCs w:val="21"/>
                <w:highlight w:val="none"/>
                <w:lang w:val="en-US" w:bidi="ar-SA"/>
              </w:rPr>
              <w:t>3.</w:t>
            </w:r>
            <w:r>
              <w:rPr>
                <w:rFonts w:hint="eastAsia" w:ascii="仿宋_GB2312" w:hAnsi="仿宋_GB2312" w:eastAsia="仿宋_GB2312" w:cs="仿宋_GB2312"/>
                <w:color w:val="000000"/>
                <w:sz w:val="21"/>
                <w:szCs w:val="21"/>
                <w:highlight w:val="none"/>
                <w:lang w:val="en-US" w:eastAsia="zh-CN" w:bidi="ar-SA"/>
              </w:rPr>
              <w:t>6</w:t>
            </w:r>
            <w:r>
              <w:rPr>
                <w:rFonts w:hint="eastAsia" w:ascii="仿宋_GB2312" w:hAnsi="仿宋_GB2312" w:eastAsia="仿宋_GB2312" w:cs="仿宋_GB2312"/>
                <w:color w:val="000000"/>
                <w:sz w:val="21"/>
                <w:szCs w:val="21"/>
                <w:highlight w:val="none"/>
                <w:lang w:val="en-US" w:bidi="ar-SA"/>
              </w:rPr>
              <w:t>4公里；建设巡视道路9.55公里；改造节制闸3座，拆建交通桥1座；堤岸及滩地绿化64.8万平方米；新建屈家店水质净化工程（湿地面积13.66万平方米）。</w:t>
            </w:r>
          </w:p>
        </w:tc>
        <w:tc>
          <w:tcPr>
            <w:tcW w:w="1078" w:type="dxa"/>
            <w:tcBorders>
              <w:top w:val="nil"/>
              <w:left w:val="nil"/>
              <w:bottom w:val="single" w:color="auto" w:sz="4" w:space="0"/>
              <w:right w:val="single" w:color="auto" w:sz="4" w:space="0"/>
            </w:tcBorders>
            <w:shd w:val="clear" w:color="auto" w:fill="auto"/>
            <w:noWrap/>
            <w:vAlign w:val="center"/>
          </w:tcPr>
          <w:p w14:paraId="4D875874">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23100</w:t>
            </w:r>
          </w:p>
        </w:tc>
        <w:tc>
          <w:tcPr>
            <w:tcW w:w="1078" w:type="dxa"/>
            <w:tcBorders>
              <w:top w:val="nil"/>
              <w:left w:val="nil"/>
              <w:bottom w:val="single" w:color="auto" w:sz="4" w:space="0"/>
              <w:right w:val="single" w:color="auto" w:sz="4" w:space="0"/>
            </w:tcBorders>
            <w:shd w:val="clear" w:color="auto" w:fill="auto"/>
            <w:vAlign w:val="center"/>
          </w:tcPr>
          <w:p w14:paraId="48B50632">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vAlign w:val="center"/>
          </w:tcPr>
          <w:p w14:paraId="5135AD5B">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23100</w:t>
            </w:r>
          </w:p>
        </w:tc>
      </w:tr>
      <w:tr w14:paraId="44299B40">
        <w:trPr>
          <w:trHeight w:val="846"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5FD3A61E">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w:t>
            </w:r>
          </w:p>
        </w:tc>
        <w:tc>
          <w:tcPr>
            <w:tcW w:w="1622" w:type="dxa"/>
            <w:tcBorders>
              <w:top w:val="nil"/>
              <w:left w:val="nil"/>
              <w:bottom w:val="single" w:color="auto" w:sz="4" w:space="0"/>
              <w:right w:val="single" w:color="auto" w:sz="4" w:space="0"/>
            </w:tcBorders>
            <w:shd w:val="clear" w:color="auto" w:fill="auto"/>
            <w:noWrap/>
            <w:vAlign w:val="center"/>
          </w:tcPr>
          <w:p w14:paraId="210B83AD">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北运河综合治理工程</w:t>
            </w:r>
          </w:p>
        </w:tc>
        <w:tc>
          <w:tcPr>
            <w:tcW w:w="3604" w:type="dxa"/>
            <w:tcBorders>
              <w:top w:val="nil"/>
              <w:left w:val="nil"/>
              <w:bottom w:val="single" w:color="auto" w:sz="4" w:space="0"/>
              <w:right w:val="single" w:color="auto" w:sz="4" w:space="0"/>
            </w:tcBorders>
            <w:shd w:val="clear" w:color="auto" w:fill="auto"/>
            <w:vAlign w:val="center"/>
          </w:tcPr>
          <w:p w14:paraId="339ABE4F">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武清与北辰区界至永北汇流口段综合治理，长2.8公里,包括河道清淤、堤坡整治及村庄段河道绿化等。</w:t>
            </w:r>
          </w:p>
        </w:tc>
        <w:tc>
          <w:tcPr>
            <w:tcW w:w="1078" w:type="dxa"/>
            <w:tcBorders>
              <w:top w:val="nil"/>
              <w:left w:val="nil"/>
              <w:bottom w:val="single" w:color="auto" w:sz="4" w:space="0"/>
              <w:right w:val="single" w:color="auto" w:sz="4" w:space="0"/>
            </w:tcBorders>
            <w:shd w:val="clear" w:color="auto" w:fill="auto"/>
            <w:noWrap/>
            <w:vAlign w:val="center"/>
          </w:tcPr>
          <w:p w14:paraId="573594AC">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800</w:t>
            </w:r>
          </w:p>
        </w:tc>
        <w:tc>
          <w:tcPr>
            <w:tcW w:w="1078" w:type="dxa"/>
            <w:tcBorders>
              <w:top w:val="nil"/>
              <w:left w:val="nil"/>
              <w:bottom w:val="single" w:color="auto" w:sz="4" w:space="0"/>
              <w:right w:val="single" w:color="auto" w:sz="4" w:space="0"/>
            </w:tcBorders>
            <w:shd w:val="clear" w:color="auto" w:fill="auto"/>
            <w:vAlign w:val="center"/>
          </w:tcPr>
          <w:p w14:paraId="10FFC364">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c>
          <w:tcPr>
            <w:tcW w:w="1078" w:type="dxa"/>
            <w:tcBorders>
              <w:top w:val="nil"/>
              <w:left w:val="nil"/>
              <w:bottom w:val="single" w:color="auto" w:sz="4" w:space="0"/>
              <w:right w:val="single" w:color="auto" w:sz="4" w:space="0"/>
            </w:tcBorders>
            <w:shd w:val="clear" w:color="auto" w:fill="auto"/>
            <w:vAlign w:val="center"/>
          </w:tcPr>
          <w:p w14:paraId="28F538C1">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800</w:t>
            </w:r>
          </w:p>
        </w:tc>
      </w:tr>
      <w:tr w14:paraId="6B3FC1C2">
        <w:trPr>
          <w:trHeight w:val="1061"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248031AD">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3</w:t>
            </w:r>
          </w:p>
        </w:tc>
        <w:tc>
          <w:tcPr>
            <w:tcW w:w="1622" w:type="dxa"/>
            <w:tcBorders>
              <w:top w:val="nil"/>
              <w:left w:val="nil"/>
              <w:bottom w:val="single" w:color="auto" w:sz="4" w:space="0"/>
              <w:right w:val="single" w:color="auto" w:sz="4" w:space="0"/>
            </w:tcBorders>
            <w:shd w:val="clear" w:color="auto" w:fill="auto"/>
            <w:noWrap/>
            <w:vAlign w:val="center"/>
          </w:tcPr>
          <w:p w14:paraId="6FD69325">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西部地区水环境综合治理工程</w:t>
            </w:r>
          </w:p>
        </w:tc>
        <w:tc>
          <w:tcPr>
            <w:tcW w:w="3604" w:type="dxa"/>
            <w:tcBorders>
              <w:top w:val="nil"/>
              <w:left w:val="nil"/>
              <w:bottom w:val="single" w:color="auto" w:sz="4" w:space="0"/>
              <w:right w:val="single" w:color="auto" w:sz="4" w:space="0"/>
            </w:tcBorders>
            <w:shd w:val="clear" w:color="auto" w:fill="auto"/>
            <w:vAlign w:val="center"/>
          </w:tcPr>
          <w:p w14:paraId="7C7F38AE">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对卫河、中泓故道、杨河排干、东支渠、线河南排干、河头排干等6条河渠清淤10.33公里，新建灌溉泵站4座。</w:t>
            </w:r>
          </w:p>
        </w:tc>
        <w:tc>
          <w:tcPr>
            <w:tcW w:w="1078" w:type="dxa"/>
            <w:tcBorders>
              <w:top w:val="nil"/>
              <w:left w:val="nil"/>
              <w:bottom w:val="single" w:color="auto" w:sz="4" w:space="0"/>
              <w:right w:val="single" w:color="auto" w:sz="4" w:space="0"/>
            </w:tcBorders>
            <w:shd w:val="clear" w:color="auto" w:fill="auto"/>
            <w:noWrap/>
            <w:vAlign w:val="center"/>
          </w:tcPr>
          <w:p w14:paraId="35E7147B">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2200</w:t>
            </w:r>
          </w:p>
        </w:tc>
        <w:tc>
          <w:tcPr>
            <w:tcW w:w="1078" w:type="dxa"/>
            <w:tcBorders>
              <w:top w:val="nil"/>
              <w:left w:val="nil"/>
              <w:bottom w:val="single" w:color="auto" w:sz="4" w:space="0"/>
              <w:right w:val="single" w:color="auto" w:sz="4" w:space="0"/>
            </w:tcBorders>
            <w:shd w:val="clear" w:color="auto" w:fill="auto"/>
            <w:vAlign w:val="center"/>
          </w:tcPr>
          <w:p w14:paraId="708AAB6A">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2200</w:t>
            </w:r>
          </w:p>
        </w:tc>
        <w:tc>
          <w:tcPr>
            <w:tcW w:w="1078" w:type="dxa"/>
            <w:tcBorders>
              <w:top w:val="nil"/>
              <w:left w:val="nil"/>
              <w:bottom w:val="single" w:color="auto" w:sz="4" w:space="0"/>
              <w:right w:val="single" w:color="auto" w:sz="4" w:space="0"/>
            </w:tcBorders>
            <w:shd w:val="clear" w:color="auto" w:fill="auto"/>
            <w:vAlign w:val="center"/>
          </w:tcPr>
          <w:p w14:paraId="280D525B">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14:paraId="2052D54C">
        <w:trPr>
          <w:trHeight w:val="834"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7D36B9E5">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4</w:t>
            </w:r>
          </w:p>
        </w:tc>
        <w:tc>
          <w:tcPr>
            <w:tcW w:w="1622" w:type="dxa"/>
            <w:tcBorders>
              <w:top w:val="nil"/>
              <w:left w:val="nil"/>
              <w:bottom w:val="single" w:color="auto" w:sz="4" w:space="0"/>
              <w:right w:val="single" w:color="auto" w:sz="4" w:space="0"/>
            </w:tcBorders>
            <w:shd w:val="clear" w:color="auto" w:fill="auto"/>
            <w:noWrap/>
            <w:vAlign w:val="center"/>
          </w:tcPr>
          <w:p w14:paraId="25C9CE3B">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cs="仿宋_GB2312"/>
                <w:color w:val="000000"/>
                <w:sz w:val="21"/>
                <w:szCs w:val="21"/>
                <w:highlight w:val="none"/>
                <w:lang w:val="en-US" w:eastAsia="zh-CN" w:bidi="ar-SA"/>
              </w:rPr>
              <w:t>郎</w:t>
            </w:r>
            <w:r>
              <w:rPr>
                <w:rFonts w:hint="eastAsia" w:ascii="仿宋_GB2312" w:hAnsi="仿宋_GB2312" w:eastAsia="仿宋_GB2312" w:cs="仿宋_GB2312"/>
                <w:color w:val="000000"/>
                <w:sz w:val="21"/>
                <w:szCs w:val="21"/>
                <w:highlight w:val="none"/>
                <w:lang w:val="en-US" w:bidi="ar-SA"/>
              </w:rPr>
              <w:t>园引河穿机场排水河倒虹吸工程</w:t>
            </w:r>
          </w:p>
        </w:tc>
        <w:tc>
          <w:tcPr>
            <w:tcW w:w="3604" w:type="dxa"/>
            <w:tcBorders>
              <w:top w:val="nil"/>
              <w:left w:val="nil"/>
              <w:bottom w:val="single" w:color="auto" w:sz="4" w:space="0"/>
              <w:right w:val="single" w:color="auto" w:sz="4" w:space="0"/>
            </w:tcBorders>
            <w:shd w:val="clear" w:color="auto" w:fill="auto"/>
            <w:vAlign w:val="center"/>
          </w:tcPr>
          <w:p w14:paraId="51A30578">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cs="仿宋_GB2312"/>
                <w:color w:val="000000"/>
                <w:sz w:val="21"/>
                <w:szCs w:val="21"/>
                <w:highlight w:val="none"/>
                <w:lang w:val="en-US" w:eastAsia="zh-CN" w:bidi="ar-SA"/>
              </w:rPr>
              <w:t>拆除重建郎</w:t>
            </w:r>
            <w:r>
              <w:rPr>
                <w:rFonts w:hint="eastAsia" w:ascii="仿宋_GB2312" w:hAnsi="仿宋_GB2312" w:eastAsia="仿宋_GB2312" w:cs="仿宋_GB2312"/>
                <w:color w:val="000000"/>
                <w:sz w:val="21"/>
                <w:szCs w:val="21"/>
                <w:highlight w:val="none"/>
                <w:lang w:val="en-US" w:bidi="ar-SA"/>
              </w:rPr>
              <w:t>园引河穿机场排水河倒虹吸，设计流量20立方米/秒。</w:t>
            </w:r>
          </w:p>
        </w:tc>
        <w:tc>
          <w:tcPr>
            <w:tcW w:w="1078" w:type="dxa"/>
            <w:tcBorders>
              <w:top w:val="nil"/>
              <w:left w:val="nil"/>
              <w:bottom w:val="single" w:color="auto" w:sz="4" w:space="0"/>
              <w:right w:val="single" w:color="auto" w:sz="4" w:space="0"/>
            </w:tcBorders>
            <w:shd w:val="clear" w:color="auto" w:fill="auto"/>
            <w:noWrap/>
            <w:vAlign w:val="center"/>
          </w:tcPr>
          <w:p w14:paraId="6296E0FF">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1300</w:t>
            </w:r>
          </w:p>
        </w:tc>
        <w:tc>
          <w:tcPr>
            <w:tcW w:w="1078" w:type="dxa"/>
            <w:tcBorders>
              <w:top w:val="nil"/>
              <w:left w:val="nil"/>
              <w:bottom w:val="single" w:color="auto" w:sz="4" w:space="0"/>
              <w:right w:val="single" w:color="auto" w:sz="4" w:space="0"/>
            </w:tcBorders>
            <w:shd w:val="clear" w:color="auto" w:fill="auto"/>
            <w:vAlign w:val="center"/>
          </w:tcPr>
          <w:p w14:paraId="701892F9">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1300</w:t>
            </w:r>
          </w:p>
        </w:tc>
        <w:tc>
          <w:tcPr>
            <w:tcW w:w="1078" w:type="dxa"/>
            <w:tcBorders>
              <w:top w:val="nil"/>
              <w:left w:val="nil"/>
              <w:bottom w:val="single" w:color="auto" w:sz="4" w:space="0"/>
              <w:right w:val="single" w:color="auto" w:sz="4" w:space="0"/>
            </w:tcBorders>
            <w:shd w:val="clear" w:color="auto" w:fill="auto"/>
            <w:vAlign w:val="center"/>
          </w:tcPr>
          <w:p w14:paraId="7AC71D38">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14:paraId="446CF3AE">
        <w:trPr>
          <w:trHeight w:val="904"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014F1EC8">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5</w:t>
            </w:r>
          </w:p>
        </w:tc>
        <w:tc>
          <w:tcPr>
            <w:tcW w:w="1622" w:type="dxa"/>
            <w:tcBorders>
              <w:top w:val="nil"/>
              <w:left w:val="nil"/>
              <w:bottom w:val="single" w:color="auto" w:sz="4" w:space="0"/>
              <w:right w:val="single" w:color="auto" w:sz="4" w:space="0"/>
            </w:tcBorders>
            <w:shd w:val="clear" w:color="auto" w:fill="auto"/>
            <w:noWrap/>
            <w:vAlign w:val="center"/>
          </w:tcPr>
          <w:p w14:paraId="6577824F">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引滦</w:t>
            </w:r>
            <w:r>
              <w:rPr>
                <w:rFonts w:hint="eastAsia" w:cs="仿宋_GB2312"/>
                <w:color w:val="000000"/>
                <w:sz w:val="21"/>
                <w:szCs w:val="21"/>
                <w:highlight w:val="none"/>
                <w:lang w:val="en-US" w:eastAsia="zh-CN" w:bidi="ar-SA"/>
              </w:rPr>
              <w:t>入津</w:t>
            </w:r>
            <w:r>
              <w:rPr>
                <w:rFonts w:hint="eastAsia" w:ascii="仿宋_GB2312" w:hAnsi="仿宋_GB2312" w:eastAsia="仿宋_GB2312" w:cs="仿宋_GB2312"/>
                <w:color w:val="000000"/>
                <w:sz w:val="21"/>
                <w:szCs w:val="21"/>
                <w:highlight w:val="none"/>
                <w:lang w:val="en-US" w:bidi="ar-SA"/>
              </w:rPr>
              <w:t>暗渠生态保护工程</w:t>
            </w:r>
          </w:p>
        </w:tc>
        <w:tc>
          <w:tcPr>
            <w:tcW w:w="3604" w:type="dxa"/>
            <w:tcBorders>
              <w:top w:val="nil"/>
              <w:left w:val="nil"/>
              <w:bottom w:val="single" w:color="auto" w:sz="4" w:space="0"/>
              <w:right w:val="single" w:color="auto" w:sz="4" w:space="0"/>
            </w:tcBorders>
            <w:shd w:val="clear" w:color="auto" w:fill="auto"/>
            <w:vAlign w:val="center"/>
          </w:tcPr>
          <w:p w14:paraId="35C70CF0">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对引滦</w:t>
            </w:r>
            <w:r>
              <w:rPr>
                <w:rFonts w:hint="eastAsia" w:cs="仿宋_GB2312"/>
                <w:color w:val="000000"/>
                <w:sz w:val="21"/>
                <w:szCs w:val="21"/>
                <w:highlight w:val="none"/>
                <w:lang w:val="en-US" w:eastAsia="zh-CN" w:bidi="ar-SA"/>
              </w:rPr>
              <w:t>入津</w:t>
            </w:r>
            <w:r>
              <w:rPr>
                <w:rFonts w:hint="eastAsia" w:ascii="仿宋_GB2312" w:hAnsi="仿宋_GB2312" w:eastAsia="仿宋_GB2312" w:cs="仿宋_GB2312"/>
                <w:color w:val="000000"/>
                <w:sz w:val="21"/>
                <w:szCs w:val="21"/>
                <w:highlight w:val="none"/>
                <w:lang w:val="en-US" w:bidi="ar-SA"/>
              </w:rPr>
              <w:t>暗渠宜兴埠水源厂至津渝公路6.1公里段红线区进行生态保护工程。</w:t>
            </w:r>
          </w:p>
        </w:tc>
        <w:tc>
          <w:tcPr>
            <w:tcW w:w="1078" w:type="dxa"/>
            <w:tcBorders>
              <w:top w:val="nil"/>
              <w:left w:val="nil"/>
              <w:bottom w:val="single" w:color="auto" w:sz="4" w:space="0"/>
              <w:right w:val="single" w:color="auto" w:sz="4" w:space="0"/>
            </w:tcBorders>
            <w:shd w:val="clear" w:color="auto" w:fill="auto"/>
            <w:noWrap/>
            <w:vAlign w:val="center"/>
          </w:tcPr>
          <w:p w14:paraId="24240413">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2900</w:t>
            </w:r>
          </w:p>
        </w:tc>
        <w:tc>
          <w:tcPr>
            <w:tcW w:w="1078" w:type="dxa"/>
            <w:tcBorders>
              <w:top w:val="nil"/>
              <w:left w:val="nil"/>
              <w:bottom w:val="single" w:color="auto" w:sz="4" w:space="0"/>
              <w:right w:val="single" w:color="auto" w:sz="4" w:space="0"/>
            </w:tcBorders>
            <w:shd w:val="clear" w:color="auto" w:fill="auto"/>
            <w:vAlign w:val="center"/>
          </w:tcPr>
          <w:p w14:paraId="3CA3C63E">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2900</w:t>
            </w:r>
          </w:p>
        </w:tc>
        <w:tc>
          <w:tcPr>
            <w:tcW w:w="1078" w:type="dxa"/>
            <w:tcBorders>
              <w:top w:val="nil"/>
              <w:left w:val="nil"/>
              <w:bottom w:val="single" w:color="auto" w:sz="4" w:space="0"/>
              <w:right w:val="single" w:color="auto" w:sz="4" w:space="0"/>
            </w:tcBorders>
            <w:shd w:val="clear" w:color="auto" w:fill="auto"/>
            <w:vAlign w:val="center"/>
          </w:tcPr>
          <w:p w14:paraId="2B699106">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14:paraId="70493722">
        <w:trPr>
          <w:trHeight w:val="53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38C5E42E">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6</w:t>
            </w:r>
          </w:p>
        </w:tc>
        <w:tc>
          <w:tcPr>
            <w:tcW w:w="1622" w:type="dxa"/>
            <w:tcBorders>
              <w:top w:val="nil"/>
              <w:left w:val="nil"/>
              <w:bottom w:val="single" w:color="auto" w:sz="4" w:space="0"/>
              <w:right w:val="single" w:color="auto" w:sz="4" w:space="0"/>
            </w:tcBorders>
            <w:shd w:val="clear" w:color="auto" w:fill="auto"/>
            <w:noWrap/>
            <w:vAlign w:val="center"/>
          </w:tcPr>
          <w:p w14:paraId="7C3D02A9">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河湖绿化工程</w:t>
            </w:r>
          </w:p>
        </w:tc>
        <w:tc>
          <w:tcPr>
            <w:tcW w:w="3604" w:type="dxa"/>
            <w:tcBorders>
              <w:top w:val="nil"/>
              <w:left w:val="nil"/>
              <w:bottom w:val="single" w:color="auto" w:sz="4" w:space="0"/>
              <w:right w:val="single" w:color="auto" w:sz="4" w:space="0"/>
            </w:tcBorders>
            <w:shd w:val="clear" w:color="auto" w:fill="auto"/>
            <w:vAlign w:val="center"/>
          </w:tcPr>
          <w:p w14:paraId="78252BCC">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对一级河道、二级河道管理范围内的清理整治区进行植树绿化养护。</w:t>
            </w:r>
          </w:p>
        </w:tc>
        <w:tc>
          <w:tcPr>
            <w:tcW w:w="1078" w:type="dxa"/>
            <w:tcBorders>
              <w:top w:val="nil"/>
              <w:left w:val="nil"/>
              <w:bottom w:val="single" w:color="auto" w:sz="4" w:space="0"/>
              <w:right w:val="single" w:color="auto" w:sz="4" w:space="0"/>
            </w:tcBorders>
            <w:shd w:val="clear" w:color="auto" w:fill="auto"/>
            <w:noWrap/>
            <w:vAlign w:val="center"/>
          </w:tcPr>
          <w:p w14:paraId="14189514">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 w:bidi="ar-SA"/>
              </w:rPr>
            </w:pPr>
            <w:r>
              <w:rPr>
                <w:rFonts w:hint="eastAsia" w:ascii="仿宋_GB2312" w:hAnsi="仿宋_GB2312" w:eastAsia="仿宋_GB2312" w:cs="仿宋_GB2312"/>
                <w:color w:val="000000"/>
                <w:sz w:val="21"/>
                <w:szCs w:val="21"/>
                <w:highlight w:val="none"/>
                <w:lang w:val="en-US" w:bidi="ar-SA"/>
              </w:rPr>
              <w:t>30</w:t>
            </w:r>
            <w:r>
              <w:rPr>
                <w:rFonts w:hint="eastAsia" w:ascii="仿宋_GB2312" w:hAnsi="仿宋_GB2312" w:eastAsia="仿宋_GB2312" w:cs="仿宋_GB2312"/>
                <w:color w:val="000000"/>
                <w:sz w:val="21"/>
                <w:szCs w:val="21"/>
                <w:highlight w:val="none"/>
                <w:lang w:val="en" w:bidi="ar-SA"/>
              </w:rPr>
              <w:t>00</w:t>
            </w:r>
          </w:p>
        </w:tc>
        <w:tc>
          <w:tcPr>
            <w:tcW w:w="1078" w:type="dxa"/>
            <w:tcBorders>
              <w:top w:val="nil"/>
              <w:left w:val="nil"/>
              <w:bottom w:val="single" w:color="auto" w:sz="4" w:space="0"/>
              <w:right w:val="single" w:color="auto" w:sz="4" w:space="0"/>
            </w:tcBorders>
            <w:shd w:val="clear" w:color="auto" w:fill="auto"/>
            <w:vAlign w:val="center"/>
          </w:tcPr>
          <w:p w14:paraId="6EAF5719">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 w:bidi="ar-SA"/>
              </w:rPr>
            </w:pPr>
            <w:r>
              <w:rPr>
                <w:rFonts w:hint="eastAsia" w:ascii="仿宋_GB2312" w:hAnsi="仿宋_GB2312" w:eastAsia="仿宋_GB2312" w:cs="仿宋_GB2312"/>
                <w:color w:val="000000"/>
                <w:sz w:val="21"/>
                <w:szCs w:val="21"/>
                <w:highlight w:val="none"/>
                <w:lang w:val="en-US" w:bidi="ar-SA"/>
              </w:rPr>
              <w:t>30</w:t>
            </w:r>
            <w:r>
              <w:rPr>
                <w:rFonts w:hint="eastAsia" w:ascii="仿宋_GB2312" w:hAnsi="仿宋_GB2312" w:eastAsia="仿宋_GB2312" w:cs="仿宋_GB2312"/>
                <w:color w:val="000000"/>
                <w:sz w:val="21"/>
                <w:szCs w:val="21"/>
                <w:highlight w:val="none"/>
                <w:lang w:val="en" w:bidi="ar-SA"/>
              </w:rPr>
              <w:t>00</w:t>
            </w:r>
          </w:p>
        </w:tc>
        <w:tc>
          <w:tcPr>
            <w:tcW w:w="1078" w:type="dxa"/>
            <w:tcBorders>
              <w:top w:val="nil"/>
              <w:left w:val="nil"/>
              <w:bottom w:val="single" w:color="auto" w:sz="4" w:space="0"/>
              <w:right w:val="single" w:color="auto" w:sz="4" w:space="0"/>
            </w:tcBorders>
            <w:shd w:val="clear" w:color="auto" w:fill="auto"/>
            <w:vAlign w:val="center"/>
          </w:tcPr>
          <w:p w14:paraId="28FC36DC">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r w14:paraId="0A7B63D6">
        <w:trPr>
          <w:trHeight w:val="53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2F068B9C">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7</w:t>
            </w:r>
          </w:p>
        </w:tc>
        <w:tc>
          <w:tcPr>
            <w:tcW w:w="1622" w:type="dxa"/>
            <w:tcBorders>
              <w:top w:val="nil"/>
              <w:left w:val="nil"/>
              <w:bottom w:val="single" w:color="auto" w:sz="4" w:space="0"/>
              <w:right w:val="single" w:color="auto" w:sz="4" w:space="0"/>
            </w:tcBorders>
            <w:shd w:val="clear" w:color="auto" w:fill="auto"/>
            <w:noWrap/>
            <w:vAlign w:val="center"/>
          </w:tcPr>
          <w:p w14:paraId="344931C3">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外环河（北运河至子牙河段）水环境提升工程</w:t>
            </w:r>
          </w:p>
        </w:tc>
        <w:tc>
          <w:tcPr>
            <w:tcW w:w="3604" w:type="dxa"/>
            <w:tcBorders>
              <w:top w:val="nil"/>
              <w:left w:val="nil"/>
              <w:bottom w:val="single" w:color="auto" w:sz="4" w:space="0"/>
              <w:right w:val="single" w:color="auto" w:sz="4" w:space="0"/>
            </w:tcBorders>
            <w:shd w:val="clear" w:color="auto" w:fill="auto"/>
            <w:vAlign w:val="center"/>
          </w:tcPr>
          <w:p w14:paraId="791E4108">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规划新建提升泵站1座，建立外环河经凤河至永青渠的退水路径，提升外环河的水体水质。</w:t>
            </w:r>
          </w:p>
        </w:tc>
        <w:tc>
          <w:tcPr>
            <w:tcW w:w="1078" w:type="dxa"/>
            <w:tcBorders>
              <w:top w:val="nil"/>
              <w:left w:val="nil"/>
              <w:bottom w:val="single" w:color="auto" w:sz="4" w:space="0"/>
              <w:right w:val="single" w:color="auto" w:sz="4" w:space="0"/>
            </w:tcBorders>
            <w:shd w:val="clear" w:color="auto" w:fill="auto"/>
            <w:noWrap/>
            <w:vAlign w:val="center"/>
          </w:tcPr>
          <w:p w14:paraId="3A1CC5F3">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300</w:t>
            </w:r>
          </w:p>
        </w:tc>
        <w:tc>
          <w:tcPr>
            <w:tcW w:w="1078" w:type="dxa"/>
            <w:tcBorders>
              <w:top w:val="nil"/>
              <w:left w:val="nil"/>
              <w:bottom w:val="single" w:color="auto" w:sz="4" w:space="0"/>
              <w:right w:val="single" w:color="auto" w:sz="4" w:space="0"/>
            </w:tcBorders>
            <w:shd w:val="clear" w:color="auto" w:fill="auto"/>
            <w:vAlign w:val="center"/>
          </w:tcPr>
          <w:p w14:paraId="23C959F9">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300</w:t>
            </w:r>
          </w:p>
        </w:tc>
        <w:tc>
          <w:tcPr>
            <w:tcW w:w="1078" w:type="dxa"/>
            <w:tcBorders>
              <w:top w:val="nil"/>
              <w:left w:val="nil"/>
              <w:bottom w:val="single" w:color="auto" w:sz="4" w:space="0"/>
              <w:right w:val="single" w:color="auto" w:sz="4" w:space="0"/>
            </w:tcBorders>
            <w:shd w:val="clear" w:color="auto" w:fill="auto"/>
            <w:vAlign w:val="center"/>
          </w:tcPr>
          <w:p w14:paraId="1513799A">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p>
        </w:tc>
      </w:tr>
      <w:tr w14:paraId="15CFBFF1">
        <w:trPr>
          <w:trHeight w:val="530" w:hRule="atLeast"/>
          <w:jc w:val="center"/>
        </w:trPr>
        <w:tc>
          <w:tcPr>
            <w:tcW w:w="891" w:type="dxa"/>
            <w:tcBorders>
              <w:top w:val="nil"/>
              <w:left w:val="single" w:color="auto" w:sz="4" w:space="0"/>
              <w:bottom w:val="single" w:color="auto" w:sz="4" w:space="0"/>
              <w:right w:val="single" w:color="auto" w:sz="4" w:space="0"/>
            </w:tcBorders>
            <w:shd w:val="clear" w:color="auto" w:fill="auto"/>
            <w:noWrap/>
            <w:vAlign w:val="center"/>
          </w:tcPr>
          <w:p w14:paraId="523F9C4B">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四</w:t>
            </w:r>
          </w:p>
        </w:tc>
        <w:tc>
          <w:tcPr>
            <w:tcW w:w="1622" w:type="dxa"/>
            <w:tcBorders>
              <w:top w:val="nil"/>
              <w:left w:val="nil"/>
              <w:bottom w:val="single" w:color="auto" w:sz="4" w:space="0"/>
              <w:right w:val="single" w:color="auto" w:sz="4" w:space="0"/>
            </w:tcBorders>
            <w:shd w:val="clear" w:color="auto" w:fill="auto"/>
            <w:noWrap/>
            <w:vAlign w:val="center"/>
          </w:tcPr>
          <w:p w14:paraId="61890B77">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智慧水务建设</w:t>
            </w:r>
          </w:p>
        </w:tc>
        <w:tc>
          <w:tcPr>
            <w:tcW w:w="3604" w:type="dxa"/>
            <w:tcBorders>
              <w:top w:val="nil"/>
              <w:left w:val="nil"/>
              <w:bottom w:val="single" w:color="auto" w:sz="4" w:space="0"/>
              <w:right w:val="single" w:color="auto" w:sz="4" w:space="0"/>
            </w:tcBorders>
            <w:shd w:val="clear" w:color="auto" w:fill="auto"/>
            <w:vAlign w:val="center"/>
          </w:tcPr>
          <w:p w14:paraId="7F477C61">
            <w:pPr>
              <w:keepNext w:val="0"/>
              <w:keepLines w:val="0"/>
              <w:pageBreakBefore w:val="0"/>
              <w:widowControl/>
              <w:kinsoku/>
              <w:overflowPunct/>
              <w:topLinePunct w:val="0"/>
              <w:autoSpaceDE/>
              <w:autoSpaceDN/>
              <w:bidi w:val="0"/>
              <w:spacing w:line="600" w:lineRule="exact"/>
              <w:textAlignment w:val="auto"/>
              <w:rPr>
                <w:rFonts w:hint="eastAsia" w:ascii="仿宋_GB2312" w:hAnsi="仿宋_GB2312" w:eastAsia="仿宋_GB2312" w:cs="仿宋_GB2312"/>
                <w:color w:val="000000"/>
                <w:sz w:val="21"/>
                <w:szCs w:val="21"/>
                <w:highlight w:val="none"/>
                <w:lang w:val="en-US" w:eastAsia="zh-CN" w:bidi="ar-SA"/>
              </w:rPr>
            </w:pPr>
            <w:r>
              <w:rPr>
                <w:rFonts w:hint="eastAsia" w:ascii="仿宋_GB2312" w:hAnsi="仿宋_GB2312" w:eastAsia="仿宋_GB2312" w:cs="仿宋_GB2312"/>
                <w:color w:val="000000"/>
                <w:sz w:val="21"/>
                <w:szCs w:val="21"/>
                <w:highlight w:val="none"/>
                <w:lang w:val="en-US" w:bidi="ar-SA"/>
              </w:rPr>
              <w:t>网络整合改造、水务公众服务平台、水务监测感知能力扩充、网络安全保障建设</w:t>
            </w:r>
            <w:r>
              <w:rPr>
                <w:rFonts w:hint="eastAsia" w:ascii="仿宋_GB2312" w:hAnsi="仿宋_GB2312" w:eastAsia="仿宋_GB2312" w:cs="仿宋_GB2312"/>
                <w:color w:val="000000"/>
                <w:sz w:val="21"/>
                <w:szCs w:val="21"/>
                <w:highlight w:val="none"/>
                <w:lang w:val="en-US" w:eastAsia="zh-CN" w:bidi="ar-SA"/>
              </w:rPr>
              <w:t>。</w:t>
            </w:r>
          </w:p>
        </w:tc>
        <w:tc>
          <w:tcPr>
            <w:tcW w:w="1078" w:type="dxa"/>
            <w:tcBorders>
              <w:top w:val="nil"/>
              <w:left w:val="nil"/>
              <w:bottom w:val="single" w:color="auto" w:sz="4" w:space="0"/>
              <w:right w:val="single" w:color="auto" w:sz="4" w:space="0"/>
            </w:tcBorders>
            <w:shd w:val="clear" w:color="auto" w:fill="auto"/>
            <w:noWrap/>
            <w:vAlign w:val="center"/>
          </w:tcPr>
          <w:p w14:paraId="5E92AB3F">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510</w:t>
            </w:r>
          </w:p>
        </w:tc>
        <w:tc>
          <w:tcPr>
            <w:tcW w:w="1078" w:type="dxa"/>
            <w:tcBorders>
              <w:top w:val="nil"/>
              <w:left w:val="nil"/>
              <w:bottom w:val="single" w:color="auto" w:sz="4" w:space="0"/>
              <w:right w:val="single" w:color="auto" w:sz="4" w:space="0"/>
            </w:tcBorders>
            <w:shd w:val="clear" w:color="auto" w:fill="auto"/>
            <w:vAlign w:val="center"/>
          </w:tcPr>
          <w:p w14:paraId="40D0C0E2">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510</w:t>
            </w:r>
          </w:p>
        </w:tc>
        <w:tc>
          <w:tcPr>
            <w:tcW w:w="1078" w:type="dxa"/>
            <w:tcBorders>
              <w:top w:val="nil"/>
              <w:left w:val="nil"/>
              <w:bottom w:val="single" w:color="auto" w:sz="4" w:space="0"/>
              <w:right w:val="single" w:color="auto" w:sz="4" w:space="0"/>
            </w:tcBorders>
            <w:shd w:val="clear" w:color="auto" w:fill="auto"/>
            <w:vAlign w:val="center"/>
          </w:tcPr>
          <w:p w14:paraId="0741121F">
            <w:pPr>
              <w:keepNext w:val="0"/>
              <w:keepLines w:val="0"/>
              <w:pageBreakBefore w:val="0"/>
              <w:widowControl/>
              <w:kinsoku/>
              <w:overflowPunct/>
              <w:topLinePunct w:val="0"/>
              <w:autoSpaceDE/>
              <w:autoSpaceDN/>
              <w:bidi w:val="0"/>
              <w:spacing w:line="600" w:lineRule="exact"/>
              <w:jc w:val="center"/>
              <w:textAlignment w:val="auto"/>
              <w:rPr>
                <w:rFonts w:hint="eastAsia" w:ascii="仿宋_GB2312" w:hAnsi="仿宋_GB2312" w:eastAsia="仿宋_GB2312" w:cs="仿宋_GB2312"/>
                <w:color w:val="000000"/>
                <w:sz w:val="21"/>
                <w:szCs w:val="21"/>
                <w:highlight w:val="none"/>
                <w:lang w:val="en-US" w:bidi="ar-SA"/>
              </w:rPr>
            </w:pPr>
            <w:r>
              <w:rPr>
                <w:rFonts w:hint="eastAsia" w:ascii="仿宋_GB2312" w:hAnsi="仿宋_GB2312" w:eastAsia="仿宋_GB2312" w:cs="仿宋_GB2312"/>
                <w:color w:val="000000"/>
                <w:sz w:val="21"/>
                <w:szCs w:val="21"/>
                <w:highlight w:val="none"/>
                <w:lang w:val="en-US" w:bidi="ar-SA"/>
              </w:rPr>
              <w:t>　</w:t>
            </w:r>
          </w:p>
        </w:tc>
      </w:tr>
    </w:tbl>
    <w:p w14:paraId="77486C59">
      <w:pPr>
        <w:keepNext w:val="0"/>
        <w:keepLines w:val="0"/>
        <w:pageBreakBefore w:val="0"/>
        <w:kinsoku/>
        <w:overflowPunct/>
        <w:topLinePunct w:val="0"/>
        <w:bidi w:val="0"/>
        <w:spacing w:line="600" w:lineRule="exact"/>
        <w:textAlignment w:val="auto"/>
        <w:rPr>
          <w:rFonts w:ascii="黑体" w:hAnsi="黑体" w:eastAsia="黑体"/>
          <w:sz w:val="28"/>
          <w:szCs w:val="28"/>
          <w:highlight w:val="none"/>
          <w:lang w:val="en-US"/>
        </w:rPr>
      </w:pPr>
    </w:p>
    <w:p w14:paraId="115F218D">
      <w:pPr>
        <w:keepNext w:val="0"/>
        <w:keepLines w:val="0"/>
        <w:pageBreakBefore w:val="0"/>
        <w:kinsoku/>
        <w:overflowPunct/>
        <w:topLinePunct w:val="0"/>
        <w:bidi w:val="0"/>
        <w:spacing w:line="600" w:lineRule="exact"/>
        <w:textAlignment w:val="auto"/>
        <w:rPr>
          <w:rFonts w:hint="eastAsia" w:ascii="方正小标宋简体" w:hAnsi="方正小标宋简体" w:eastAsia="方正小标宋简体" w:cs="方正小标宋简体"/>
          <w:bCs/>
          <w:kern w:val="2"/>
          <w:sz w:val="36"/>
          <w:szCs w:val="36"/>
          <w:highlight w:val="none"/>
          <w:lang w:bidi="ar-SA"/>
        </w:rPr>
      </w:pPr>
      <w:bookmarkStart w:id="26" w:name="_Toc66804176"/>
    </w:p>
    <w:p w14:paraId="2CD0D710">
      <w:pPr>
        <w:keepNext w:val="0"/>
        <w:keepLines w:val="0"/>
        <w:pageBreakBefore w:val="0"/>
        <w:kinsoku/>
        <w:overflowPunct/>
        <w:topLinePunct w:val="0"/>
        <w:autoSpaceDE/>
        <w:autoSpaceDN/>
        <w:bidi w:val="0"/>
        <w:spacing w:before="120" w:beforeLines="50" w:after="120" w:afterLines="50" w:line="600" w:lineRule="exact"/>
        <w:jc w:val="center"/>
        <w:textAlignment w:val="auto"/>
        <w:outlineLvl w:val="0"/>
        <w:rPr>
          <w:rFonts w:ascii="方正小标宋简体" w:hAnsi="方正小标宋简体" w:eastAsia="方正小标宋简体" w:cs="方正小标宋简体"/>
          <w:bCs/>
          <w:kern w:val="2"/>
          <w:sz w:val="36"/>
          <w:szCs w:val="36"/>
          <w:highlight w:val="none"/>
          <w:lang w:bidi="ar-SA"/>
        </w:rPr>
      </w:pPr>
      <w:r>
        <w:rPr>
          <w:rFonts w:hint="eastAsia" w:ascii="方正小标宋简体" w:hAnsi="方正小标宋简体" w:eastAsia="方正小标宋简体" w:cs="方正小标宋简体"/>
          <w:bCs/>
          <w:kern w:val="2"/>
          <w:sz w:val="36"/>
          <w:szCs w:val="36"/>
          <w:highlight w:val="none"/>
          <w:lang w:bidi="ar-SA"/>
        </w:rPr>
        <w:t>第</w:t>
      </w:r>
      <w:r>
        <w:rPr>
          <w:rFonts w:hint="eastAsia" w:ascii="方正小标宋简体" w:hAnsi="方正小标宋简体" w:eastAsia="方正小标宋简体" w:cs="方正小标宋简体"/>
          <w:bCs/>
          <w:kern w:val="2"/>
          <w:sz w:val="36"/>
          <w:szCs w:val="36"/>
          <w:highlight w:val="none"/>
          <w:lang w:eastAsia="zh-CN" w:bidi="ar-SA"/>
        </w:rPr>
        <w:t>八</w:t>
      </w:r>
      <w:r>
        <w:rPr>
          <w:rFonts w:hint="eastAsia" w:ascii="方正小标宋简体" w:hAnsi="方正小标宋简体" w:eastAsia="方正小标宋简体" w:cs="方正小标宋简体"/>
          <w:bCs/>
          <w:kern w:val="2"/>
          <w:sz w:val="36"/>
          <w:szCs w:val="36"/>
          <w:highlight w:val="none"/>
          <w:lang w:bidi="ar-SA"/>
        </w:rPr>
        <w:t>章</w:t>
      </w:r>
      <w:r>
        <w:rPr>
          <w:rFonts w:hint="eastAsia" w:ascii="方正小标宋简体" w:hAnsi="方正小标宋简体" w:eastAsia="方正小标宋简体" w:cs="方正小标宋简体"/>
          <w:bCs/>
          <w:kern w:val="2"/>
          <w:sz w:val="36"/>
          <w:szCs w:val="36"/>
          <w:highlight w:val="none"/>
          <w:lang w:val="en-US" w:eastAsia="zh-CN" w:bidi="ar-SA"/>
        </w:rPr>
        <w:t xml:space="preserve">  </w:t>
      </w:r>
      <w:r>
        <w:rPr>
          <w:rFonts w:hint="eastAsia" w:ascii="方正小标宋简体" w:hAnsi="方正小标宋简体" w:eastAsia="方正小标宋简体" w:cs="方正小标宋简体"/>
          <w:bCs/>
          <w:kern w:val="2"/>
          <w:sz w:val="36"/>
          <w:szCs w:val="36"/>
          <w:highlight w:val="none"/>
          <w:lang w:bidi="ar-SA"/>
        </w:rPr>
        <w:t>保障措施与效果评价</w:t>
      </w:r>
      <w:bookmarkEnd w:id="26"/>
    </w:p>
    <w:p w14:paraId="2AD46F59">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bookmarkStart w:id="27" w:name="_Toc66804177"/>
      <w:r>
        <w:rPr>
          <w:rFonts w:hint="eastAsia" w:ascii="Times New Roman" w:hAnsi="Times New Roman" w:eastAsia="黑体" w:cs="Times New Roman"/>
          <w:bCs/>
          <w:kern w:val="2"/>
          <w:sz w:val="32"/>
          <w:szCs w:val="32"/>
          <w:highlight w:val="none"/>
          <w:lang w:eastAsia="zh-CN" w:bidi="ar-SA"/>
        </w:rPr>
        <w:t>第一节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保障措施</w:t>
      </w:r>
      <w:bookmarkEnd w:id="27"/>
    </w:p>
    <w:p w14:paraId="190D766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一、强化组织领导</w:t>
      </w:r>
    </w:p>
    <w:p w14:paraId="337B556A">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坚持和加强党的全面领导，坚持不懈用习近平新时代中国特色社会主义思想武装头脑、指导实践、推动工作，引导广大党员干部筑牢理想信念之基，不忘初心</w:t>
      </w:r>
      <w:r>
        <w:rPr>
          <w:rFonts w:hint="eastAsia" w:hAnsi="仿宋" w:cs="仿宋"/>
          <w:sz w:val="32"/>
          <w:szCs w:val="32"/>
          <w:highlight w:val="none"/>
          <w:lang w:eastAsia="zh-CN"/>
        </w:rPr>
        <w:t>、</w:t>
      </w:r>
      <w:r>
        <w:rPr>
          <w:rFonts w:hint="eastAsia" w:hAnsi="仿宋" w:cs="仿宋"/>
          <w:sz w:val="32"/>
          <w:szCs w:val="32"/>
          <w:highlight w:val="none"/>
        </w:rPr>
        <w:t>牢记使命，增强“四个意识”、坚定“四个自信”、做到“两个维护”，不断提高政治判断力、政治领悟力、政治执行力，把党的领导贯穿到规划实施的全过程，保障社会主义现代化强区水安全。不断完善制度体系，确保党中央、国务院决策部署和市委市政府、区委区政府的要求有效落地落实。落实全面从严治党主体责任、监督责任，扎实推进党风廉政建设，保持严的主基调，提高党的建设质量。强化水安全保障工作责任，加强总体设计和组织领导，统筹协调部署各项任务，明确分工，落实目标责任，切实做好组织实施工作。水务、生态环境、农业农村、发展改革、工业和信息化、规划资源等涉水主管部门发挥牵头作用，主动与其他部门加强沟通协调联动、齐抓共管，综合运用行政、经济、市场等各种手段，形成水安全保障工作合力，协同推进规划实施，推动水务事业的发展。</w:t>
      </w:r>
    </w:p>
    <w:p w14:paraId="35AF3E3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二、加强人才保障</w:t>
      </w:r>
    </w:p>
    <w:p w14:paraId="237315EA">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rPr>
        <w:t>创新人才培养机制，加大创新人才培养力度，着力培养工程、资源、环境、信息化等方面的人才</w:t>
      </w:r>
      <w:r>
        <w:rPr>
          <w:rFonts w:hint="eastAsia" w:hAnsi="仿宋" w:cs="仿宋"/>
          <w:sz w:val="32"/>
          <w:szCs w:val="32"/>
          <w:highlight w:val="none"/>
          <w:lang w:eastAsia="zh-CN"/>
        </w:rPr>
        <w:t>。</w:t>
      </w:r>
      <w:r>
        <w:rPr>
          <w:rFonts w:hint="eastAsia" w:hAnsi="仿宋" w:cs="仿宋"/>
          <w:sz w:val="32"/>
          <w:szCs w:val="32"/>
          <w:highlight w:val="none"/>
        </w:rPr>
        <w:t>精准开展人才创新队伍建设，着力培养闸站维修养护、管道设施应急抢修等一大批技能型人才，保障水设施安全运行</w:t>
      </w:r>
      <w:r>
        <w:rPr>
          <w:rFonts w:hint="eastAsia" w:hAnsi="仿宋" w:cs="仿宋"/>
          <w:sz w:val="32"/>
          <w:szCs w:val="32"/>
          <w:highlight w:val="none"/>
          <w:lang w:eastAsia="zh-CN"/>
        </w:rPr>
        <w:t>。</w:t>
      </w:r>
      <w:r>
        <w:rPr>
          <w:rFonts w:hint="eastAsia" w:hAnsi="仿宋" w:cs="仿宋"/>
          <w:sz w:val="32"/>
          <w:szCs w:val="32"/>
          <w:highlight w:val="none"/>
        </w:rPr>
        <w:t>建立完善激励保障措施，鼓励引导人才向基层一线流动。</w:t>
      </w:r>
    </w:p>
    <w:p w14:paraId="53DDC71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三、强化资金保障</w:t>
      </w:r>
    </w:p>
    <w:p w14:paraId="2E6DB900">
      <w:pPr>
        <w:pStyle w:val="3"/>
        <w:keepNext w:val="0"/>
        <w:keepLines w:val="0"/>
        <w:pageBreakBefore w:val="0"/>
        <w:kinsoku/>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坚持改善民生，要尽力而为量力而行，不断健全“政府主导、金融支持、社会参与”的投融资机制，多渠道筹措建设资金，实现投资主体多元化。积极争取中央资金，密切关注中央资金安排动向，主动协调市区两级有关部门，更好落实水安全重大项目建设资金。充分用好财政资金，加强协调沟通，争取更多财政资金和一般政府债券解决防洪等纯公益项目的建设资金。加大专项债券使用，加强新增供水、雨污水排放等具有一定收益的项目整合和策划包装，利用供水水费和污水处理费平衡资金来源，统筹安排重点项目建设资金。积极吸收社会资本，采用PPP</w:t>
      </w:r>
      <w:r>
        <w:rPr>
          <w:rFonts w:hint="eastAsia" w:cs="仿宋_GB2312"/>
          <w:sz w:val="32"/>
          <w:szCs w:val="32"/>
          <w:highlight w:val="none"/>
          <w:lang w:eastAsia="zh-CN"/>
        </w:rPr>
        <w:t>合作</w:t>
      </w:r>
      <w:r>
        <w:rPr>
          <w:rFonts w:hint="eastAsia" w:ascii="仿宋_GB2312" w:hAnsi="仿宋_GB2312" w:eastAsia="仿宋_GB2312" w:cs="仿宋_GB2312"/>
          <w:sz w:val="32"/>
          <w:szCs w:val="32"/>
          <w:highlight w:val="none"/>
        </w:rPr>
        <w:t>、特许经营等模式，解决具有经营性项目建设资金。</w:t>
      </w:r>
    </w:p>
    <w:p w14:paraId="5F46CB9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四、深化前期工作</w:t>
      </w:r>
    </w:p>
    <w:p w14:paraId="4D0E1611">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lang w:eastAsia="zh-CN"/>
        </w:rPr>
        <w:t>严格</w:t>
      </w:r>
      <w:r>
        <w:rPr>
          <w:rFonts w:hint="eastAsia" w:hAnsi="仿宋" w:cs="仿宋"/>
          <w:sz w:val="32"/>
          <w:szCs w:val="32"/>
          <w:highlight w:val="none"/>
        </w:rPr>
        <w:t>履行建设程序，逐项扎实做好项目前期工作，妥善解决好工程建设中的生态环境保护、征地拆迁、利益协调等问题，合理确定建设方案，科学有序实施。建立项目前期工作责任制，严格执行工程建设有关强制性建设标准和规程规范，确保前期工作质量和深度。加强工程必要性论证和工程效果的评估，确保资金发挥最大效益。</w:t>
      </w:r>
    </w:p>
    <w:p w14:paraId="23DC523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五、加强社会监督</w:t>
      </w:r>
    </w:p>
    <w:p w14:paraId="749D9541">
      <w:pPr>
        <w:pStyle w:val="3"/>
        <w:keepNext w:val="0"/>
        <w:keepLines w:val="0"/>
        <w:pageBreakBefore w:val="0"/>
        <w:kinsoku/>
        <w:overflowPunct/>
        <w:topLinePunct w:val="0"/>
        <w:bidi w:val="0"/>
        <w:spacing w:line="600" w:lineRule="exact"/>
        <w:ind w:firstLine="640" w:firstLineChars="200"/>
        <w:jc w:val="both"/>
        <w:textAlignment w:val="auto"/>
        <w:rPr>
          <w:rFonts w:ascii="仿宋" w:hAnsi="仿宋" w:eastAsia="仿宋"/>
          <w:highlight w:val="none"/>
          <w:lang w:val="en-US"/>
        </w:rPr>
      </w:pPr>
      <w:bookmarkStart w:id="28" w:name="_Toc255398112"/>
      <w:bookmarkStart w:id="29" w:name="_Toc66804178"/>
      <w:r>
        <w:rPr>
          <w:rFonts w:hint="eastAsia" w:hAnsi="仿宋" w:cs="仿宋"/>
          <w:sz w:val="32"/>
          <w:szCs w:val="32"/>
          <w:highlight w:val="none"/>
        </w:rPr>
        <w:t>推进政务公开，加强行政监督，提高工作的透明度和公众参与度，建立民主决策、依法决策机制，推进公众参与重点规划、重大项目环境影响评价、价格听证等与人民群众切身利益密切相关的工作。建立健全水污染等涉水突发性事件的社会预警和社会动员机制，增强全社会应对水危机和风险的能力。加大宣传力度，提高全社会水资源节约、保护意识，为水安全保障营造良好的社会环境。充分发挥便民热线的作用，及时处置人民的诉求和建议，提高服务水平，请人民监督，让人民满意。</w:t>
      </w:r>
    </w:p>
    <w:p w14:paraId="2DFF9B79">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jc w:val="center"/>
        <w:textAlignment w:val="auto"/>
        <w:outlineLvl w:val="1"/>
        <w:rPr>
          <w:rFonts w:ascii="Times New Roman" w:hAnsi="Times New Roman" w:eastAsia="黑体" w:cs="Times New Roman"/>
          <w:bCs/>
          <w:kern w:val="2"/>
          <w:sz w:val="32"/>
          <w:szCs w:val="32"/>
          <w:highlight w:val="none"/>
          <w:lang w:bidi="ar-SA"/>
        </w:rPr>
      </w:pPr>
      <w:r>
        <w:rPr>
          <w:rFonts w:hint="eastAsia" w:ascii="Times New Roman" w:hAnsi="Times New Roman" w:eastAsia="黑体" w:cs="Times New Roman"/>
          <w:bCs/>
          <w:kern w:val="2"/>
          <w:sz w:val="32"/>
          <w:szCs w:val="32"/>
          <w:highlight w:val="none"/>
          <w:lang w:eastAsia="zh-CN" w:bidi="ar-SA"/>
        </w:rPr>
        <w:t>第二节</w:t>
      </w:r>
      <w:r>
        <w:rPr>
          <w:rFonts w:hint="eastAsia" w:ascii="Times New Roman" w:hAnsi="Times New Roman" w:eastAsia="黑体" w:cs="Times New Roman"/>
          <w:bCs/>
          <w:kern w:val="2"/>
          <w:sz w:val="32"/>
          <w:szCs w:val="32"/>
          <w:highlight w:val="none"/>
          <w:lang w:val="en-US" w:eastAsia="zh-CN" w:bidi="ar-SA"/>
        </w:rPr>
        <w:t xml:space="preserve">  </w:t>
      </w:r>
      <w:r>
        <w:rPr>
          <w:rFonts w:hint="eastAsia" w:ascii="Times New Roman" w:hAnsi="Times New Roman" w:eastAsia="黑体" w:cs="Times New Roman"/>
          <w:bCs/>
          <w:kern w:val="2"/>
          <w:sz w:val="32"/>
          <w:szCs w:val="32"/>
          <w:highlight w:val="none"/>
          <w:lang w:bidi="ar-SA"/>
        </w:rPr>
        <w:t>实施效果评价</w:t>
      </w:r>
      <w:bookmarkEnd w:id="28"/>
      <w:bookmarkEnd w:id="29"/>
    </w:p>
    <w:p w14:paraId="68F81F66">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r>
        <w:rPr>
          <w:rFonts w:hint="eastAsia" w:hAnsi="仿宋" w:cs="仿宋"/>
          <w:sz w:val="32"/>
          <w:szCs w:val="32"/>
          <w:highlight w:val="none"/>
          <w:lang w:eastAsia="zh-CN"/>
        </w:rPr>
        <w:t>本</w:t>
      </w:r>
      <w:r>
        <w:rPr>
          <w:rFonts w:hint="eastAsia" w:hAnsi="仿宋" w:cs="仿宋"/>
          <w:sz w:val="32"/>
          <w:szCs w:val="32"/>
          <w:highlight w:val="none"/>
        </w:rPr>
        <w:t>规划实施后</w:t>
      </w:r>
      <w:r>
        <w:rPr>
          <w:rFonts w:hint="eastAsia" w:hAnsi="仿宋" w:cs="仿宋"/>
          <w:sz w:val="32"/>
          <w:szCs w:val="32"/>
          <w:highlight w:val="none"/>
          <w:lang w:eastAsia="zh-CN"/>
        </w:rPr>
        <w:t>，</w:t>
      </w:r>
      <w:r>
        <w:rPr>
          <w:rFonts w:hint="eastAsia" w:hAnsi="仿宋" w:cs="仿宋"/>
          <w:sz w:val="32"/>
          <w:szCs w:val="32"/>
          <w:highlight w:val="none"/>
        </w:rPr>
        <w:t>通过对</w:t>
      </w:r>
      <w:r>
        <w:rPr>
          <w:rFonts w:hint="eastAsia" w:hAnsi="仿宋" w:cs="仿宋"/>
          <w:sz w:val="32"/>
          <w:szCs w:val="32"/>
          <w:highlight w:val="none"/>
          <w:lang w:eastAsia="zh-CN"/>
        </w:rPr>
        <w:t>包含</w:t>
      </w:r>
      <w:r>
        <w:rPr>
          <w:rFonts w:hint="eastAsia" w:hAnsi="仿宋" w:cs="仿宋"/>
          <w:sz w:val="32"/>
          <w:szCs w:val="32"/>
          <w:highlight w:val="none"/>
        </w:rPr>
        <w:t>水务投入保障与国民经济发展速度的匹配程度及其对国民经济发展的保证程度</w:t>
      </w:r>
      <w:r>
        <w:rPr>
          <w:rFonts w:hint="eastAsia" w:hAnsi="仿宋" w:cs="仿宋"/>
          <w:sz w:val="32"/>
          <w:szCs w:val="32"/>
          <w:highlight w:val="none"/>
          <w:lang w:eastAsia="zh-CN"/>
        </w:rPr>
        <w:t>在内的</w:t>
      </w:r>
      <w:r>
        <w:rPr>
          <w:rFonts w:hint="eastAsia" w:hAnsi="仿宋" w:cs="仿宋"/>
          <w:sz w:val="32"/>
          <w:szCs w:val="32"/>
          <w:highlight w:val="none"/>
        </w:rPr>
        <w:t>国民经济和社会发展的预期影响和整体效果分析，对规划从经济效果、社会效果、生态环境效果三个方面进行综合评价</w:t>
      </w:r>
      <w:r>
        <w:rPr>
          <w:rFonts w:hint="eastAsia" w:hAnsi="仿宋" w:cs="仿宋"/>
          <w:sz w:val="32"/>
          <w:szCs w:val="32"/>
          <w:highlight w:val="none"/>
          <w:lang w:eastAsia="zh-CN"/>
        </w:rPr>
        <w:t>，</w:t>
      </w:r>
      <w:r>
        <w:rPr>
          <w:rFonts w:hint="eastAsia" w:hAnsi="仿宋" w:cs="仿宋"/>
          <w:sz w:val="32"/>
          <w:szCs w:val="32"/>
          <w:highlight w:val="none"/>
        </w:rPr>
        <w:t>2023年进行中期评估，2025年进行整体评估。强化规划的权威性、严肃性，不随意调整变更规划，经评估确需调整时，应按照新形势新要求调整完善规划内容。</w:t>
      </w:r>
    </w:p>
    <w:p w14:paraId="5BC2865D">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p>
    <w:p w14:paraId="36934F73">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p>
    <w:p w14:paraId="10F4492B">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p>
    <w:p w14:paraId="5F38C254">
      <w:pPr>
        <w:pStyle w:val="3"/>
        <w:keepNext w:val="0"/>
        <w:keepLines w:val="0"/>
        <w:pageBreakBefore w:val="0"/>
        <w:kinsoku/>
        <w:overflowPunct/>
        <w:topLinePunct w:val="0"/>
        <w:bidi w:val="0"/>
        <w:spacing w:line="600" w:lineRule="exact"/>
        <w:ind w:firstLine="640" w:firstLineChars="200"/>
        <w:jc w:val="both"/>
        <w:textAlignment w:val="auto"/>
        <w:rPr>
          <w:rFonts w:hAnsi="仿宋" w:cs="仿宋"/>
          <w:sz w:val="32"/>
          <w:szCs w:val="32"/>
          <w:highlight w:val="none"/>
        </w:rPr>
      </w:pPr>
    </w:p>
    <w:p w14:paraId="63EA93AE">
      <w:pP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br w:type="page"/>
      </w:r>
    </w:p>
    <w:p w14:paraId="7A1115A0">
      <w:pPr>
        <w:keepNext w:val="0"/>
        <w:keepLines w:val="0"/>
        <w:pageBreakBefore w:val="0"/>
        <w:widowControl w:val="0"/>
        <w:kinsoku/>
        <w:wordWrap/>
        <w:overflowPunct/>
        <w:topLinePunct w:val="0"/>
        <w:autoSpaceDE w:val="0"/>
        <w:autoSpaceDN w:val="0"/>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名词解释</w:t>
      </w:r>
    </w:p>
    <w:p w14:paraId="656343C0">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一、</w:t>
      </w:r>
      <w:r>
        <w:rPr>
          <w:rFonts w:hint="eastAsia" w:ascii="黑体" w:hAnsi="黑体" w:eastAsia="黑体" w:cs="黑体"/>
          <w:sz w:val="32"/>
          <w:szCs w:val="22"/>
          <w:lang w:eastAsia="zh-Hans"/>
        </w:rPr>
        <w:t>“一制三化”</w:t>
      </w:r>
    </w:p>
    <w:p w14:paraId="215A75B3">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仿宋_GB2312" w:eastAsia="仿宋_GB2312"/>
          <w:sz w:val="32"/>
          <w:szCs w:val="22"/>
          <w:lang w:eastAsia="zh-Hans"/>
        </w:rPr>
      </w:pPr>
      <w:r>
        <w:rPr>
          <w:rFonts w:hint="eastAsia" w:ascii="仿宋_GB2312" w:eastAsia="仿宋_GB2312"/>
          <w:sz w:val="32"/>
          <w:szCs w:val="22"/>
          <w:lang w:eastAsia="zh-Hans"/>
        </w:rPr>
        <w:t>在行政审批领域推行的“承诺制、标准化、智能化和便利化”改革。</w:t>
      </w:r>
    </w:p>
    <w:p w14:paraId="22CE9C6D">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default" w:ascii="黑体" w:hAnsi="黑体" w:eastAsia="黑体" w:cs="黑体"/>
          <w:sz w:val="32"/>
          <w:szCs w:val="22"/>
          <w:lang w:val="en-US" w:eastAsia="zh-CN"/>
        </w:rPr>
      </w:pPr>
      <w:r>
        <w:rPr>
          <w:rFonts w:hint="eastAsia" w:ascii="黑体" w:hAnsi="黑体" w:eastAsia="黑体" w:cs="黑体"/>
          <w:sz w:val="32"/>
          <w:szCs w:val="22"/>
          <w:lang w:val="en-US" w:eastAsia="zh-CN"/>
        </w:rPr>
        <w:t>二、</w:t>
      </w:r>
      <w:r>
        <w:rPr>
          <w:rFonts w:hint="eastAsia" w:ascii="黑体" w:hAnsi="黑体" w:eastAsia="黑体" w:cs="黑体"/>
          <w:sz w:val="32"/>
          <w:szCs w:val="22"/>
          <w:lang w:val="en-US" w:eastAsia="zh-Hans"/>
        </w:rPr>
        <w:t>“河</w:t>
      </w:r>
      <w:r>
        <w:rPr>
          <w:rFonts w:hint="eastAsia" w:ascii="黑体" w:hAnsi="黑体" w:eastAsia="黑体" w:cs="黑体"/>
          <w:sz w:val="32"/>
          <w:szCs w:val="22"/>
          <w:lang w:val="en-US" w:eastAsia="zh-CN"/>
        </w:rPr>
        <w:t>（湖）</w:t>
      </w:r>
      <w:r>
        <w:rPr>
          <w:rFonts w:hint="eastAsia" w:ascii="黑体" w:hAnsi="黑体" w:eastAsia="黑体" w:cs="黑体"/>
          <w:sz w:val="32"/>
          <w:szCs w:val="22"/>
          <w:lang w:val="en-US" w:eastAsia="zh-Hans"/>
        </w:rPr>
        <w:t>长制”</w:t>
      </w:r>
    </w:p>
    <w:p w14:paraId="4DD19470">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ascii="仿宋_GB2312" w:eastAsia="仿宋_GB2312"/>
          <w:b w:val="0"/>
          <w:bCs w:val="0"/>
          <w:sz w:val="32"/>
          <w:szCs w:val="22"/>
          <w:lang w:eastAsia="zh-Hans"/>
        </w:rPr>
      </w:pPr>
      <w:r>
        <w:rPr>
          <w:rFonts w:hint="eastAsia" w:ascii="仿宋_GB2312" w:eastAsia="仿宋_GB2312"/>
          <w:b w:val="0"/>
          <w:bCs w:val="0"/>
          <w:sz w:val="32"/>
          <w:szCs w:val="22"/>
          <w:lang w:eastAsia="zh-Hans"/>
        </w:rPr>
        <w:t>“河长制”：由各级党政主要负责人担任“河长”，负责组织领导辖区内河湖的管理和保护工作的制度。</w:t>
      </w:r>
    </w:p>
    <w:p w14:paraId="16925F98">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ascii="仿宋_GB2312" w:eastAsia="仿宋_GB2312"/>
          <w:sz w:val="32"/>
          <w:szCs w:val="22"/>
          <w:lang w:eastAsia="zh-Hans"/>
        </w:rPr>
      </w:pPr>
      <w:r>
        <w:rPr>
          <w:rFonts w:hint="eastAsia" w:ascii="仿宋_GB2312" w:eastAsia="仿宋_GB2312"/>
          <w:b w:val="0"/>
          <w:bCs w:val="0"/>
          <w:sz w:val="32"/>
          <w:szCs w:val="22"/>
          <w:lang w:eastAsia="zh-Hans"/>
        </w:rPr>
        <w:t>“湖长制”：</w:t>
      </w:r>
      <w:r>
        <w:rPr>
          <w:rFonts w:hint="eastAsia" w:ascii="仿宋_GB2312" w:eastAsia="仿宋_GB2312"/>
          <w:sz w:val="32"/>
          <w:szCs w:val="22"/>
          <w:lang w:eastAsia="zh-Hans"/>
        </w:rPr>
        <w:t>旨在加强湖泊管理保护和生态环境保护、实现湖泊功能永续利用的工作制度。</w:t>
      </w:r>
    </w:p>
    <w:p w14:paraId="7E602199">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三、</w:t>
      </w:r>
      <w:r>
        <w:rPr>
          <w:rFonts w:hint="eastAsia" w:ascii="黑体" w:hAnsi="黑体" w:eastAsia="黑体" w:cs="黑体"/>
          <w:sz w:val="32"/>
          <w:szCs w:val="22"/>
          <w:lang w:val="en-US" w:eastAsia="zh-Hans"/>
        </w:rPr>
        <w:t>河湖“清四乱”</w:t>
      </w:r>
    </w:p>
    <w:p w14:paraId="2FBF541B">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ascii="仿宋_GB2312" w:eastAsia="仿宋_GB2312"/>
          <w:sz w:val="32"/>
          <w:szCs w:val="22"/>
          <w:lang w:eastAsia="zh-Hans"/>
        </w:rPr>
      </w:pPr>
      <w:r>
        <w:rPr>
          <w:rFonts w:hint="eastAsia" w:ascii="仿宋_GB2312" w:eastAsia="仿宋_GB2312"/>
          <w:sz w:val="32"/>
          <w:szCs w:val="22"/>
          <w:lang w:eastAsia="zh-Hans"/>
        </w:rPr>
        <w:t>指清理乱占、乱采、乱堆、乱建等突出问题。</w:t>
      </w:r>
    </w:p>
    <w:p w14:paraId="7A2B2D88">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四、</w:t>
      </w:r>
      <w:r>
        <w:rPr>
          <w:rFonts w:hint="eastAsia" w:ascii="黑体" w:hAnsi="黑体" w:eastAsia="黑体" w:cs="黑体"/>
          <w:sz w:val="32"/>
          <w:szCs w:val="22"/>
          <w:lang w:val="en-US" w:eastAsia="zh-Hans"/>
        </w:rPr>
        <w:t>“一基地三区”</w:t>
      </w:r>
    </w:p>
    <w:p w14:paraId="7ADBF0CF">
      <w:pPr>
        <w:keepNext w:val="0"/>
        <w:keepLines w:val="0"/>
        <w:pageBreakBefore w:val="0"/>
        <w:widowControl w:val="0"/>
        <w:kinsoku/>
        <w:wordWrap/>
        <w:overflowPunct/>
        <w:topLinePunct w:val="0"/>
        <w:autoSpaceDE w:val="0"/>
        <w:autoSpaceDN w:val="0"/>
        <w:bidi w:val="0"/>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全国先进制造研发基地、北方国际航运核心区、金融创新运营示范区、改革开放先行区。</w:t>
      </w:r>
    </w:p>
    <w:p w14:paraId="1975516D">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五、</w:t>
      </w:r>
      <w:r>
        <w:rPr>
          <w:rFonts w:hint="eastAsia" w:ascii="黑体" w:hAnsi="黑体" w:eastAsia="黑体" w:cs="黑体"/>
          <w:sz w:val="32"/>
          <w:szCs w:val="22"/>
          <w:lang w:val="en-US" w:eastAsia="zh-Hans"/>
        </w:rPr>
        <w:t>“</w:t>
      </w:r>
      <w:r>
        <w:rPr>
          <w:rFonts w:hint="eastAsia" w:ascii="黑体" w:hAnsi="黑体" w:eastAsia="黑体" w:cs="黑体"/>
          <w:sz w:val="32"/>
          <w:szCs w:val="22"/>
          <w:lang w:val="en-US" w:eastAsia="zh-CN"/>
        </w:rPr>
        <w:t>放管服</w:t>
      </w:r>
      <w:r>
        <w:rPr>
          <w:rFonts w:hint="eastAsia" w:ascii="黑体" w:hAnsi="黑体" w:eastAsia="黑体" w:cs="黑体"/>
          <w:sz w:val="32"/>
          <w:szCs w:val="22"/>
          <w:lang w:val="en-US" w:eastAsia="zh-Hans"/>
        </w:rPr>
        <w:t>”</w:t>
      </w:r>
    </w:p>
    <w:p w14:paraId="0831D0D1">
      <w:pPr>
        <w:keepNext w:val="0"/>
        <w:keepLines w:val="0"/>
        <w:pageBreakBefore w:val="0"/>
        <w:widowControl w:val="0"/>
        <w:kinsoku/>
        <w:wordWrap/>
        <w:overflowPunct/>
        <w:topLinePunct w:val="0"/>
        <w:autoSpaceDE w:val="0"/>
        <w:autoSpaceDN w:val="0"/>
        <w:bidi w:val="0"/>
        <w:spacing w:line="60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简政放权、放管结合、优化服务</w:t>
      </w:r>
    </w:p>
    <w:p w14:paraId="4634F643">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default" w:ascii="黑体" w:hAnsi="黑体" w:eastAsia="黑体" w:cs="黑体"/>
          <w:sz w:val="32"/>
          <w:szCs w:val="22"/>
          <w:lang w:val="en-US" w:eastAsia="zh-CN"/>
        </w:rPr>
      </w:pPr>
      <w:r>
        <w:rPr>
          <w:rFonts w:hint="eastAsia" w:ascii="黑体" w:hAnsi="黑体" w:eastAsia="黑体" w:cs="黑体"/>
          <w:sz w:val="32"/>
          <w:szCs w:val="22"/>
          <w:lang w:val="en-US" w:eastAsia="zh-CN"/>
        </w:rPr>
        <w:t>六、</w:t>
      </w:r>
      <w:r>
        <w:rPr>
          <w:rFonts w:hint="eastAsia" w:ascii="黑体" w:hAnsi="黑体" w:eastAsia="黑体" w:cs="黑体"/>
          <w:sz w:val="32"/>
          <w:szCs w:val="22"/>
          <w:lang w:val="en-US" w:eastAsia="zh-Hans"/>
        </w:rPr>
        <w:t>“三个着力”</w:t>
      </w:r>
    </w:p>
    <w:p w14:paraId="585266F8">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仿宋_GB2312" w:eastAsia="仿宋_GB2312"/>
          <w:sz w:val="32"/>
          <w:szCs w:val="22"/>
          <w:lang w:eastAsia="zh-Hans"/>
        </w:rPr>
      </w:pPr>
      <w:r>
        <w:rPr>
          <w:rFonts w:hint="eastAsia" w:ascii="仿宋_GB2312" w:eastAsia="仿宋_GB2312"/>
          <w:sz w:val="32"/>
          <w:szCs w:val="22"/>
          <w:lang w:eastAsia="zh-Hans"/>
        </w:rPr>
        <w:t>着力提高发展质量和效益，着力保障和改善民生，着力加强和改善党的领导。</w:t>
      </w:r>
    </w:p>
    <w:p w14:paraId="656398D3">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default" w:ascii="黑体" w:hAnsi="黑体" w:eastAsia="黑体" w:cs="黑体"/>
          <w:sz w:val="32"/>
          <w:szCs w:val="22"/>
          <w:lang w:val="en-US" w:eastAsia="zh-CN"/>
        </w:rPr>
      </w:pPr>
      <w:r>
        <w:rPr>
          <w:rFonts w:hint="eastAsia" w:ascii="黑体" w:hAnsi="黑体" w:eastAsia="黑体" w:cs="黑体"/>
          <w:sz w:val="32"/>
          <w:szCs w:val="22"/>
          <w:lang w:val="en-US" w:eastAsia="zh-CN"/>
        </w:rPr>
        <w:t>七、“六河五湖”</w:t>
      </w:r>
    </w:p>
    <w:p w14:paraId="27ED7E85">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仿宋_GB2312" w:eastAsia="仿宋_GB2312"/>
          <w:sz w:val="32"/>
          <w:szCs w:val="22"/>
          <w:lang w:eastAsia="zh-Hans"/>
        </w:rPr>
      </w:pPr>
      <w:r>
        <w:rPr>
          <w:rFonts w:hint="eastAsia" w:ascii="仿宋_GB2312" w:eastAsia="仿宋_GB2312"/>
          <w:sz w:val="32"/>
          <w:szCs w:val="22"/>
          <w:lang w:val="en-US" w:eastAsia="zh-CN"/>
        </w:rPr>
        <w:t>海河流域京津冀地区滦河、潮白河、北运河、永定河、大清河、南运河六条重点河流和白洋淀、衡水湖、七里海、南大港、北大港五大重点湖泊湿地</w:t>
      </w:r>
      <w:r>
        <w:rPr>
          <w:rFonts w:hint="eastAsia"/>
          <w:sz w:val="32"/>
          <w:szCs w:val="22"/>
          <w:lang w:val="en-US" w:eastAsia="zh-CN"/>
        </w:rPr>
        <w:t>。</w:t>
      </w:r>
    </w:p>
    <w:p w14:paraId="3140F666">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default" w:ascii="黑体" w:hAnsi="黑体" w:eastAsia="黑体" w:cs="黑体"/>
          <w:sz w:val="32"/>
          <w:szCs w:val="22"/>
          <w:lang w:val="en-US" w:eastAsia="zh-CN"/>
        </w:rPr>
      </w:pPr>
      <w:r>
        <w:rPr>
          <w:rFonts w:hint="eastAsia" w:ascii="黑体" w:hAnsi="黑体" w:eastAsia="黑体" w:cs="黑体"/>
          <w:sz w:val="32"/>
          <w:szCs w:val="22"/>
          <w:lang w:val="en-US" w:eastAsia="zh-CN"/>
        </w:rPr>
        <w:t xml:space="preserve">八、工程总承包（EPC） </w:t>
      </w:r>
    </w:p>
    <w:p w14:paraId="1347EFFC">
      <w:pPr>
        <w:keepNext w:val="0"/>
        <w:keepLines w:val="0"/>
        <w:pageBreakBefore w:val="0"/>
        <w:widowControl w:val="0"/>
        <w:kinsoku/>
        <w:wordWrap/>
        <w:overflowPunct/>
        <w:topLinePunct w:val="0"/>
        <w:autoSpaceDE w:val="0"/>
        <w:autoSpaceDN w:val="0"/>
        <w:bidi w:val="0"/>
        <w:spacing w:line="600" w:lineRule="exact"/>
        <w:ind w:firstLine="640" w:firstLineChars="200"/>
        <w:jc w:val="both"/>
        <w:textAlignment w:val="auto"/>
        <w:rPr>
          <w:rFonts w:hint="eastAsia" w:ascii="黑体" w:hAnsi="黑体" w:eastAsia="黑体"/>
          <w:sz w:val="32"/>
          <w:szCs w:val="22"/>
          <w:highlight w:val="yellow"/>
          <w:lang w:val="en-US" w:eastAsia="zh-CN"/>
        </w:rPr>
      </w:pPr>
      <w:r>
        <w:rPr>
          <w:rFonts w:hint="eastAsia" w:ascii="仿宋_GB2312" w:eastAsia="仿宋_GB2312"/>
          <w:b w:val="0"/>
          <w:bCs w:val="0"/>
          <w:sz w:val="32"/>
          <w:szCs w:val="22"/>
          <w:lang w:val="en-US" w:eastAsia="zh-CN"/>
        </w:rPr>
        <w:t>EPC</w:t>
      </w:r>
      <w:r>
        <w:rPr>
          <w:rFonts w:hint="eastAsia" w:ascii="仿宋_GB2312" w:eastAsia="仿宋_GB2312"/>
          <w:sz w:val="32"/>
          <w:szCs w:val="22"/>
          <w:lang w:val="en-US" w:eastAsia="zh-CN"/>
        </w:rPr>
        <w:t>（Engineering Procurement Construction）是指从事工程总承包的企业按照与建设单位签订的合同，对工程项目的设计、采购、施工等实行全过程的承包，并对工程的质量、安全、工期和造价等全面负责的承包方式。</w:t>
      </w:r>
    </w:p>
    <w:p w14:paraId="77E89F71">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default" w:ascii="黑体" w:hAnsi="黑体" w:eastAsia="黑体" w:cs="黑体"/>
          <w:sz w:val="32"/>
          <w:szCs w:val="22"/>
          <w:lang w:val="en-US" w:eastAsia="zh-CN"/>
        </w:rPr>
      </w:pPr>
      <w:r>
        <w:rPr>
          <w:rFonts w:hint="eastAsia" w:ascii="黑体" w:hAnsi="黑体" w:eastAsia="黑体" w:cs="黑体"/>
          <w:sz w:val="32"/>
          <w:szCs w:val="22"/>
          <w:lang w:val="en-US" w:eastAsia="zh-CN"/>
        </w:rPr>
        <w:t>九、建筑信息模型（BIM）</w:t>
      </w:r>
    </w:p>
    <w:p w14:paraId="0E62E580">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黑体" w:hAnsi="黑体" w:eastAsia="黑体"/>
          <w:sz w:val="32"/>
          <w:szCs w:val="22"/>
          <w:lang w:val="en-US" w:eastAsia="zh-CN"/>
        </w:rPr>
      </w:pPr>
      <w:r>
        <w:rPr>
          <w:rFonts w:hint="eastAsia" w:hAnsi="仿宋" w:cs="仿宋"/>
          <w:sz w:val="32"/>
          <w:szCs w:val="32"/>
          <w:highlight w:val="none"/>
          <w:lang w:val="en-US" w:eastAsia="zh-CN"/>
        </w:rPr>
        <w:t>BIM（Building Information Modeling）是以三维数字技术为基础，集成了建筑工程项目各种相关信息的工程数据模型。</w:t>
      </w:r>
    </w:p>
    <w:p w14:paraId="247BD562">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default" w:ascii="黑体" w:hAnsi="黑体" w:eastAsia="黑体" w:cs="黑体"/>
          <w:sz w:val="32"/>
          <w:szCs w:val="22"/>
          <w:lang w:val="en-US" w:eastAsia="zh-CN"/>
        </w:rPr>
      </w:pPr>
      <w:r>
        <w:rPr>
          <w:rFonts w:hint="eastAsia" w:ascii="黑体" w:hAnsi="黑体" w:eastAsia="黑体" w:cs="黑体"/>
          <w:sz w:val="32"/>
          <w:szCs w:val="22"/>
          <w:lang w:val="en-US" w:eastAsia="zh-CN"/>
        </w:rPr>
        <w:t>十、</w:t>
      </w:r>
      <w:r>
        <w:rPr>
          <w:rFonts w:hint="eastAsia" w:ascii="黑体" w:hAnsi="黑体" w:eastAsia="黑体" w:cs="黑体"/>
          <w:sz w:val="32"/>
          <w:szCs w:val="22"/>
          <w:lang w:val="en-US" w:eastAsia="zh-Hans"/>
        </w:rPr>
        <w:t>PPP合作模式</w:t>
      </w:r>
      <w:r>
        <w:rPr>
          <w:rFonts w:hint="eastAsia" w:ascii="黑体" w:hAnsi="黑体" w:eastAsia="黑体" w:cs="黑体"/>
          <w:sz w:val="32"/>
          <w:szCs w:val="22"/>
          <w:lang w:val="en-US" w:eastAsia="zh-CN"/>
        </w:rPr>
        <w:t xml:space="preserve"> </w:t>
      </w:r>
    </w:p>
    <w:p w14:paraId="52171221">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仿宋_GB2312" w:eastAsia="仿宋_GB2312"/>
          <w:sz w:val="32"/>
          <w:szCs w:val="22"/>
          <w:lang w:eastAsia="zh-Hans"/>
        </w:rPr>
      </w:pPr>
      <w:r>
        <w:rPr>
          <w:rFonts w:hint="eastAsia" w:ascii="仿宋_GB2312" w:eastAsia="仿宋_GB2312"/>
          <w:sz w:val="32"/>
          <w:szCs w:val="22"/>
          <w:lang w:eastAsia="zh-Hans"/>
        </w:rPr>
        <w:t>政府和社会资本合作模式，指政府为增强公共产品和服务供给能力，提高供给效率，通过特许运营、股权合作等方式，与社会资本建立的利益共享、风险分担及长期合作关系。</w:t>
      </w:r>
    </w:p>
    <w:p w14:paraId="704C81F6">
      <w:pPr>
        <w:keepNext w:val="0"/>
        <w:keepLines w:val="0"/>
        <w:pageBreakBefore w:val="0"/>
        <w:kinsoku/>
        <w:wordWrap/>
        <w:overflowPunct/>
        <w:topLinePunct w:val="0"/>
        <w:autoSpaceDE/>
        <w:autoSpaceDN/>
        <w:bidi w:val="0"/>
        <w:snapToGrid/>
        <w:spacing w:line="600" w:lineRule="exact"/>
        <w:jc w:val="both"/>
        <w:textAlignment w:val="auto"/>
        <w:rPr>
          <w:rFonts w:hint="default"/>
          <w:lang w:val="en-US" w:eastAsia="zh-CN"/>
        </w:rPr>
      </w:pPr>
    </w:p>
    <w:sectPr>
      <w:footerReference r:id="rId22"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Microsoft YaHei UI">
    <w:altName w:val="苹方-简"/>
    <w:panose1 w:val="020B0503020204020204"/>
    <w:charset w:val="86"/>
    <w:family w:val="swiss"/>
    <w:pitch w:val="default"/>
    <w:sig w:usb0="00000000" w:usb1="00000000" w:usb2="00000016" w:usb3="00000000" w:csb0="0004001F" w:csb1="00000000"/>
  </w:font>
  <w:font w:name="楷体_GB2312">
    <w:altName w:val="汉仪楷体简"/>
    <w:panose1 w:val="02010609030101010101"/>
    <w:charset w:val="86"/>
    <w:family w:val="modern"/>
    <w:pitch w:val="default"/>
    <w:sig w:usb0="00000000" w:usb1="00000000" w:usb2="00000000" w:usb3="00000000" w:csb0="00040000" w:csb1="00000000"/>
  </w:font>
  <w:font w:name="华文新魏">
    <w:altName w:val="宋体-简"/>
    <w:panose1 w:val="02010800040101010101"/>
    <w:charset w:val="86"/>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2000000" w:usb3="00000000" w:csb0="0000019F" w:csb1="00000000"/>
  </w:font>
  <w:font w:name="微软雅黑">
    <w:panose1 w:val="020B0503020204020204"/>
    <w:charset w:val="86"/>
    <w:family w:val="swiss"/>
    <w:pitch w:val="default"/>
    <w:sig w:usb0="80000287" w:usb1="2A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C23B">
    <w:pPr>
      <w:pStyle w:val="3"/>
      <w:spacing w:line="14" w:lineRule="auto"/>
      <w:rPr>
        <w:sz w:val="20"/>
      </w:rPr>
    </w:pPr>
    <w:r>
      <w:rPr>
        <w:sz w:val="20"/>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1B92E">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3F1B92E">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672576"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44"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14:paraId="148D760A">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43904;mso-width-relative:page;mso-height-relative:page;" filled="f" stroked="f" coordsize="21600,21600" o:gfxdata="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etmpTYAAAADQEAAA8AAAAAAAAAAQAgAAAAIgAAAGRycy9kb3ducmV2&#10;LnhtbFBLAQIUABQAAAAIAIdO4kA5sku6/AEAAAMEAAAOAAAAAAAAAAEAIAAAACcBAABkcnMvZTJv&#10;RG9jLnhtbFBLBQYAAAAABgAGAFkBAACVBQAAAAA=&#10;">
              <v:fill on="f" focussize="0,0"/>
              <v:stroke on="f"/>
              <v:imagedata o:title=""/>
              <o:lock v:ext="edit" aspectratio="f"/>
              <v:textbox inset="0mm,0mm,0mm,0mm">
                <w:txbxContent>
                  <w:p w14:paraId="148D760A">
                    <w:pPr>
                      <w:spacing w:line="220" w:lineRule="exact"/>
                      <w:ind w:left="20"/>
                      <w:rPr>
                        <w:rFonts w:ascii="宋体"/>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10FAB">
    <w:pPr>
      <w:pStyle w:val="3"/>
      <w:spacing w:line="14" w:lineRule="auto"/>
      <w:rPr>
        <w:sz w:val="20"/>
      </w:rPr>
    </w:pPr>
    <w:r>
      <w:rPr>
        <w:sz w:val="20"/>
      </w:rPr>
      <mc:AlternateContent>
        <mc:Choice Requires="wps">
          <w:drawing>
            <wp:anchor distT="0" distB="0" distL="114300" distR="114300" simplePos="0" relativeHeight="2516971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485D5">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67485D5">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- 34 -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683840"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9"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14:paraId="5804FE7A">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32640;mso-width-relative:page;mso-height-relative:page;" filled="f" stroked="f" coordsize="21600,21600" o:gfxdata="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62alNgAAAANAQAADwAAAAAAAAABACAAAAAiAAAAZHJzL2Rvd25yZXYu&#10;eG1sUEsBAhQAFAAAAAgAh07iQHH9gJ37AQAAAgQAAA4AAAAAAAAAAQAgAAAAJwEAAGRycy9lMm9E&#10;b2MueG1sUEsFBgAAAAAGAAYAWQEAAJQFAAAAAA==&#10;">
              <v:fill on="f" focussize="0,0"/>
              <v:stroke on="f"/>
              <v:imagedata o:title=""/>
              <o:lock v:ext="edit" aspectratio="f"/>
              <v:textbox inset="0mm,0mm,0mm,0mm">
                <w:txbxContent>
                  <w:p w14:paraId="5804FE7A">
                    <w:pPr>
                      <w:spacing w:line="220" w:lineRule="exact"/>
                      <w:ind w:left="20"/>
                      <w:rPr>
                        <w:rFonts w:ascii="宋体"/>
                        <w:sz w:val="18"/>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34895">
    <w:pPr>
      <w:pStyle w:val="21"/>
    </w:pPr>
    <w:r>
      <w:rPr>
        <w:sz w:val="18"/>
      </w:rPr>
      <mc:AlternateContent>
        <mc:Choice Requires="wps">
          <w:drawing>
            <wp:anchor distT="0" distB="0" distL="114300" distR="114300" simplePos="0" relativeHeight="2516981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9619B">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749619B">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- 35 -</w:t>
                    </w:r>
                    <w:r>
                      <w:rPr>
                        <w:rFonts w:hint="eastAsia" w:ascii="宋体" w:hAnsi="宋体" w:eastAsia="宋体" w:cs="宋体"/>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B09CA">
    <w:pPr>
      <w:pStyle w:val="3"/>
      <w:spacing w:line="14" w:lineRule="auto"/>
      <w:rPr>
        <w:sz w:val="20"/>
      </w:rPr>
    </w:pPr>
    <w:r>
      <w:rPr>
        <w:sz w:val="30"/>
      </w:rPr>
      <mc:AlternateContent>
        <mc:Choice Requires="wps">
          <w:drawing>
            <wp:anchor distT="0" distB="0" distL="114300" distR="114300" simplePos="0" relativeHeight="2516992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4AAF8">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3A4AAF8">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- 52 -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670528"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14:paraId="19835D7A">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45952;mso-width-relative:page;mso-height-relative:page;" filled="f" stroked="f" coordsize="21600,21600" o:gfxdata="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62alNgAAAANAQAADwAAAAAAAAABACAAAAAiAAAAZHJzL2Rvd25yZXYu&#10;eG1sUEsBAhQAFAAAAAgAh07iQAwu/un7AQAAAgQAAA4AAAAAAAAAAQAgAAAAJwEAAGRycy9lMm9E&#10;b2MueG1sUEsFBgAAAAAGAAYAWQEAAJQFAAAAAA==&#10;">
              <v:fill on="f" focussize="0,0"/>
              <v:stroke on="f"/>
              <v:imagedata o:title=""/>
              <o:lock v:ext="edit" aspectratio="f"/>
              <v:textbox inset="0mm,0mm,0mm,0mm">
                <w:txbxContent>
                  <w:p w14:paraId="19835D7A">
                    <w:pPr>
                      <w:spacing w:line="220" w:lineRule="exact"/>
                      <w:ind w:left="20"/>
                      <w:rPr>
                        <w:rFonts w:ascii="宋体"/>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C6876">
    <w:pPr>
      <w:pStyle w:val="3"/>
      <w:spacing w:line="14" w:lineRule="auto"/>
      <w:rPr>
        <w:sz w:val="20"/>
      </w:rPr>
    </w:pPr>
    <w:r>
      <w:rPr>
        <w:sz w:val="20"/>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4E17A">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2E4E17A">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667456"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17"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14:paraId="1221A0E7">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49024;mso-width-relative:page;mso-height-relative:page;" filled="f" stroked="f" coordsize="21600,21600" o:gfxdata="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62alNgAAAANAQAADwAAAAAAAAABACAAAAAiAAAAZHJzL2Rvd25yZXYu&#10;eG1sUEsBAhQAFAAAAAgAh07iQMQPjWD7AQAAAwQAAA4AAAAAAAAAAQAgAAAAJwEAAGRycy9lMm9E&#10;b2MueG1sUEsFBgAAAAAGAAYAWQEAAJQFAAAAAA==&#10;">
              <v:fill on="f" focussize="0,0"/>
              <v:stroke on="f"/>
              <v:imagedata o:title=""/>
              <o:lock v:ext="edit" aspectratio="f"/>
              <v:textbox inset="0mm,0mm,0mm,0mm">
                <w:txbxContent>
                  <w:p w14:paraId="1221A0E7">
                    <w:pPr>
                      <w:spacing w:line="220" w:lineRule="exact"/>
                      <w:ind w:left="20"/>
                      <w:rPr>
                        <w:rFonts w:ascii="宋体"/>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0095D">
    <w:pPr>
      <w:pStyle w:val="3"/>
      <w:spacing w:line="14" w:lineRule="auto"/>
      <w:rPr>
        <w:sz w:val="20"/>
      </w:rPr>
    </w:pPr>
    <w:r>
      <w:rPr>
        <w:sz w:val="20"/>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CC805">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45CC805">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688F9">
    <w:pPr>
      <w:pStyle w:val="3"/>
      <w:spacing w:line="14" w:lineRule="auto"/>
      <w:rPr>
        <w:sz w:val="20"/>
      </w:rPr>
    </w:pPr>
    <w:r>
      <w:rPr>
        <w:sz w:val="20"/>
      </w:rP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395D4">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FC395D4">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p w14:paraId="6C8DF563">
    <w:pPr>
      <w:pStyle w:val="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A62C6">
    <w:pPr>
      <w:pStyle w:val="3"/>
      <w:spacing w:line="14" w:lineRule="auto"/>
      <w:rPr>
        <w:sz w:val="20"/>
      </w:rPr>
    </w:pPr>
    <w:r>
      <w:rPr>
        <w:sz w:val="20"/>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3F2CB">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873F2CB">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668480"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18"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14:paraId="05CCF12D">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48000;mso-width-relative:page;mso-height-relative:page;" filled="f" stroked="f" coordsize="21600,21600" o:gfxdata="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rZqU2AAAAA0BAAAPAAAAAAAAAAEAIAAAACIAAABkcnMvZG93bnJldi54&#10;bWxQSwECFAAUAAAACACHTuJAudzzFPoBAAADBAAADgAAAAAAAAABACAAAAAnAQAAZHJzL2Uyb0Rv&#10;Yy54bWxQSwUGAAAAAAYABgBZAQAAkwUAAAAA&#10;">
              <v:fill on="f" focussize="0,0"/>
              <v:stroke on="f"/>
              <v:imagedata o:title=""/>
              <o:lock v:ext="edit" aspectratio="f"/>
              <v:textbox inset="0mm,0mm,0mm,0mm">
                <w:txbxContent>
                  <w:p w14:paraId="05CCF12D">
                    <w:pPr>
                      <w:spacing w:line="220" w:lineRule="exact"/>
                      <w:ind w:left="20"/>
                      <w:rPr>
                        <w:rFonts w:ascii="宋体"/>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226E8">
    <w:pPr>
      <w:pStyle w:val="3"/>
      <w:spacing w:line="14" w:lineRule="auto"/>
      <w:rPr>
        <w:rFonts w:hint="default"/>
        <w:sz w:val="20"/>
        <w:lang w:val="en-US"/>
      </w:rPr>
    </w:pPr>
    <w:r>
      <w:rPr>
        <w:sz w:val="30"/>
      </w:rP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CCAD7">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F6CCAD7">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677696"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71"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14:paraId="5A5ECA9D">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38784;mso-width-relative:page;mso-height-relative:page;" filled="f" stroked="f" coordsize="21600,21600" o:gfxdata="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etmpTYAAAADQEAAA8AAAAAAAAAAQAgAAAAIgAAAGRycy9kb3ducmV2&#10;LnhtbFBLAQIUABQAAAAIAIdO4kCo5qGf/AEAAAMEAAAOAAAAAAAAAAEAIAAAACcBAABkcnMvZTJv&#10;RG9jLnhtbFBLBQYAAAAABgAGAFkBAACVBQAAAAA=&#10;">
              <v:fill on="f" focussize="0,0"/>
              <v:stroke on="f"/>
              <v:imagedata o:title=""/>
              <o:lock v:ext="edit" aspectratio="f"/>
              <v:textbox inset="0mm,0mm,0mm,0mm">
                <w:txbxContent>
                  <w:p w14:paraId="5A5ECA9D">
                    <w:pPr>
                      <w:spacing w:line="220" w:lineRule="exact"/>
                      <w:ind w:left="20"/>
                      <w:rPr>
                        <w:rFonts w:ascii="宋体"/>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901E3">
    <w:pPr>
      <w:pStyle w:val="3"/>
      <w:spacing w:line="14" w:lineRule="auto"/>
      <w:rPr>
        <w:rFonts w:hint="default"/>
        <w:sz w:val="20"/>
        <w:lang w:val="en-US"/>
      </w:rPr>
    </w:pPr>
    <w:r>
      <w:rPr>
        <w:sz w:val="20"/>
      </w:rPr>
      <mc:AlternateContent>
        <mc:Choice Requires="wps">
          <w:drawing>
            <wp:anchor distT="0" distB="0" distL="114300" distR="114300" simplePos="0" relativeHeight="2516940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9F0E9">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6C9F0E9">
                    <w:pPr>
                      <w:pStyle w:val="2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- 28 -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673600"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46"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14:paraId="26217C83">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42880;mso-width-relative:page;mso-height-relative:page;" filled="f" stroked="f" coordsize="21600,21600" o:gfxdata="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etmpTYAAAADQEAAA8AAAAAAAAAAQAgAAAAIgAAAGRycy9kb3ducmV2&#10;LnhtbFBLAQIUABQAAAAIAIdO4kAkUmCM/AEAAAMEAAAOAAAAAAAAAAEAIAAAACcBAABkcnMvZTJv&#10;RG9jLnhtbFBLBQYAAAAABgAGAFkBAACVBQAAAAA=&#10;">
              <v:fill on="f" focussize="0,0"/>
              <v:stroke on="f"/>
              <v:imagedata o:title=""/>
              <o:lock v:ext="edit" aspectratio="f"/>
              <v:textbox inset="0mm,0mm,0mm,0mm">
                <w:txbxContent>
                  <w:p w14:paraId="26217C83">
                    <w:pPr>
                      <w:spacing w:line="220" w:lineRule="exact"/>
                      <w:ind w:left="20"/>
                      <w:rPr>
                        <w:rFonts w:ascii="宋体"/>
                        <w:sz w:val="1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FD5D2">
    <w:pPr>
      <w:pStyle w:val="3"/>
      <w:spacing w:line="14" w:lineRule="auto"/>
      <w:rPr>
        <w:sz w:val="20"/>
      </w:rPr>
    </w:pPr>
    <w:r>
      <w:rPr>
        <w:sz w:val="30"/>
      </w:rPr>
      <mc:AlternateContent>
        <mc:Choice Requires="wps">
          <w:drawing>
            <wp:anchor distT="0" distB="0" distL="114300" distR="114300" simplePos="0" relativeHeight="2516951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A7ED8">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16A7ED8">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- 29 -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671552"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32"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14:paraId="554C63AE">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44928;mso-width-relative:page;mso-height-relative:page;" filled="f" stroked="f" coordsize="21600,21600" o:gfxdata="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etmpTYAAAADQEAAA8AAAAAAAAAAQAgAAAAIgAAAGRycy9kb3ducmV2&#10;LnhtbFBLAQIUABQAAAAIAIdO4kDp+0eZ/AEAAAMEAAAOAAAAAAAAAAEAIAAAACcBAABkcnMvZTJv&#10;RG9jLnhtbFBLBQYAAAAABgAGAFkBAACVBQAAAAA=&#10;">
              <v:fill on="f" focussize="0,0"/>
              <v:stroke on="f"/>
              <v:imagedata o:title=""/>
              <o:lock v:ext="edit" aspectratio="f"/>
              <v:textbox inset="0mm,0mm,0mm,0mm">
                <w:txbxContent>
                  <w:p w14:paraId="554C63AE">
                    <w:pPr>
                      <w:spacing w:line="220" w:lineRule="exact"/>
                      <w:ind w:left="20"/>
                      <w:rPr>
                        <w:rFonts w:ascii="宋体"/>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41B6C">
    <w:pPr>
      <w:pStyle w:val="3"/>
      <w:spacing w:line="14" w:lineRule="auto"/>
      <w:rPr>
        <w:sz w:val="20"/>
      </w:rPr>
    </w:pPr>
    <w:r>
      <w:rPr>
        <w:sz w:val="30"/>
      </w:rPr>
      <mc:AlternateContent>
        <mc:Choice Requires="wps">
          <w:drawing>
            <wp:anchor distT="0" distB="0" distL="114300" distR="114300" simplePos="0" relativeHeight="2516961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228F0">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C6228F0">
                    <w:pPr>
                      <w:pStyle w:val="2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- 33 -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682816"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4"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14:paraId="54D20F17">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33664;mso-width-relative:page;mso-height-relative:page;" filled="f" stroked="f" coordsize="21600,21600" o:gfxdata="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62alNgAAAANAQAADwAAAAAAAAABACAAAAAiAAAAZHJzL2Rvd25yZXYu&#10;eG1sUEsBAhQAFAAAAAgAh07iQBHO1d/7AQAAAgQAAA4AAAAAAAAAAQAgAAAAJwEAAGRycy9lMm9E&#10;b2MueG1sUEsFBgAAAAAGAAYAWQEAAJQFAAAAAA==&#10;">
              <v:fill on="f" focussize="0,0"/>
              <v:stroke on="f"/>
              <v:imagedata o:title=""/>
              <o:lock v:ext="edit" aspectratio="f"/>
              <v:textbox inset="0mm,0mm,0mm,0mm">
                <w:txbxContent>
                  <w:p w14:paraId="54D20F17">
                    <w:pPr>
                      <w:spacing w:line="220" w:lineRule="exact"/>
                      <w:ind w:left="20"/>
                      <w:rPr>
                        <w:rFonts w:ascii="宋体"/>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26EBB">
    <w:pPr>
      <w:pStyle w:val="3"/>
      <w:pBdr>
        <w:bottom w:val="none" w:color="auto" w:sz="0" w:space="0"/>
      </w:pBdr>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5" name="Text Box 3"/>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wps:spPr>
                    <wps:txbx>
                      <w:txbxContent>
                        <w:p w14:paraId="21E2D042">
                          <w:pPr>
                            <w:spacing w:line="280" w:lineRule="exact"/>
                            <w:ind w:left="20"/>
                            <w:rPr>
                              <w:rFonts w:ascii="宋体"/>
                              <w:sz w:val="24"/>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251657216;mso-width-relative:page;mso-height-relative:page;" filled="f" stroked="f" coordsize="21600,21600" o:gfxdata="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nV8v2AAAAAoBAAAPAAAAAAAAAAEAIAAAACIAAABkcnMvZG93bnJldi54&#10;bWxQSwECFAAUAAAACACHTuJAQ9a/P/oBAAADBAAADgAAAAAAAAABACAAAAAnAQAAZHJzL2Uyb0Rv&#10;Yy54bWxQSwUGAAAAAAYABgBZAQAAkwUAAAAA&#10;">
              <v:fill on="f" focussize="0,0"/>
              <v:stroke on="f"/>
              <v:imagedata o:title=""/>
              <o:lock v:ext="edit" aspectratio="f"/>
              <v:textbox inset="0mm,0mm,0mm,0mm">
                <w:txbxContent>
                  <w:p w14:paraId="21E2D042">
                    <w:pPr>
                      <w:spacing w:line="280" w:lineRule="exact"/>
                      <w:ind w:left="20"/>
                      <w:rPr>
                        <w:rFonts w:ascii="宋体"/>
                        <w:sz w:val="24"/>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005C4">
    <w:pPr>
      <w:pStyle w:val="3"/>
      <w:pBdr>
        <w:bottom w:val="none" w:color="auto" w:sz="0" w:space="0"/>
      </w:pBdr>
      <w:spacing w:line="14" w:lineRule="auto"/>
      <w:rPr>
        <w:sz w:val="20"/>
      </w:rPr>
    </w:pPr>
    <w:r>
      <w:rPr>
        <w:sz w:val="30"/>
      </w:rPr>
      <mc:AlternateContent>
        <mc:Choice Requires="wps">
          <w:drawing>
            <wp:anchor distT="0" distB="0" distL="114300" distR="114300" simplePos="0" relativeHeight="251680768" behindDoc="0" locked="0" layoutInCell="1" allowOverlap="1">
              <wp:simplePos x="0" y="0"/>
              <wp:positionH relativeFrom="margin">
                <wp:posOffset>-276225</wp:posOffset>
              </wp:positionH>
              <wp:positionV relativeFrom="paragraph">
                <wp:posOffset>1190625</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F5800">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5pt;margin-top:93.75pt;height:144pt;width:144pt;mso-position-horizontal-relative:margin;mso-wrap-style:none;rotation:5898240f;z-index:251680768;mso-width-relative:page;mso-height-relative:page;" filled="f" stroked="f" coordsize="21600,21600" o:gfxdata="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bD3U9cAAAALAQAADwAAAAAAAAABACAAAAAiAAAAZHJzL2Rv&#10;d25yZXYueG1sUEsBAhQAFAAAAAgAh07iQKg27yo7AgAAcwQAAA4AAAAAAAAAAQAgAAAAJgEAAGRy&#10;cy9lMm9Eb2MueG1sUEsFBgAAAAAGAAYAWQEAANMFAAAAAA==&#10;">
              <v:fill on="f" focussize="0,0"/>
              <v:stroke on="f" weight="0.5pt"/>
              <v:imagedata o:title=""/>
              <o:lock v:ext="edit" aspectratio="f"/>
              <v:textbox inset="0mm,0mm,0mm,0mm" style="mso-fit-shape-to-text:t;">
                <w:txbxContent>
                  <w:p w14:paraId="087F5800">
                    <w:pPr>
                      <w:rPr>
                        <w:rFonts w:hint="eastAsia"/>
                      </w:rPr>
                    </w:pPr>
                  </w:p>
                </w:txbxContent>
              </v:textbox>
            </v:shape>
          </w:pict>
        </mc:Fallback>
      </mc:AlternateContent>
    </w:r>
    <w:r>
      <w:rPr>
        <w:lang w:val="en-US" w:bidi="ar-SA"/>
      </w:rPr>
      <mc:AlternateContent>
        <mc:Choice Requires="wps">
          <w:drawing>
            <wp:anchor distT="0" distB="0" distL="114300" distR="114300" simplePos="0" relativeHeight="251674624"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65" name="Text Box 3"/>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wps:spPr>
                    <wps:txbx>
                      <w:txbxContent>
                        <w:p w14:paraId="297BCBCD">
                          <w:pPr>
                            <w:spacing w:line="280" w:lineRule="exact"/>
                            <w:ind w:left="20"/>
                            <w:rPr>
                              <w:rFonts w:ascii="宋体"/>
                              <w:sz w:val="24"/>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251641856;mso-width-relative:page;mso-height-relative:page;" filled="f" stroked="f" coordsize="21600,21600" o:gfxdata="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J1fL9gAAAAKAQAADwAAAAAAAAABACAAAAAiAAAAZHJzL2Rvd25yZXYu&#10;eG1sUEsBAhQAFAAAAAgAh07iQIpYCVX7AQAABAQAAA4AAAAAAAAAAQAgAAAAJwEAAGRycy9lMm9E&#10;b2MueG1sUEsFBgAAAAAGAAYAWQEAAJQFAAAAAA==&#10;">
              <v:fill on="f" focussize="0,0"/>
              <v:stroke on="f"/>
              <v:imagedata o:title=""/>
              <o:lock v:ext="edit" aspectratio="f"/>
              <v:textbox inset="0mm,0mm,0mm,0mm">
                <w:txbxContent>
                  <w:p w14:paraId="297BCBCD">
                    <w:pPr>
                      <w:spacing w:line="280" w:lineRule="exact"/>
                      <w:ind w:left="20"/>
                      <w:rPr>
                        <w:rFonts w:ascii="宋体"/>
                        <w:sz w:val="24"/>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BC398">
    <w:pPr>
      <w:pStyle w:val="3"/>
      <w:pBdr>
        <w:bottom w:val="none" w:color="auto" w:sz="0" w:space="0"/>
      </w:pBdr>
      <w:spacing w:line="14" w:lineRule="auto"/>
      <w:rPr>
        <w:sz w:val="20"/>
      </w:rPr>
    </w:pPr>
    <w:r>
      <w:rPr>
        <w:lang w:val="en-US" w:bidi="ar-SA"/>
      </w:rPr>
      <mc:AlternateContent>
        <mc:Choice Requires="wps">
          <w:drawing>
            <wp:anchor distT="0" distB="0" distL="114300" distR="114300" simplePos="0" relativeHeight="251675648"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67" name="Text Box 3"/>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wps:spPr>
                    <wps:txbx>
                      <w:txbxContent>
                        <w:p w14:paraId="51839499">
                          <w:pPr>
                            <w:spacing w:line="280" w:lineRule="exact"/>
                            <w:rPr>
                              <w:rFonts w:ascii="宋体"/>
                              <w:sz w:val="24"/>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251640832;mso-width-relative:page;mso-height-relative:page;" filled="f" stroked="f" coordsize="21600,21600" o:gfxdata="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J1fL9gAAAAKAQAADwAAAAAAAAABACAAAAAiAAAAZHJzL2Rvd25yZXYu&#10;eG1sUEsBAhQAFAAAAAgAh07iQLMfOTb7AQAABAQAAA4AAAAAAAAAAQAgAAAAJwEAAGRycy9lMm9E&#10;b2MueG1sUEsFBgAAAAAGAAYAWQEAAJQFAAAAAA==&#10;">
              <v:fill on="f" focussize="0,0"/>
              <v:stroke on="f"/>
              <v:imagedata o:title=""/>
              <o:lock v:ext="edit" aspectratio="f"/>
              <v:textbox inset="0mm,0mm,0mm,0mm">
                <w:txbxContent>
                  <w:p w14:paraId="51839499">
                    <w:pPr>
                      <w:spacing w:line="280" w:lineRule="exact"/>
                      <w:rPr>
                        <w:rFonts w:ascii="宋体"/>
                        <w:sz w:val="24"/>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BF4D5">
    <w:pPr>
      <w:pStyle w:val="3"/>
      <w:pBdr>
        <w:bottom w:val="none" w:color="auto" w:sz="0" w:space="0"/>
      </w:pBdr>
      <w:spacing w:line="14" w:lineRule="auto"/>
      <w:rPr>
        <w:sz w:val="20"/>
      </w:rPr>
    </w:pPr>
    <w:r>
      <w:rPr>
        <w:sz w:val="30"/>
      </w:rPr>
      <mc:AlternateContent>
        <mc:Choice Requires="wps">
          <w:drawing>
            <wp:anchor distT="0" distB="0" distL="114300" distR="114300" simplePos="0" relativeHeight="251681792" behindDoc="0" locked="0" layoutInCell="1" allowOverlap="1">
              <wp:simplePos x="0" y="0"/>
              <wp:positionH relativeFrom="margin">
                <wp:posOffset>-257175</wp:posOffset>
              </wp:positionH>
              <wp:positionV relativeFrom="paragraph">
                <wp:posOffset>1162050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B75B6">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5pt;margin-top:91.5pt;height:144pt;width:144pt;mso-position-horizontal-relative:margin;mso-wrap-style:none;rotation:5898240f;z-index:251681792;mso-width-relative:page;mso-height-relative:page;" filled="f" stroked="f" coordsize="21600,21600" o:gfxdata="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hwAiNgAAAALAQAADwAAAAAAAAABACAAAAAiAAAAZHJzL2Rv&#10;d25yZXYueG1sUEsBAhQAFAAAAAgAh07iQD7BQII6AgAAcwQAAA4AAAAAAAAAAQAgAAAAJwEAAGRy&#10;cy9lMm9Eb2MueG1sUEsFBgAAAAAGAAYAWQEAANMFAAAAAA==&#10;">
              <v:fill on="f" focussize="0,0"/>
              <v:stroke on="f" weight="0.5pt"/>
              <v:imagedata o:title=""/>
              <o:lock v:ext="edit" aspectratio="f"/>
              <v:textbox inset="0mm,0mm,0mm,0mm" style="mso-fit-shape-to-text:t;">
                <w:txbxContent>
                  <w:p w14:paraId="31AB75B6">
                    <w:pPr>
                      <w:rPr>
                        <w:rFonts w:hint="eastAsia"/>
                      </w:rPr>
                    </w:pPr>
                  </w:p>
                </w:txbxContent>
              </v:textbox>
            </v:shape>
          </w:pict>
        </mc:Fallback>
      </mc:AlternateContent>
    </w:r>
    <w:r>
      <w:rPr>
        <w:lang w:val="en-US" w:bidi="ar-SA"/>
      </w:rPr>
      <mc:AlternateContent>
        <mc:Choice Requires="wps">
          <w:drawing>
            <wp:anchor distT="0" distB="0" distL="114300" distR="114300" simplePos="0" relativeHeight="251676672"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69" name="Text Box 3"/>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wps:spPr>
                    <wps:txbx>
                      <w:txbxContent>
                        <w:p w14:paraId="20A00839">
                          <w:pPr>
                            <w:spacing w:line="280" w:lineRule="exact"/>
                            <w:ind w:left="20"/>
                            <w:rPr>
                              <w:rFonts w:ascii="宋体"/>
                              <w:sz w:val="24"/>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251639808;mso-width-relative:page;mso-height-relative:page;" filled="f" stroked="f" coordsize="21600,21600" o:gfxdata="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J1fL9gAAAAKAQAADwAAAAAAAAABACAAAAAiAAAAZHJzL2Rvd25yZXYu&#10;eG1sUEsBAhQAFAAAAAgAh07iQF3M2cT7AQAABAQAAA4AAAAAAAAAAQAgAAAAJwEAAGRycy9lMm9E&#10;b2MueG1sUEsFBgAAAAAGAAYAWQEAAJQFAAAAAA==&#10;">
              <v:fill on="f" focussize="0,0"/>
              <v:stroke on="f"/>
              <v:imagedata o:title=""/>
              <o:lock v:ext="edit" aspectratio="f"/>
              <v:textbox inset="0mm,0mm,0mm,0mm">
                <w:txbxContent>
                  <w:p w14:paraId="20A00839">
                    <w:pPr>
                      <w:spacing w:line="280" w:lineRule="exact"/>
                      <w:ind w:left="20"/>
                      <w:rPr>
                        <w:rFonts w:ascii="宋体"/>
                        <w:sz w:val="24"/>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C06FC">
    <w:pPr>
      <w:pStyle w:val="3"/>
      <w:pBdr>
        <w:bottom w:val="none" w:color="auto" w:sz="0" w:space="0"/>
      </w:pBdr>
      <w:spacing w:line="14" w:lineRule="auto"/>
      <w:rPr>
        <w:sz w:val="20"/>
      </w:rPr>
    </w:pPr>
    <w:r>
      <w:rPr>
        <w:lang w:val="en-US" w:bidi="ar-SA"/>
      </w:rPr>
      <mc:AlternateContent>
        <mc:Choice Requires="wps">
          <w:drawing>
            <wp:anchor distT="0" distB="0" distL="114300" distR="114300" simplePos="0" relativeHeight="251678720"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7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wps:spPr>
                    <wps:txbx>
                      <w:txbxContent>
                        <w:p w14:paraId="3C4E22A8">
                          <w:pPr>
                            <w:spacing w:line="280" w:lineRule="exact"/>
                            <w:ind w:left="20"/>
                            <w:rPr>
                              <w:rFonts w:ascii="宋体"/>
                              <w:sz w:val="24"/>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251637760;mso-width-relative:page;mso-height-relative:page;" filled="f" stroked="f" coordsize="21600,21600" o:gfxdata="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J1fL9gAAAAKAQAADwAAAAAAAAABACAAAAAiAAAAZHJzL2Rvd25yZXYu&#10;eG1sUEsBAhQAFAAAAAgAh07iQMZOUjL7AQAABAQAAA4AAAAAAAAAAQAgAAAAJwEAAGRycy9lMm9E&#10;b2MueG1sUEsFBgAAAAAGAAYAWQEAAJQFAAAAAA==&#10;">
              <v:fill on="f" focussize="0,0"/>
              <v:stroke on="f"/>
              <v:imagedata o:title=""/>
              <o:lock v:ext="edit" aspectratio="f"/>
              <v:textbox inset="0mm,0mm,0mm,0mm">
                <w:txbxContent>
                  <w:p w14:paraId="3C4E22A8">
                    <w:pPr>
                      <w:spacing w:line="280" w:lineRule="exact"/>
                      <w:ind w:left="20"/>
                      <w:rPr>
                        <w:rFonts w:ascii="宋体"/>
                        <w:sz w:val="24"/>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68AAE">
    <w:pPr>
      <w:pStyle w:val="3"/>
      <w:pBdr>
        <w:bottom w:val="none" w:color="auto" w:sz="0" w:space="0"/>
      </w:pBdr>
      <w:spacing w:line="14" w:lineRule="auto"/>
      <w:rPr>
        <w:sz w:val="20"/>
      </w:rPr>
    </w:pPr>
    <w:r>
      <w:rPr>
        <w:lang w:val="en-US" w:bidi="ar-SA"/>
      </w:rPr>
      <mc:AlternateContent>
        <mc:Choice Requires="wps">
          <w:drawing>
            <wp:anchor distT="0" distB="0" distL="114300" distR="114300" simplePos="0" relativeHeight="251679744"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75" name="Text Box 3"/>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wps:spPr>
                    <wps:txbx>
                      <w:txbxContent>
                        <w:p w14:paraId="691078AE">
                          <w:pPr>
                            <w:spacing w:line="280" w:lineRule="exact"/>
                            <w:ind w:left="20"/>
                            <w:rPr>
                              <w:rFonts w:ascii="宋体"/>
                              <w:sz w:val="24"/>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251636736;mso-width-relative:page;mso-height-relative:page;" filled="f" stroked="f" coordsize="21600,21600" o:gfxdata="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J1fL9gAAAAKAQAADwAAAAAAAAABACAAAAAiAAAAZHJzL2Rvd25yZXYu&#10;eG1sUEsBAhQAFAAAAAgAh07iQI2HApf7AQAABAQAAA4AAAAAAAAAAQAgAAAAJwEAAGRycy9lMm9E&#10;b2MueG1sUEsFBgAAAAAGAAYAWQEAAJQFAAAAAA==&#10;">
              <v:fill on="f" focussize="0,0"/>
              <v:stroke on="f"/>
              <v:imagedata o:title=""/>
              <o:lock v:ext="edit" aspectratio="f"/>
              <v:textbox inset="0mm,0mm,0mm,0mm">
                <w:txbxContent>
                  <w:p w14:paraId="691078AE">
                    <w:pPr>
                      <w:spacing w:line="280" w:lineRule="exact"/>
                      <w:ind w:left="20"/>
                      <w:rPr>
                        <w:rFonts w:ascii="宋体"/>
                        <w:sz w:val="24"/>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CE88">
    <w:pPr>
      <w:pStyle w:val="3"/>
      <w:pBdr>
        <w:bottom w:val="none" w:color="auto" w:sz="0" w:space="0"/>
      </w:pBdr>
      <w:spacing w:line="14" w:lineRule="auto"/>
      <w:rPr>
        <w:sz w:val="20"/>
      </w:rPr>
    </w:pPr>
    <w:r>
      <w:rPr>
        <w:sz w:val="30"/>
      </w:rPr>
      <mc:AlternateContent>
        <mc:Choice Requires="wps">
          <w:drawing>
            <wp:anchor distT="0" distB="0" distL="114300" distR="114300" simplePos="0" relativeHeight="251686912" behindDoc="0" locked="0" layoutInCell="1" allowOverlap="1">
              <wp:simplePos x="0" y="0"/>
              <wp:positionH relativeFrom="margin">
                <wp:posOffset>-271145</wp:posOffset>
              </wp:positionH>
              <wp:positionV relativeFrom="paragraph">
                <wp:posOffset>1172210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90852">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35pt;margin-top:92.3pt;height:144pt;width:144pt;mso-position-horizontal-relative:margin;mso-wrap-style:none;rotation:5898240f;z-index:251686912;mso-width-relative:page;mso-height-relative:page;" filled="f" stroked="f" coordsize="21600,21600" o:gfxdata="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9RD322AAAAAsBAAAPAAAAAAAAAAEAIAAAACIAAABkcnMvZG93&#10;bnJldi54bWxQSwECFAAUAAAACACHTuJAuU835TkCAABxBAAADgAAAAAAAAABACAAAAAnAQAAZHJz&#10;L2Uyb0RvYy54bWxQSwUGAAAAAAYABgBZAQAA0gUAAAAA&#10;">
              <v:fill on="f" focussize="0,0"/>
              <v:stroke on="f" weight="0.5pt"/>
              <v:imagedata o:title=""/>
              <o:lock v:ext="edit" aspectratio="f"/>
              <v:textbox inset="0mm,0mm,0mm,0mm" style="mso-fit-shape-to-text:t;">
                <w:txbxContent>
                  <w:p w14:paraId="5A690852">
                    <w:pPr>
                      <w:rPr>
                        <w:rFonts w:hint="eastAsia"/>
                      </w:rPr>
                    </w:pPr>
                  </w:p>
                </w:txbxContent>
              </v:textbox>
            </v:shape>
          </w:pict>
        </mc:Fallback>
      </mc:AlternateContent>
    </w:r>
    <w:r>
      <w:rPr>
        <w:lang w:val="en-US" w:bidi="ar-SA"/>
      </w:rPr>
      <mc:AlternateContent>
        <mc:Choice Requires="wps">
          <w:drawing>
            <wp:anchor distT="0" distB="0" distL="114300" distR="114300" simplePos="0" relativeHeight="251685888"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16" name="Text Box 3"/>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wps:spPr>
                    <wps:txbx>
                      <w:txbxContent>
                        <w:p w14:paraId="2D5AD0A9">
                          <w:pPr>
                            <w:spacing w:line="280" w:lineRule="exact"/>
                            <w:ind w:left="20"/>
                            <w:rPr>
                              <w:rFonts w:ascii="宋体"/>
                              <w:sz w:val="24"/>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251630592;mso-width-relative:page;mso-height-relative:page;" filled="f" stroked="f" coordsize="21600,21600" o:gfxdata="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nV8v2AAAAAoBAAAPAAAAAAAAAAEAIAAAACIAAABkcnMvZG93bnJldi54&#10;bWxQSwECFAAUAAAACACHTuJA2ai5yfoBAAAEBAAADgAAAAAAAAABACAAAAAnAQAAZHJzL2Uyb0Rv&#10;Yy54bWxQSwUGAAAAAAYABgBZAQAAkwUAAAAA&#10;">
              <v:fill on="f" focussize="0,0"/>
              <v:stroke on="f"/>
              <v:imagedata o:title=""/>
              <o:lock v:ext="edit" aspectratio="f"/>
              <v:textbox inset="0mm,0mm,0mm,0mm">
                <w:txbxContent>
                  <w:p w14:paraId="2D5AD0A9">
                    <w:pPr>
                      <w:spacing w:line="280" w:lineRule="exact"/>
                      <w:ind w:left="20"/>
                      <w:rPr>
                        <w:rFonts w:ascii="宋体"/>
                        <w:sz w:val="24"/>
                      </w:rPr>
                    </w:pP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47AF0">
    <w:pPr>
      <w:pStyle w:val="3"/>
      <w:pBdr>
        <w:bottom w:val="none" w:color="auto" w:sz="0" w:space="0"/>
      </w:pBdr>
      <w:spacing w:line="14" w:lineRule="auto"/>
      <w:rPr>
        <w:sz w:val="20"/>
      </w:rPr>
    </w:pPr>
    <w:r>
      <w:rPr>
        <w:lang w:val="en-US" w:bidi="ar-SA"/>
      </w:rPr>
      <mc:AlternateContent>
        <mc:Choice Requires="wps">
          <w:drawing>
            <wp:anchor distT="0" distB="0" distL="114300" distR="114300" simplePos="0" relativeHeight="251684864"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12" name="Text Box 3"/>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wps:spPr>
                    <wps:txbx>
                      <w:txbxContent>
                        <w:p w14:paraId="1881349E">
                          <w:pPr>
                            <w:spacing w:line="280" w:lineRule="exact"/>
                            <w:ind w:left="20"/>
                            <w:rPr>
                              <w:rFonts w:ascii="宋体"/>
                              <w:sz w:val="24"/>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251631616;mso-width-relative:page;mso-height-relative:page;" filled="f" stroked="f" coordsize="21600,21600" o:gfxdata="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nV8v2AAAAAoBAAAPAAAAAAAAAAEAIAAAACIAAABkcnMvZG93bnJldi54&#10;bWxQSwECFAAUAAAACACHTuJAqybZD/oBAAAEBAAADgAAAAAAAAABACAAAAAnAQAAZHJzL2Uyb0Rv&#10;Yy54bWxQSwUGAAAAAAYABgBZAQAAkwUAAAAA&#10;">
              <v:fill on="f" focussize="0,0"/>
              <v:stroke on="f"/>
              <v:imagedata o:title=""/>
              <o:lock v:ext="edit" aspectratio="f"/>
              <v:textbox inset="0mm,0mm,0mm,0mm">
                <w:txbxContent>
                  <w:p w14:paraId="1881349E">
                    <w:pPr>
                      <w:spacing w:line="280" w:lineRule="exact"/>
                      <w:ind w:left="20"/>
                      <w:rPr>
                        <w:rFonts w:ascii="宋体"/>
                        <w:sz w:val="2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A3B0D"/>
    <w:multiLevelType w:val="singleLevel"/>
    <w:tmpl w:val="B44A3B0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03"/>
    <w:rsid w:val="0001016D"/>
    <w:rsid w:val="000136CE"/>
    <w:rsid w:val="00017C36"/>
    <w:rsid w:val="000227B7"/>
    <w:rsid w:val="000301B3"/>
    <w:rsid w:val="000337FE"/>
    <w:rsid w:val="00036CC4"/>
    <w:rsid w:val="0004568C"/>
    <w:rsid w:val="00047AB6"/>
    <w:rsid w:val="00053B6B"/>
    <w:rsid w:val="000657D7"/>
    <w:rsid w:val="00071DC9"/>
    <w:rsid w:val="00073A25"/>
    <w:rsid w:val="00084ED2"/>
    <w:rsid w:val="00090CFA"/>
    <w:rsid w:val="0009175F"/>
    <w:rsid w:val="000954C9"/>
    <w:rsid w:val="00095AF4"/>
    <w:rsid w:val="000B3682"/>
    <w:rsid w:val="000B74FE"/>
    <w:rsid w:val="000C3C0B"/>
    <w:rsid w:val="000C423D"/>
    <w:rsid w:val="000C459E"/>
    <w:rsid w:val="000C786B"/>
    <w:rsid w:val="000D346A"/>
    <w:rsid w:val="000D6338"/>
    <w:rsid w:val="000E0B5A"/>
    <w:rsid w:val="000E3174"/>
    <w:rsid w:val="000F49A1"/>
    <w:rsid w:val="000F76B1"/>
    <w:rsid w:val="00105165"/>
    <w:rsid w:val="00106CCB"/>
    <w:rsid w:val="00123CDA"/>
    <w:rsid w:val="001301B0"/>
    <w:rsid w:val="0013441C"/>
    <w:rsid w:val="00134CD8"/>
    <w:rsid w:val="00136DD0"/>
    <w:rsid w:val="00140F54"/>
    <w:rsid w:val="00141447"/>
    <w:rsid w:val="00141D85"/>
    <w:rsid w:val="00142E13"/>
    <w:rsid w:val="00143823"/>
    <w:rsid w:val="00146264"/>
    <w:rsid w:val="0015226A"/>
    <w:rsid w:val="00152900"/>
    <w:rsid w:val="00162850"/>
    <w:rsid w:val="00172B22"/>
    <w:rsid w:val="001742D3"/>
    <w:rsid w:val="00175A8A"/>
    <w:rsid w:val="00183237"/>
    <w:rsid w:val="001856C5"/>
    <w:rsid w:val="00187459"/>
    <w:rsid w:val="00191772"/>
    <w:rsid w:val="0019372E"/>
    <w:rsid w:val="001A0E89"/>
    <w:rsid w:val="001A6BAE"/>
    <w:rsid w:val="001B4979"/>
    <w:rsid w:val="001B767F"/>
    <w:rsid w:val="001C5C45"/>
    <w:rsid w:val="001D328D"/>
    <w:rsid w:val="001D5AD2"/>
    <w:rsid w:val="001E2055"/>
    <w:rsid w:val="001F10BA"/>
    <w:rsid w:val="0020028B"/>
    <w:rsid w:val="00200DCE"/>
    <w:rsid w:val="00203DB7"/>
    <w:rsid w:val="00212293"/>
    <w:rsid w:val="002227C7"/>
    <w:rsid w:val="00225371"/>
    <w:rsid w:val="00230D99"/>
    <w:rsid w:val="00236FAA"/>
    <w:rsid w:val="002372ED"/>
    <w:rsid w:val="00240B11"/>
    <w:rsid w:val="00244D53"/>
    <w:rsid w:val="0024519C"/>
    <w:rsid w:val="00250B4C"/>
    <w:rsid w:val="002517E7"/>
    <w:rsid w:val="00267407"/>
    <w:rsid w:val="00280BC6"/>
    <w:rsid w:val="002822F8"/>
    <w:rsid w:val="00282CA1"/>
    <w:rsid w:val="00287E50"/>
    <w:rsid w:val="00293249"/>
    <w:rsid w:val="00295C74"/>
    <w:rsid w:val="00296453"/>
    <w:rsid w:val="002A0256"/>
    <w:rsid w:val="002A0AFD"/>
    <w:rsid w:val="002A3CD2"/>
    <w:rsid w:val="002A5A26"/>
    <w:rsid w:val="002A6F7F"/>
    <w:rsid w:val="002B0B03"/>
    <w:rsid w:val="002B7AD3"/>
    <w:rsid w:val="002B7D65"/>
    <w:rsid w:val="002C02DD"/>
    <w:rsid w:val="002C4387"/>
    <w:rsid w:val="002C7174"/>
    <w:rsid w:val="002D2514"/>
    <w:rsid w:val="002D6672"/>
    <w:rsid w:val="002E3F72"/>
    <w:rsid w:val="002E5E28"/>
    <w:rsid w:val="002F2BA9"/>
    <w:rsid w:val="003015FA"/>
    <w:rsid w:val="0031289F"/>
    <w:rsid w:val="003158EC"/>
    <w:rsid w:val="003177C6"/>
    <w:rsid w:val="00324E48"/>
    <w:rsid w:val="00325000"/>
    <w:rsid w:val="00325573"/>
    <w:rsid w:val="00325C37"/>
    <w:rsid w:val="003261F1"/>
    <w:rsid w:val="00327AB9"/>
    <w:rsid w:val="003336D8"/>
    <w:rsid w:val="00335968"/>
    <w:rsid w:val="00335EE0"/>
    <w:rsid w:val="0033719D"/>
    <w:rsid w:val="00345258"/>
    <w:rsid w:val="0034789D"/>
    <w:rsid w:val="00350D66"/>
    <w:rsid w:val="00354C70"/>
    <w:rsid w:val="003646C4"/>
    <w:rsid w:val="003665A0"/>
    <w:rsid w:val="003761B7"/>
    <w:rsid w:val="00376F04"/>
    <w:rsid w:val="00382A9F"/>
    <w:rsid w:val="003852F3"/>
    <w:rsid w:val="003911A1"/>
    <w:rsid w:val="00393AEB"/>
    <w:rsid w:val="003947D8"/>
    <w:rsid w:val="0039790B"/>
    <w:rsid w:val="003A2FB2"/>
    <w:rsid w:val="003A3520"/>
    <w:rsid w:val="003B2077"/>
    <w:rsid w:val="003C140E"/>
    <w:rsid w:val="003C6A40"/>
    <w:rsid w:val="003D4A77"/>
    <w:rsid w:val="003E193C"/>
    <w:rsid w:val="003E37AA"/>
    <w:rsid w:val="003E3805"/>
    <w:rsid w:val="003E7EFD"/>
    <w:rsid w:val="003F20D4"/>
    <w:rsid w:val="003F59D0"/>
    <w:rsid w:val="00403347"/>
    <w:rsid w:val="0041136C"/>
    <w:rsid w:val="00415536"/>
    <w:rsid w:val="00416E3C"/>
    <w:rsid w:val="00427BFB"/>
    <w:rsid w:val="00427C61"/>
    <w:rsid w:val="004302E0"/>
    <w:rsid w:val="0043495C"/>
    <w:rsid w:val="004370D6"/>
    <w:rsid w:val="00443A43"/>
    <w:rsid w:val="0045299B"/>
    <w:rsid w:val="004551C3"/>
    <w:rsid w:val="004562E8"/>
    <w:rsid w:val="004570AA"/>
    <w:rsid w:val="00462CE5"/>
    <w:rsid w:val="004719CD"/>
    <w:rsid w:val="00481D9F"/>
    <w:rsid w:val="0048215C"/>
    <w:rsid w:val="00485600"/>
    <w:rsid w:val="004860AA"/>
    <w:rsid w:val="00487987"/>
    <w:rsid w:val="004912C0"/>
    <w:rsid w:val="004920DF"/>
    <w:rsid w:val="00493296"/>
    <w:rsid w:val="0049381F"/>
    <w:rsid w:val="004A33BD"/>
    <w:rsid w:val="004A3C1A"/>
    <w:rsid w:val="004A3F11"/>
    <w:rsid w:val="004A48DB"/>
    <w:rsid w:val="004A64BA"/>
    <w:rsid w:val="004B1EC1"/>
    <w:rsid w:val="004B1ED7"/>
    <w:rsid w:val="004B2BB3"/>
    <w:rsid w:val="004B4273"/>
    <w:rsid w:val="004C07C1"/>
    <w:rsid w:val="004C0F9A"/>
    <w:rsid w:val="004C2D03"/>
    <w:rsid w:val="004D04BB"/>
    <w:rsid w:val="004D06D0"/>
    <w:rsid w:val="004D3244"/>
    <w:rsid w:val="004D3EA5"/>
    <w:rsid w:val="004E21DF"/>
    <w:rsid w:val="004E3440"/>
    <w:rsid w:val="004E41AF"/>
    <w:rsid w:val="004F2B41"/>
    <w:rsid w:val="004F3E85"/>
    <w:rsid w:val="004F49C8"/>
    <w:rsid w:val="004F7DA8"/>
    <w:rsid w:val="00503E5B"/>
    <w:rsid w:val="005057C7"/>
    <w:rsid w:val="00506D3D"/>
    <w:rsid w:val="005079A5"/>
    <w:rsid w:val="00510A6C"/>
    <w:rsid w:val="00511218"/>
    <w:rsid w:val="0051708E"/>
    <w:rsid w:val="005207B0"/>
    <w:rsid w:val="00521244"/>
    <w:rsid w:val="00526EF3"/>
    <w:rsid w:val="00527153"/>
    <w:rsid w:val="00531134"/>
    <w:rsid w:val="00535B07"/>
    <w:rsid w:val="00542DE0"/>
    <w:rsid w:val="00543A10"/>
    <w:rsid w:val="005445CA"/>
    <w:rsid w:val="005706D5"/>
    <w:rsid w:val="0057226C"/>
    <w:rsid w:val="005733BF"/>
    <w:rsid w:val="0058286F"/>
    <w:rsid w:val="00583BB5"/>
    <w:rsid w:val="00585E1E"/>
    <w:rsid w:val="00595B3A"/>
    <w:rsid w:val="005A0126"/>
    <w:rsid w:val="005A0D6C"/>
    <w:rsid w:val="005A5BB0"/>
    <w:rsid w:val="005B240A"/>
    <w:rsid w:val="005B556A"/>
    <w:rsid w:val="005B5B13"/>
    <w:rsid w:val="005C1D97"/>
    <w:rsid w:val="005C4A24"/>
    <w:rsid w:val="005C6A0D"/>
    <w:rsid w:val="005D17CD"/>
    <w:rsid w:val="005D69B7"/>
    <w:rsid w:val="005E164E"/>
    <w:rsid w:val="005E32EB"/>
    <w:rsid w:val="00602726"/>
    <w:rsid w:val="0060310C"/>
    <w:rsid w:val="00613C60"/>
    <w:rsid w:val="006165E3"/>
    <w:rsid w:val="00617198"/>
    <w:rsid w:val="00622F9D"/>
    <w:rsid w:val="0062728A"/>
    <w:rsid w:val="00632D0E"/>
    <w:rsid w:val="00634F8F"/>
    <w:rsid w:val="0063665E"/>
    <w:rsid w:val="00641005"/>
    <w:rsid w:val="00645AF3"/>
    <w:rsid w:val="006473FE"/>
    <w:rsid w:val="006539FE"/>
    <w:rsid w:val="00654632"/>
    <w:rsid w:val="00654BBE"/>
    <w:rsid w:val="00656AC1"/>
    <w:rsid w:val="0066167C"/>
    <w:rsid w:val="00663875"/>
    <w:rsid w:val="00664299"/>
    <w:rsid w:val="006665E7"/>
    <w:rsid w:val="0066674C"/>
    <w:rsid w:val="00671835"/>
    <w:rsid w:val="00674E59"/>
    <w:rsid w:val="006822EB"/>
    <w:rsid w:val="00684AD5"/>
    <w:rsid w:val="006B6F94"/>
    <w:rsid w:val="006C04C4"/>
    <w:rsid w:val="006C0ED4"/>
    <w:rsid w:val="006C3095"/>
    <w:rsid w:val="006C576D"/>
    <w:rsid w:val="006C6395"/>
    <w:rsid w:val="006E65D9"/>
    <w:rsid w:val="006F0191"/>
    <w:rsid w:val="006F3CCD"/>
    <w:rsid w:val="006F474C"/>
    <w:rsid w:val="0070568E"/>
    <w:rsid w:val="00710F95"/>
    <w:rsid w:val="0071170B"/>
    <w:rsid w:val="00711E38"/>
    <w:rsid w:val="00714726"/>
    <w:rsid w:val="00717AFC"/>
    <w:rsid w:val="00722A0E"/>
    <w:rsid w:val="00737679"/>
    <w:rsid w:val="0074211F"/>
    <w:rsid w:val="007457DC"/>
    <w:rsid w:val="00747B5C"/>
    <w:rsid w:val="007535AB"/>
    <w:rsid w:val="007543C3"/>
    <w:rsid w:val="00763790"/>
    <w:rsid w:val="007708B9"/>
    <w:rsid w:val="00772492"/>
    <w:rsid w:val="007724FE"/>
    <w:rsid w:val="00785EFA"/>
    <w:rsid w:val="00787CC4"/>
    <w:rsid w:val="00792504"/>
    <w:rsid w:val="00795CB8"/>
    <w:rsid w:val="007974EF"/>
    <w:rsid w:val="007A136C"/>
    <w:rsid w:val="007A2493"/>
    <w:rsid w:val="007A2B46"/>
    <w:rsid w:val="007A3767"/>
    <w:rsid w:val="007B1159"/>
    <w:rsid w:val="007B32FE"/>
    <w:rsid w:val="007B63E4"/>
    <w:rsid w:val="007E05FA"/>
    <w:rsid w:val="007E16A8"/>
    <w:rsid w:val="007E5173"/>
    <w:rsid w:val="007E5F67"/>
    <w:rsid w:val="007E6161"/>
    <w:rsid w:val="007E7443"/>
    <w:rsid w:val="007F2869"/>
    <w:rsid w:val="007F3FF6"/>
    <w:rsid w:val="007F78B8"/>
    <w:rsid w:val="00801024"/>
    <w:rsid w:val="00804822"/>
    <w:rsid w:val="00813E93"/>
    <w:rsid w:val="00815E7F"/>
    <w:rsid w:val="0081764E"/>
    <w:rsid w:val="00824127"/>
    <w:rsid w:val="00824343"/>
    <w:rsid w:val="00825EDF"/>
    <w:rsid w:val="00826C2A"/>
    <w:rsid w:val="00826D80"/>
    <w:rsid w:val="00832069"/>
    <w:rsid w:val="00834514"/>
    <w:rsid w:val="00842E86"/>
    <w:rsid w:val="0084317C"/>
    <w:rsid w:val="00852A0A"/>
    <w:rsid w:val="00852CB3"/>
    <w:rsid w:val="008530FA"/>
    <w:rsid w:val="008570CD"/>
    <w:rsid w:val="0085746A"/>
    <w:rsid w:val="00864491"/>
    <w:rsid w:val="00870706"/>
    <w:rsid w:val="0087486F"/>
    <w:rsid w:val="00876A60"/>
    <w:rsid w:val="0088193E"/>
    <w:rsid w:val="008846B9"/>
    <w:rsid w:val="0088746B"/>
    <w:rsid w:val="008940B7"/>
    <w:rsid w:val="008A27EE"/>
    <w:rsid w:val="008B2A55"/>
    <w:rsid w:val="008B31CB"/>
    <w:rsid w:val="008B7A3A"/>
    <w:rsid w:val="008C23B1"/>
    <w:rsid w:val="008C476B"/>
    <w:rsid w:val="008C5828"/>
    <w:rsid w:val="008D15BA"/>
    <w:rsid w:val="008D5B7A"/>
    <w:rsid w:val="008D6545"/>
    <w:rsid w:val="008E07A8"/>
    <w:rsid w:val="008E41F2"/>
    <w:rsid w:val="008E533A"/>
    <w:rsid w:val="008F7D8A"/>
    <w:rsid w:val="00900D60"/>
    <w:rsid w:val="0090550B"/>
    <w:rsid w:val="009217A2"/>
    <w:rsid w:val="00921A77"/>
    <w:rsid w:val="00922D91"/>
    <w:rsid w:val="00926512"/>
    <w:rsid w:val="009274A4"/>
    <w:rsid w:val="009301AC"/>
    <w:rsid w:val="009306BF"/>
    <w:rsid w:val="00931EC6"/>
    <w:rsid w:val="009329A4"/>
    <w:rsid w:val="00942F6F"/>
    <w:rsid w:val="0095135B"/>
    <w:rsid w:val="00955623"/>
    <w:rsid w:val="00960BE2"/>
    <w:rsid w:val="0096174C"/>
    <w:rsid w:val="00963C99"/>
    <w:rsid w:val="00966303"/>
    <w:rsid w:val="0098090F"/>
    <w:rsid w:val="00980950"/>
    <w:rsid w:val="0099688A"/>
    <w:rsid w:val="009A080C"/>
    <w:rsid w:val="009B2972"/>
    <w:rsid w:val="009B5163"/>
    <w:rsid w:val="009B7276"/>
    <w:rsid w:val="009D4281"/>
    <w:rsid w:val="009D4799"/>
    <w:rsid w:val="009D63A9"/>
    <w:rsid w:val="00A02083"/>
    <w:rsid w:val="00A037CB"/>
    <w:rsid w:val="00A04EF0"/>
    <w:rsid w:val="00A05B9A"/>
    <w:rsid w:val="00A1294F"/>
    <w:rsid w:val="00A12CBB"/>
    <w:rsid w:val="00A2058A"/>
    <w:rsid w:val="00A21150"/>
    <w:rsid w:val="00A2479B"/>
    <w:rsid w:val="00A33EC0"/>
    <w:rsid w:val="00A365FD"/>
    <w:rsid w:val="00A40440"/>
    <w:rsid w:val="00A42592"/>
    <w:rsid w:val="00A464C6"/>
    <w:rsid w:val="00A46D7F"/>
    <w:rsid w:val="00A5226D"/>
    <w:rsid w:val="00A53B49"/>
    <w:rsid w:val="00A54FB3"/>
    <w:rsid w:val="00A55C7C"/>
    <w:rsid w:val="00A578D9"/>
    <w:rsid w:val="00A606A6"/>
    <w:rsid w:val="00A636CD"/>
    <w:rsid w:val="00A72A66"/>
    <w:rsid w:val="00A8167C"/>
    <w:rsid w:val="00A850B5"/>
    <w:rsid w:val="00A85DE1"/>
    <w:rsid w:val="00A9730E"/>
    <w:rsid w:val="00AB1140"/>
    <w:rsid w:val="00AB20C0"/>
    <w:rsid w:val="00AB67C1"/>
    <w:rsid w:val="00AB6A45"/>
    <w:rsid w:val="00AC399C"/>
    <w:rsid w:val="00AC465B"/>
    <w:rsid w:val="00AD34E6"/>
    <w:rsid w:val="00AD3F06"/>
    <w:rsid w:val="00AF616C"/>
    <w:rsid w:val="00B0551F"/>
    <w:rsid w:val="00B05717"/>
    <w:rsid w:val="00B0784D"/>
    <w:rsid w:val="00B117FD"/>
    <w:rsid w:val="00B13830"/>
    <w:rsid w:val="00B163F8"/>
    <w:rsid w:val="00B2282A"/>
    <w:rsid w:val="00B30344"/>
    <w:rsid w:val="00B34B58"/>
    <w:rsid w:val="00B4077F"/>
    <w:rsid w:val="00B46D24"/>
    <w:rsid w:val="00B47BF7"/>
    <w:rsid w:val="00B53DB9"/>
    <w:rsid w:val="00B849F8"/>
    <w:rsid w:val="00B87248"/>
    <w:rsid w:val="00B904CF"/>
    <w:rsid w:val="00B97320"/>
    <w:rsid w:val="00BA50EA"/>
    <w:rsid w:val="00BB046B"/>
    <w:rsid w:val="00BB0B71"/>
    <w:rsid w:val="00BB41D3"/>
    <w:rsid w:val="00BB4558"/>
    <w:rsid w:val="00BC1BE6"/>
    <w:rsid w:val="00BD2A73"/>
    <w:rsid w:val="00BD5E9D"/>
    <w:rsid w:val="00BD754B"/>
    <w:rsid w:val="00BE1DDE"/>
    <w:rsid w:val="00BE7A4A"/>
    <w:rsid w:val="00BF1025"/>
    <w:rsid w:val="00BF2980"/>
    <w:rsid w:val="00BF7A57"/>
    <w:rsid w:val="00C04A63"/>
    <w:rsid w:val="00C15A3D"/>
    <w:rsid w:val="00C21201"/>
    <w:rsid w:val="00C26892"/>
    <w:rsid w:val="00C41E87"/>
    <w:rsid w:val="00C42BE9"/>
    <w:rsid w:val="00C43005"/>
    <w:rsid w:val="00C54F39"/>
    <w:rsid w:val="00C617BF"/>
    <w:rsid w:val="00C632CE"/>
    <w:rsid w:val="00C643E7"/>
    <w:rsid w:val="00C659B9"/>
    <w:rsid w:val="00C660B6"/>
    <w:rsid w:val="00C671A8"/>
    <w:rsid w:val="00C70B52"/>
    <w:rsid w:val="00C717DA"/>
    <w:rsid w:val="00C80B6C"/>
    <w:rsid w:val="00C8289F"/>
    <w:rsid w:val="00C92F89"/>
    <w:rsid w:val="00C95A41"/>
    <w:rsid w:val="00CC3B36"/>
    <w:rsid w:val="00CD6C06"/>
    <w:rsid w:val="00CE40FB"/>
    <w:rsid w:val="00CE6FF6"/>
    <w:rsid w:val="00CF76E7"/>
    <w:rsid w:val="00D06739"/>
    <w:rsid w:val="00D07E44"/>
    <w:rsid w:val="00D15EC7"/>
    <w:rsid w:val="00D22DBE"/>
    <w:rsid w:val="00D35057"/>
    <w:rsid w:val="00D4403B"/>
    <w:rsid w:val="00D47F11"/>
    <w:rsid w:val="00D52688"/>
    <w:rsid w:val="00D530F4"/>
    <w:rsid w:val="00D54AC1"/>
    <w:rsid w:val="00D55892"/>
    <w:rsid w:val="00D61E56"/>
    <w:rsid w:val="00D701E2"/>
    <w:rsid w:val="00D71267"/>
    <w:rsid w:val="00D72DC4"/>
    <w:rsid w:val="00D74095"/>
    <w:rsid w:val="00D77A8A"/>
    <w:rsid w:val="00DA1B02"/>
    <w:rsid w:val="00DB0A6F"/>
    <w:rsid w:val="00DB12D8"/>
    <w:rsid w:val="00DB1F37"/>
    <w:rsid w:val="00DB62E1"/>
    <w:rsid w:val="00DB710F"/>
    <w:rsid w:val="00DD1724"/>
    <w:rsid w:val="00DD5439"/>
    <w:rsid w:val="00DD5CE7"/>
    <w:rsid w:val="00DD67ED"/>
    <w:rsid w:val="00DE23BB"/>
    <w:rsid w:val="00DF547D"/>
    <w:rsid w:val="00DF6D25"/>
    <w:rsid w:val="00E131E5"/>
    <w:rsid w:val="00E14BC7"/>
    <w:rsid w:val="00E374BD"/>
    <w:rsid w:val="00E37B1C"/>
    <w:rsid w:val="00E50176"/>
    <w:rsid w:val="00E53623"/>
    <w:rsid w:val="00E554B0"/>
    <w:rsid w:val="00E63434"/>
    <w:rsid w:val="00E70B03"/>
    <w:rsid w:val="00E70DB7"/>
    <w:rsid w:val="00E822B2"/>
    <w:rsid w:val="00E90184"/>
    <w:rsid w:val="00E90A2A"/>
    <w:rsid w:val="00E92CA4"/>
    <w:rsid w:val="00E945DA"/>
    <w:rsid w:val="00EB21F8"/>
    <w:rsid w:val="00ED0F74"/>
    <w:rsid w:val="00ED199B"/>
    <w:rsid w:val="00ED4130"/>
    <w:rsid w:val="00ED52C0"/>
    <w:rsid w:val="00ED7E0D"/>
    <w:rsid w:val="00EE62C3"/>
    <w:rsid w:val="00EE7EE4"/>
    <w:rsid w:val="00EF1AD5"/>
    <w:rsid w:val="00F02177"/>
    <w:rsid w:val="00F02A42"/>
    <w:rsid w:val="00F057A9"/>
    <w:rsid w:val="00F07073"/>
    <w:rsid w:val="00F07561"/>
    <w:rsid w:val="00F14B77"/>
    <w:rsid w:val="00F23F1A"/>
    <w:rsid w:val="00F24230"/>
    <w:rsid w:val="00F26BF4"/>
    <w:rsid w:val="00F35B4E"/>
    <w:rsid w:val="00F41026"/>
    <w:rsid w:val="00F417E4"/>
    <w:rsid w:val="00F43B36"/>
    <w:rsid w:val="00F43B49"/>
    <w:rsid w:val="00F50F5F"/>
    <w:rsid w:val="00F5221F"/>
    <w:rsid w:val="00F56694"/>
    <w:rsid w:val="00F74A1A"/>
    <w:rsid w:val="00F841BB"/>
    <w:rsid w:val="00F8476F"/>
    <w:rsid w:val="00F9349F"/>
    <w:rsid w:val="00F949C8"/>
    <w:rsid w:val="00F95A7F"/>
    <w:rsid w:val="00FA154E"/>
    <w:rsid w:val="00FA58C6"/>
    <w:rsid w:val="00FA7A3C"/>
    <w:rsid w:val="00FB0635"/>
    <w:rsid w:val="00FB1455"/>
    <w:rsid w:val="00FB219F"/>
    <w:rsid w:val="00FC51AD"/>
    <w:rsid w:val="00FD63C6"/>
    <w:rsid w:val="00FE028F"/>
    <w:rsid w:val="00FE108F"/>
    <w:rsid w:val="00FE232F"/>
    <w:rsid w:val="00FE3D36"/>
    <w:rsid w:val="00FE436C"/>
    <w:rsid w:val="00FE5094"/>
    <w:rsid w:val="00FE6FE4"/>
    <w:rsid w:val="00FF63A9"/>
    <w:rsid w:val="010803E9"/>
    <w:rsid w:val="017C5CB3"/>
    <w:rsid w:val="024F389A"/>
    <w:rsid w:val="029174EC"/>
    <w:rsid w:val="0320592D"/>
    <w:rsid w:val="03935E90"/>
    <w:rsid w:val="03981793"/>
    <w:rsid w:val="03B30FA1"/>
    <w:rsid w:val="03D667BC"/>
    <w:rsid w:val="04422716"/>
    <w:rsid w:val="044322A2"/>
    <w:rsid w:val="04A3481B"/>
    <w:rsid w:val="04AD325C"/>
    <w:rsid w:val="0520325A"/>
    <w:rsid w:val="055A31F2"/>
    <w:rsid w:val="056B74DD"/>
    <w:rsid w:val="05F71292"/>
    <w:rsid w:val="06345D36"/>
    <w:rsid w:val="06AA13C4"/>
    <w:rsid w:val="073C1247"/>
    <w:rsid w:val="079459AC"/>
    <w:rsid w:val="07BF0C19"/>
    <w:rsid w:val="07EF01C8"/>
    <w:rsid w:val="083328CA"/>
    <w:rsid w:val="08784D10"/>
    <w:rsid w:val="096E00B2"/>
    <w:rsid w:val="098C65EC"/>
    <w:rsid w:val="09B62DD1"/>
    <w:rsid w:val="0A317258"/>
    <w:rsid w:val="0A6E53AE"/>
    <w:rsid w:val="0A8209CB"/>
    <w:rsid w:val="0AE870B5"/>
    <w:rsid w:val="0B1F483D"/>
    <w:rsid w:val="0B325FCA"/>
    <w:rsid w:val="0BBA464E"/>
    <w:rsid w:val="0BD16C35"/>
    <w:rsid w:val="0BEE0F34"/>
    <w:rsid w:val="0C060F18"/>
    <w:rsid w:val="0C46242C"/>
    <w:rsid w:val="0CE0022C"/>
    <w:rsid w:val="0D3932F0"/>
    <w:rsid w:val="0DE77C25"/>
    <w:rsid w:val="0DFB26D0"/>
    <w:rsid w:val="0E3447CC"/>
    <w:rsid w:val="0F2B1681"/>
    <w:rsid w:val="0F8606F1"/>
    <w:rsid w:val="0FC12714"/>
    <w:rsid w:val="103C1395"/>
    <w:rsid w:val="104026C2"/>
    <w:rsid w:val="116756EE"/>
    <w:rsid w:val="116A3A54"/>
    <w:rsid w:val="119A5FF8"/>
    <w:rsid w:val="12216D47"/>
    <w:rsid w:val="12F70FE7"/>
    <w:rsid w:val="12FF6468"/>
    <w:rsid w:val="13463522"/>
    <w:rsid w:val="13C7D74E"/>
    <w:rsid w:val="13F24EB6"/>
    <w:rsid w:val="13FF687D"/>
    <w:rsid w:val="148B41F4"/>
    <w:rsid w:val="15A540F9"/>
    <w:rsid w:val="15DD32D6"/>
    <w:rsid w:val="163A0E67"/>
    <w:rsid w:val="165E4BF8"/>
    <w:rsid w:val="16CC36E0"/>
    <w:rsid w:val="16EA79A1"/>
    <w:rsid w:val="16ED0B4A"/>
    <w:rsid w:val="17042C7F"/>
    <w:rsid w:val="17046D7D"/>
    <w:rsid w:val="17FE0802"/>
    <w:rsid w:val="17FF3607"/>
    <w:rsid w:val="18B82E12"/>
    <w:rsid w:val="18F05DA3"/>
    <w:rsid w:val="18F54E70"/>
    <w:rsid w:val="197548A7"/>
    <w:rsid w:val="19B010D0"/>
    <w:rsid w:val="19D07A0E"/>
    <w:rsid w:val="1A1729BA"/>
    <w:rsid w:val="1A720531"/>
    <w:rsid w:val="1B376B0A"/>
    <w:rsid w:val="1B38F8F0"/>
    <w:rsid w:val="1B5C7965"/>
    <w:rsid w:val="1B9157ED"/>
    <w:rsid w:val="1B960013"/>
    <w:rsid w:val="1BAA0B35"/>
    <w:rsid w:val="1BC72047"/>
    <w:rsid w:val="1BEE9627"/>
    <w:rsid w:val="1BF752DD"/>
    <w:rsid w:val="1BF77F36"/>
    <w:rsid w:val="1BFB9704"/>
    <w:rsid w:val="1BFFAA59"/>
    <w:rsid w:val="1C1B552A"/>
    <w:rsid w:val="1CDB0E3C"/>
    <w:rsid w:val="1D0C26D4"/>
    <w:rsid w:val="1D461CA6"/>
    <w:rsid w:val="1D5F8230"/>
    <w:rsid w:val="1DBF2BE4"/>
    <w:rsid w:val="1DED8DB0"/>
    <w:rsid w:val="1DEF32A6"/>
    <w:rsid w:val="1E3D6BB1"/>
    <w:rsid w:val="1E6606DB"/>
    <w:rsid w:val="1E79F760"/>
    <w:rsid w:val="1EE6122B"/>
    <w:rsid w:val="1F36234A"/>
    <w:rsid w:val="1F447418"/>
    <w:rsid w:val="1F555207"/>
    <w:rsid w:val="1F767314"/>
    <w:rsid w:val="1F7B64FF"/>
    <w:rsid w:val="1F7BCDE2"/>
    <w:rsid w:val="1F9BDB3A"/>
    <w:rsid w:val="1FAC5558"/>
    <w:rsid w:val="1FB51CD4"/>
    <w:rsid w:val="1FBCA932"/>
    <w:rsid w:val="1FC71B8A"/>
    <w:rsid w:val="1FD85472"/>
    <w:rsid w:val="1FE4159C"/>
    <w:rsid w:val="1FEF7E62"/>
    <w:rsid w:val="1FF61E9A"/>
    <w:rsid w:val="1FFBE58F"/>
    <w:rsid w:val="1FFDD585"/>
    <w:rsid w:val="216F4351"/>
    <w:rsid w:val="22573E6B"/>
    <w:rsid w:val="22AB1930"/>
    <w:rsid w:val="232555D9"/>
    <w:rsid w:val="237DC11C"/>
    <w:rsid w:val="23FE81DE"/>
    <w:rsid w:val="242C51EE"/>
    <w:rsid w:val="24FFF17F"/>
    <w:rsid w:val="254F36B4"/>
    <w:rsid w:val="256F2A12"/>
    <w:rsid w:val="25DBF8B6"/>
    <w:rsid w:val="25ED2BA6"/>
    <w:rsid w:val="265640B8"/>
    <w:rsid w:val="27F0B62A"/>
    <w:rsid w:val="27FDD894"/>
    <w:rsid w:val="28347D70"/>
    <w:rsid w:val="287B3893"/>
    <w:rsid w:val="28911691"/>
    <w:rsid w:val="28A62BC4"/>
    <w:rsid w:val="28D161C8"/>
    <w:rsid w:val="28E610FF"/>
    <w:rsid w:val="28E74DB8"/>
    <w:rsid w:val="29307B9D"/>
    <w:rsid w:val="2A8D200D"/>
    <w:rsid w:val="2A913BD2"/>
    <w:rsid w:val="2B3F3BB0"/>
    <w:rsid w:val="2B4E1D5D"/>
    <w:rsid w:val="2B7B0643"/>
    <w:rsid w:val="2BFB66F8"/>
    <w:rsid w:val="2BFFFA88"/>
    <w:rsid w:val="2C347E42"/>
    <w:rsid w:val="2CA213B2"/>
    <w:rsid w:val="2CAC42F5"/>
    <w:rsid w:val="2CF1061C"/>
    <w:rsid w:val="2D255918"/>
    <w:rsid w:val="2D4128B1"/>
    <w:rsid w:val="2D55AE24"/>
    <w:rsid w:val="2D940E0A"/>
    <w:rsid w:val="2DDF3F27"/>
    <w:rsid w:val="2DE3DE8A"/>
    <w:rsid w:val="2DFF5FE1"/>
    <w:rsid w:val="2E2E141C"/>
    <w:rsid w:val="2E350D1A"/>
    <w:rsid w:val="2E5E94F4"/>
    <w:rsid w:val="2E7BBDCE"/>
    <w:rsid w:val="2E87D4FE"/>
    <w:rsid w:val="2EEBD184"/>
    <w:rsid w:val="2EF754CC"/>
    <w:rsid w:val="2F076A4C"/>
    <w:rsid w:val="2F3D3EC5"/>
    <w:rsid w:val="2F5BD94C"/>
    <w:rsid w:val="2F5F6ACB"/>
    <w:rsid w:val="2F7F5C46"/>
    <w:rsid w:val="2F9B3F38"/>
    <w:rsid w:val="2FC76D01"/>
    <w:rsid w:val="2FF5E385"/>
    <w:rsid w:val="2FFE1E0A"/>
    <w:rsid w:val="2FFED446"/>
    <w:rsid w:val="30033B52"/>
    <w:rsid w:val="306166B8"/>
    <w:rsid w:val="306D1BE9"/>
    <w:rsid w:val="30924457"/>
    <w:rsid w:val="30F54C68"/>
    <w:rsid w:val="313DA7F9"/>
    <w:rsid w:val="317B1B1B"/>
    <w:rsid w:val="31B56A6F"/>
    <w:rsid w:val="31D61FC1"/>
    <w:rsid w:val="322B256F"/>
    <w:rsid w:val="32DC16F7"/>
    <w:rsid w:val="33067482"/>
    <w:rsid w:val="331D4E69"/>
    <w:rsid w:val="33597CBB"/>
    <w:rsid w:val="33607FCC"/>
    <w:rsid w:val="33695C73"/>
    <w:rsid w:val="33CB844F"/>
    <w:rsid w:val="33F34C4F"/>
    <w:rsid w:val="33F71EB1"/>
    <w:rsid w:val="33FB336E"/>
    <w:rsid w:val="34455A4C"/>
    <w:rsid w:val="34CC6DB4"/>
    <w:rsid w:val="350F2529"/>
    <w:rsid w:val="359664EB"/>
    <w:rsid w:val="35994953"/>
    <w:rsid w:val="35EAA162"/>
    <w:rsid w:val="35FF49AB"/>
    <w:rsid w:val="36779C52"/>
    <w:rsid w:val="367BBF7A"/>
    <w:rsid w:val="36817E05"/>
    <w:rsid w:val="36ACFFA7"/>
    <w:rsid w:val="36AF25E4"/>
    <w:rsid w:val="36DA78EA"/>
    <w:rsid w:val="375D364D"/>
    <w:rsid w:val="376751B1"/>
    <w:rsid w:val="377417FE"/>
    <w:rsid w:val="377F1CA6"/>
    <w:rsid w:val="379E0E66"/>
    <w:rsid w:val="37DBC79F"/>
    <w:rsid w:val="37DE4C52"/>
    <w:rsid w:val="37EFEFBE"/>
    <w:rsid w:val="37F71BA1"/>
    <w:rsid w:val="37FBBBCF"/>
    <w:rsid w:val="37FBEA96"/>
    <w:rsid w:val="37FDA160"/>
    <w:rsid w:val="37FDD971"/>
    <w:rsid w:val="3860090D"/>
    <w:rsid w:val="38F70850"/>
    <w:rsid w:val="394E6AA9"/>
    <w:rsid w:val="397E4AEC"/>
    <w:rsid w:val="39892CEA"/>
    <w:rsid w:val="398B34E3"/>
    <w:rsid w:val="39F440A8"/>
    <w:rsid w:val="39FFB1E2"/>
    <w:rsid w:val="3A0805D8"/>
    <w:rsid w:val="3A4A2264"/>
    <w:rsid w:val="3AE9C97F"/>
    <w:rsid w:val="3AF5140D"/>
    <w:rsid w:val="3AFD33F7"/>
    <w:rsid w:val="3AFF9EBC"/>
    <w:rsid w:val="3B3FA7C0"/>
    <w:rsid w:val="3B5F5FB8"/>
    <w:rsid w:val="3B6EAC20"/>
    <w:rsid w:val="3B741F8F"/>
    <w:rsid w:val="3B7876B8"/>
    <w:rsid w:val="3B7F379B"/>
    <w:rsid w:val="3BAE1915"/>
    <w:rsid w:val="3BBDA55A"/>
    <w:rsid w:val="3BDDE57F"/>
    <w:rsid w:val="3BDECA49"/>
    <w:rsid w:val="3BE00482"/>
    <w:rsid w:val="3BE03200"/>
    <w:rsid w:val="3BEE2B3A"/>
    <w:rsid w:val="3BEEBD7C"/>
    <w:rsid w:val="3BFB0F9A"/>
    <w:rsid w:val="3BFF0BCD"/>
    <w:rsid w:val="3BFFADA7"/>
    <w:rsid w:val="3C1E0D3A"/>
    <w:rsid w:val="3C953A90"/>
    <w:rsid w:val="3CBE24C1"/>
    <w:rsid w:val="3CBEF8FC"/>
    <w:rsid w:val="3CF51055"/>
    <w:rsid w:val="3D271810"/>
    <w:rsid w:val="3D2A1B75"/>
    <w:rsid w:val="3D43EC72"/>
    <w:rsid w:val="3D4E27D1"/>
    <w:rsid w:val="3D5E0FCE"/>
    <w:rsid w:val="3D627A8D"/>
    <w:rsid w:val="3DAFC456"/>
    <w:rsid w:val="3DBE9214"/>
    <w:rsid w:val="3DBFCE9C"/>
    <w:rsid w:val="3DC7D18B"/>
    <w:rsid w:val="3DE6F060"/>
    <w:rsid w:val="3DEE7F6F"/>
    <w:rsid w:val="3DF145CA"/>
    <w:rsid w:val="3DFF0D23"/>
    <w:rsid w:val="3DFF167B"/>
    <w:rsid w:val="3DFF9C01"/>
    <w:rsid w:val="3E5D371B"/>
    <w:rsid w:val="3E5F528F"/>
    <w:rsid w:val="3E7FFD53"/>
    <w:rsid w:val="3EA92D3B"/>
    <w:rsid w:val="3EAF92D9"/>
    <w:rsid w:val="3EBF04D5"/>
    <w:rsid w:val="3ECFBABE"/>
    <w:rsid w:val="3EDBB079"/>
    <w:rsid w:val="3EE696EF"/>
    <w:rsid w:val="3EF6F2CE"/>
    <w:rsid w:val="3EFD859A"/>
    <w:rsid w:val="3EFF74A2"/>
    <w:rsid w:val="3EFFD920"/>
    <w:rsid w:val="3F19F7BA"/>
    <w:rsid w:val="3F1FEB07"/>
    <w:rsid w:val="3F255C33"/>
    <w:rsid w:val="3F3D4238"/>
    <w:rsid w:val="3F3FAE2F"/>
    <w:rsid w:val="3F47BE84"/>
    <w:rsid w:val="3F6A5F1E"/>
    <w:rsid w:val="3F6BEDA0"/>
    <w:rsid w:val="3F773FD1"/>
    <w:rsid w:val="3F7EA02A"/>
    <w:rsid w:val="3F8F08B9"/>
    <w:rsid w:val="3F99F0FF"/>
    <w:rsid w:val="3FAF6949"/>
    <w:rsid w:val="3FC82174"/>
    <w:rsid w:val="3FCF06E7"/>
    <w:rsid w:val="3FD05AD4"/>
    <w:rsid w:val="3FD0E0FA"/>
    <w:rsid w:val="3FD6A0DF"/>
    <w:rsid w:val="3FD6D5CF"/>
    <w:rsid w:val="3FDE9DDE"/>
    <w:rsid w:val="3FEE3827"/>
    <w:rsid w:val="3FF30FEA"/>
    <w:rsid w:val="3FF722C0"/>
    <w:rsid w:val="3FF7D62C"/>
    <w:rsid w:val="3FFD34FB"/>
    <w:rsid w:val="3FFD6A91"/>
    <w:rsid w:val="3FFD8DFD"/>
    <w:rsid w:val="3FFEBD3C"/>
    <w:rsid w:val="3FFF084C"/>
    <w:rsid w:val="3FFF44BB"/>
    <w:rsid w:val="3FFF97D0"/>
    <w:rsid w:val="40080B23"/>
    <w:rsid w:val="400839EB"/>
    <w:rsid w:val="405C3DFF"/>
    <w:rsid w:val="409911CA"/>
    <w:rsid w:val="418B4803"/>
    <w:rsid w:val="41AD6D61"/>
    <w:rsid w:val="41CF162F"/>
    <w:rsid w:val="41EB7F0D"/>
    <w:rsid w:val="42101EE3"/>
    <w:rsid w:val="42324741"/>
    <w:rsid w:val="42B43175"/>
    <w:rsid w:val="42C74E59"/>
    <w:rsid w:val="42F74636"/>
    <w:rsid w:val="43082B29"/>
    <w:rsid w:val="440D39C9"/>
    <w:rsid w:val="4477664D"/>
    <w:rsid w:val="447771AF"/>
    <w:rsid w:val="448A29DE"/>
    <w:rsid w:val="44AC3D3E"/>
    <w:rsid w:val="44C27386"/>
    <w:rsid w:val="453D0AC2"/>
    <w:rsid w:val="4562B530"/>
    <w:rsid w:val="457F4B0A"/>
    <w:rsid w:val="458C6B20"/>
    <w:rsid w:val="4651170A"/>
    <w:rsid w:val="467FFA92"/>
    <w:rsid w:val="46FF7364"/>
    <w:rsid w:val="47FE322D"/>
    <w:rsid w:val="480E63E9"/>
    <w:rsid w:val="484E7608"/>
    <w:rsid w:val="48AB4406"/>
    <w:rsid w:val="48B5ED0D"/>
    <w:rsid w:val="48D017A5"/>
    <w:rsid w:val="48D10E9A"/>
    <w:rsid w:val="4967616A"/>
    <w:rsid w:val="49770F04"/>
    <w:rsid w:val="49FFB8FF"/>
    <w:rsid w:val="4A1A04EC"/>
    <w:rsid w:val="4A1E13EE"/>
    <w:rsid w:val="4A5606F0"/>
    <w:rsid w:val="4A5C55E1"/>
    <w:rsid w:val="4A9932BB"/>
    <w:rsid w:val="4ADC8E7F"/>
    <w:rsid w:val="4AEF083F"/>
    <w:rsid w:val="4AFFD117"/>
    <w:rsid w:val="4B3E6D36"/>
    <w:rsid w:val="4B893F57"/>
    <w:rsid w:val="4B8C0F18"/>
    <w:rsid w:val="4BB6E5AC"/>
    <w:rsid w:val="4BE45717"/>
    <w:rsid w:val="4BF50050"/>
    <w:rsid w:val="4C19327A"/>
    <w:rsid w:val="4C6FE78D"/>
    <w:rsid w:val="4C724BD4"/>
    <w:rsid w:val="4C8FE5FF"/>
    <w:rsid w:val="4CA31201"/>
    <w:rsid w:val="4CC9A75D"/>
    <w:rsid w:val="4D520B06"/>
    <w:rsid w:val="4D946506"/>
    <w:rsid w:val="4DBA69D6"/>
    <w:rsid w:val="4DC7768D"/>
    <w:rsid w:val="4DD36B62"/>
    <w:rsid w:val="4E655A3B"/>
    <w:rsid w:val="4E8E707B"/>
    <w:rsid w:val="4EAA4D1C"/>
    <w:rsid w:val="4EEFDE60"/>
    <w:rsid w:val="4EFB9579"/>
    <w:rsid w:val="4F7F91CA"/>
    <w:rsid w:val="4F9E39F0"/>
    <w:rsid w:val="4FBB4066"/>
    <w:rsid w:val="4FC866DC"/>
    <w:rsid w:val="4FE96972"/>
    <w:rsid w:val="4FEA3B06"/>
    <w:rsid w:val="4FF202EA"/>
    <w:rsid w:val="4FF32756"/>
    <w:rsid w:val="4FFD13EA"/>
    <w:rsid w:val="4FFDC143"/>
    <w:rsid w:val="4FFF24B9"/>
    <w:rsid w:val="4FFF8E07"/>
    <w:rsid w:val="4FFFE0D3"/>
    <w:rsid w:val="501F30D8"/>
    <w:rsid w:val="507D3710"/>
    <w:rsid w:val="508A7849"/>
    <w:rsid w:val="50A80B86"/>
    <w:rsid w:val="50B6482E"/>
    <w:rsid w:val="50BA3DE9"/>
    <w:rsid w:val="510861A8"/>
    <w:rsid w:val="517FD5DC"/>
    <w:rsid w:val="51DDA819"/>
    <w:rsid w:val="520D5D83"/>
    <w:rsid w:val="522B7420"/>
    <w:rsid w:val="524A3054"/>
    <w:rsid w:val="526839E6"/>
    <w:rsid w:val="52AB0F3D"/>
    <w:rsid w:val="52F7F626"/>
    <w:rsid w:val="530329AE"/>
    <w:rsid w:val="531D7BB1"/>
    <w:rsid w:val="53977F86"/>
    <w:rsid w:val="53B10B89"/>
    <w:rsid w:val="53B233E5"/>
    <w:rsid w:val="53BB30AA"/>
    <w:rsid w:val="53FB6A77"/>
    <w:rsid w:val="5413F0BE"/>
    <w:rsid w:val="545362F1"/>
    <w:rsid w:val="548930EC"/>
    <w:rsid w:val="55AF461E"/>
    <w:rsid w:val="55EDC0D5"/>
    <w:rsid w:val="55FFF202"/>
    <w:rsid w:val="561D8647"/>
    <w:rsid w:val="56A26410"/>
    <w:rsid w:val="56BF9A1D"/>
    <w:rsid w:val="56DAD1D0"/>
    <w:rsid w:val="57005979"/>
    <w:rsid w:val="57126274"/>
    <w:rsid w:val="5735569F"/>
    <w:rsid w:val="576F1049"/>
    <w:rsid w:val="57774015"/>
    <w:rsid w:val="579761B8"/>
    <w:rsid w:val="579FD47B"/>
    <w:rsid w:val="57AFF680"/>
    <w:rsid w:val="57BB7908"/>
    <w:rsid w:val="57BE1C48"/>
    <w:rsid w:val="57BF6041"/>
    <w:rsid w:val="57F25505"/>
    <w:rsid w:val="57FA7E6A"/>
    <w:rsid w:val="57FDE7C5"/>
    <w:rsid w:val="57FF74C2"/>
    <w:rsid w:val="584C4161"/>
    <w:rsid w:val="586A1F1F"/>
    <w:rsid w:val="58FD5914"/>
    <w:rsid w:val="59780FEC"/>
    <w:rsid w:val="59D76AC3"/>
    <w:rsid w:val="59EE147D"/>
    <w:rsid w:val="5A462E48"/>
    <w:rsid w:val="5A641A5E"/>
    <w:rsid w:val="5A6D2FDA"/>
    <w:rsid w:val="5A7C8E15"/>
    <w:rsid w:val="5AB9816C"/>
    <w:rsid w:val="5AC41A60"/>
    <w:rsid w:val="5AD84B7E"/>
    <w:rsid w:val="5B017259"/>
    <w:rsid w:val="5B3A3EFC"/>
    <w:rsid w:val="5B5C11E0"/>
    <w:rsid w:val="5B5F2D76"/>
    <w:rsid w:val="5B7A5FEF"/>
    <w:rsid w:val="5B833C64"/>
    <w:rsid w:val="5BCC8A54"/>
    <w:rsid w:val="5BCCEFD4"/>
    <w:rsid w:val="5BDF6A7E"/>
    <w:rsid w:val="5BEBFE2B"/>
    <w:rsid w:val="5BEEA5FE"/>
    <w:rsid w:val="5BFBD103"/>
    <w:rsid w:val="5BFD3096"/>
    <w:rsid w:val="5BFFDDAF"/>
    <w:rsid w:val="5C0366C3"/>
    <w:rsid w:val="5C0D7AD6"/>
    <w:rsid w:val="5C1C5928"/>
    <w:rsid w:val="5C247B58"/>
    <w:rsid w:val="5C6F2B29"/>
    <w:rsid w:val="5C91567D"/>
    <w:rsid w:val="5CAF43E3"/>
    <w:rsid w:val="5CF3370C"/>
    <w:rsid w:val="5D3F5D30"/>
    <w:rsid w:val="5D540F2D"/>
    <w:rsid w:val="5D63B132"/>
    <w:rsid w:val="5D661385"/>
    <w:rsid w:val="5D778E9F"/>
    <w:rsid w:val="5D77B840"/>
    <w:rsid w:val="5D912E88"/>
    <w:rsid w:val="5DA7B9E0"/>
    <w:rsid w:val="5DAB9417"/>
    <w:rsid w:val="5DBF3F0E"/>
    <w:rsid w:val="5DBF6F4F"/>
    <w:rsid w:val="5DDF9684"/>
    <w:rsid w:val="5DEF23AD"/>
    <w:rsid w:val="5DF5CB5F"/>
    <w:rsid w:val="5DF7601B"/>
    <w:rsid w:val="5DFF0967"/>
    <w:rsid w:val="5E373F4B"/>
    <w:rsid w:val="5E5E5C86"/>
    <w:rsid w:val="5E6FA9DB"/>
    <w:rsid w:val="5E840CE0"/>
    <w:rsid w:val="5EBFA3E0"/>
    <w:rsid w:val="5EDE9846"/>
    <w:rsid w:val="5EDF5FA5"/>
    <w:rsid w:val="5EF336A6"/>
    <w:rsid w:val="5EF66D40"/>
    <w:rsid w:val="5EF92DC3"/>
    <w:rsid w:val="5EFE9BEE"/>
    <w:rsid w:val="5EFF725A"/>
    <w:rsid w:val="5F3FEDA9"/>
    <w:rsid w:val="5F57A74B"/>
    <w:rsid w:val="5F5F4688"/>
    <w:rsid w:val="5F7D7B10"/>
    <w:rsid w:val="5F7FDF0E"/>
    <w:rsid w:val="5FB93619"/>
    <w:rsid w:val="5FBBDA03"/>
    <w:rsid w:val="5FBFB1F6"/>
    <w:rsid w:val="5FC83342"/>
    <w:rsid w:val="5FCF061F"/>
    <w:rsid w:val="5FCF16E5"/>
    <w:rsid w:val="5FDD880C"/>
    <w:rsid w:val="5FDF1D7B"/>
    <w:rsid w:val="5FE96FE3"/>
    <w:rsid w:val="5FEE2CFB"/>
    <w:rsid w:val="5FF7B893"/>
    <w:rsid w:val="5FF9B58D"/>
    <w:rsid w:val="5FFC4FBD"/>
    <w:rsid w:val="5FFD7CED"/>
    <w:rsid w:val="5FFDAA16"/>
    <w:rsid w:val="5FFED26F"/>
    <w:rsid w:val="5FFEE145"/>
    <w:rsid w:val="5FFF60DC"/>
    <w:rsid w:val="5FFF9955"/>
    <w:rsid w:val="5FFFBDD1"/>
    <w:rsid w:val="60272E92"/>
    <w:rsid w:val="6064472B"/>
    <w:rsid w:val="611D1B27"/>
    <w:rsid w:val="619FA4BB"/>
    <w:rsid w:val="61BD33B0"/>
    <w:rsid w:val="6235234D"/>
    <w:rsid w:val="62FEF47E"/>
    <w:rsid w:val="637B098F"/>
    <w:rsid w:val="63946ED4"/>
    <w:rsid w:val="63B90431"/>
    <w:rsid w:val="63F5B179"/>
    <w:rsid w:val="64EE4CF6"/>
    <w:rsid w:val="65243873"/>
    <w:rsid w:val="654B40C6"/>
    <w:rsid w:val="658BAA1A"/>
    <w:rsid w:val="659E45F1"/>
    <w:rsid w:val="65B7797F"/>
    <w:rsid w:val="65C7B32A"/>
    <w:rsid w:val="65D85F86"/>
    <w:rsid w:val="65F794B3"/>
    <w:rsid w:val="65FF9357"/>
    <w:rsid w:val="65FF9965"/>
    <w:rsid w:val="66A910A1"/>
    <w:rsid w:val="66B10476"/>
    <w:rsid w:val="66B25F4D"/>
    <w:rsid w:val="66EE259C"/>
    <w:rsid w:val="673844C9"/>
    <w:rsid w:val="673C29CE"/>
    <w:rsid w:val="6767F297"/>
    <w:rsid w:val="6770C37B"/>
    <w:rsid w:val="677BD4CC"/>
    <w:rsid w:val="677BE2E1"/>
    <w:rsid w:val="67A352CB"/>
    <w:rsid w:val="67CDE539"/>
    <w:rsid w:val="67D746CC"/>
    <w:rsid w:val="67D79E92"/>
    <w:rsid w:val="67F750B6"/>
    <w:rsid w:val="67FA717E"/>
    <w:rsid w:val="67FD4260"/>
    <w:rsid w:val="68837D53"/>
    <w:rsid w:val="696C73F9"/>
    <w:rsid w:val="69DF9DCE"/>
    <w:rsid w:val="69EF6843"/>
    <w:rsid w:val="69F74163"/>
    <w:rsid w:val="69FBE2B6"/>
    <w:rsid w:val="6A4138E3"/>
    <w:rsid w:val="6A58518D"/>
    <w:rsid w:val="6A7FF52D"/>
    <w:rsid w:val="6ACEE357"/>
    <w:rsid w:val="6AF379CC"/>
    <w:rsid w:val="6AF77490"/>
    <w:rsid w:val="6B5F6643"/>
    <w:rsid w:val="6B7F647D"/>
    <w:rsid w:val="6BC03223"/>
    <w:rsid w:val="6BCFA6C2"/>
    <w:rsid w:val="6BD105AF"/>
    <w:rsid w:val="6BD76378"/>
    <w:rsid w:val="6BDBD5A8"/>
    <w:rsid w:val="6BE6490E"/>
    <w:rsid w:val="6BEB2C13"/>
    <w:rsid w:val="6BEFB2F6"/>
    <w:rsid w:val="6BF27C31"/>
    <w:rsid w:val="6BFB0DC4"/>
    <w:rsid w:val="6BFEC28C"/>
    <w:rsid w:val="6BFF4EBC"/>
    <w:rsid w:val="6C576176"/>
    <w:rsid w:val="6C814583"/>
    <w:rsid w:val="6CBFAA1E"/>
    <w:rsid w:val="6D5F02B6"/>
    <w:rsid w:val="6D9C62C2"/>
    <w:rsid w:val="6D9FD7C3"/>
    <w:rsid w:val="6DC7288A"/>
    <w:rsid w:val="6DCA76DD"/>
    <w:rsid w:val="6DCFED4D"/>
    <w:rsid w:val="6DD6C221"/>
    <w:rsid w:val="6DDF8BAB"/>
    <w:rsid w:val="6DF75647"/>
    <w:rsid w:val="6DFF3A16"/>
    <w:rsid w:val="6E4C10CC"/>
    <w:rsid w:val="6E66CAA9"/>
    <w:rsid w:val="6E7B8A44"/>
    <w:rsid w:val="6E7FED86"/>
    <w:rsid w:val="6EBF86C9"/>
    <w:rsid w:val="6EBF9EC8"/>
    <w:rsid w:val="6EDEA1F1"/>
    <w:rsid w:val="6EE7BA6D"/>
    <w:rsid w:val="6EF3C0AA"/>
    <w:rsid w:val="6EF7BB17"/>
    <w:rsid w:val="6EFBE4DE"/>
    <w:rsid w:val="6EFD95E1"/>
    <w:rsid w:val="6EFFC3F3"/>
    <w:rsid w:val="6F0502B4"/>
    <w:rsid w:val="6F177E46"/>
    <w:rsid w:val="6F27BAAC"/>
    <w:rsid w:val="6F37A3A7"/>
    <w:rsid w:val="6F37F3B4"/>
    <w:rsid w:val="6F513480"/>
    <w:rsid w:val="6F72D931"/>
    <w:rsid w:val="6F7C9644"/>
    <w:rsid w:val="6F7E1C28"/>
    <w:rsid w:val="6F7FA638"/>
    <w:rsid w:val="6F9340A8"/>
    <w:rsid w:val="6FA3323C"/>
    <w:rsid w:val="6FAD37D2"/>
    <w:rsid w:val="6FAF73DA"/>
    <w:rsid w:val="6FB7D3EC"/>
    <w:rsid w:val="6FCB1F7C"/>
    <w:rsid w:val="6FDFCE37"/>
    <w:rsid w:val="6FE77F5B"/>
    <w:rsid w:val="6FEBC28B"/>
    <w:rsid w:val="6FEF37AD"/>
    <w:rsid w:val="6FF36F6F"/>
    <w:rsid w:val="6FF38826"/>
    <w:rsid w:val="6FF7B71A"/>
    <w:rsid w:val="6FFB9809"/>
    <w:rsid w:val="6FFE1508"/>
    <w:rsid w:val="6FFF850C"/>
    <w:rsid w:val="6FFFB7DD"/>
    <w:rsid w:val="6FFFB9FD"/>
    <w:rsid w:val="6FFFC235"/>
    <w:rsid w:val="6FFFD107"/>
    <w:rsid w:val="6FFFD5DF"/>
    <w:rsid w:val="6FFFDC57"/>
    <w:rsid w:val="70182F8C"/>
    <w:rsid w:val="705E5BB8"/>
    <w:rsid w:val="70B43BA6"/>
    <w:rsid w:val="70DC6CAF"/>
    <w:rsid w:val="715F308D"/>
    <w:rsid w:val="717C55D8"/>
    <w:rsid w:val="71B7143F"/>
    <w:rsid w:val="71CF714E"/>
    <w:rsid w:val="71DB3131"/>
    <w:rsid w:val="71EB1DD5"/>
    <w:rsid w:val="71FF6A1E"/>
    <w:rsid w:val="728B2F62"/>
    <w:rsid w:val="72E35537"/>
    <w:rsid w:val="72E75169"/>
    <w:rsid w:val="7317C944"/>
    <w:rsid w:val="733B047E"/>
    <w:rsid w:val="735E1FA4"/>
    <w:rsid w:val="7375AB45"/>
    <w:rsid w:val="737F98E8"/>
    <w:rsid w:val="7388C20B"/>
    <w:rsid w:val="73AF1BFF"/>
    <w:rsid w:val="73BD6AF3"/>
    <w:rsid w:val="73E0861C"/>
    <w:rsid w:val="73EEDF78"/>
    <w:rsid w:val="73EF7AB4"/>
    <w:rsid w:val="73FA4717"/>
    <w:rsid w:val="73FB6210"/>
    <w:rsid w:val="73FFC5FE"/>
    <w:rsid w:val="743A6FC5"/>
    <w:rsid w:val="74A94564"/>
    <w:rsid w:val="74B5489B"/>
    <w:rsid w:val="74D6B863"/>
    <w:rsid w:val="74E10283"/>
    <w:rsid w:val="74F81A05"/>
    <w:rsid w:val="75150173"/>
    <w:rsid w:val="75347CAB"/>
    <w:rsid w:val="75680334"/>
    <w:rsid w:val="757EF9FB"/>
    <w:rsid w:val="75E334BF"/>
    <w:rsid w:val="75E70C53"/>
    <w:rsid w:val="75F57D48"/>
    <w:rsid w:val="75FCD27D"/>
    <w:rsid w:val="75FED439"/>
    <w:rsid w:val="75FF46BB"/>
    <w:rsid w:val="75FFAD14"/>
    <w:rsid w:val="7621172C"/>
    <w:rsid w:val="767FB48D"/>
    <w:rsid w:val="76CA3899"/>
    <w:rsid w:val="76D63BFA"/>
    <w:rsid w:val="76ECA7D7"/>
    <w:rsid w:val="76FF2597"/>
    <w:rsid w:val="76FF7646"/>
    <w:rsid w:val="76FF90F9"/>
    <w:rsid w:val="77463F62"/>
    <w:rsid w:val="775F9223"/>
    <w:rsid w:val="777D7218"/>
    <w:rsid w:val="777ED9AE"/>
    <w:rsid w:val="777F5076"/>
    <w:rsid w:val="777F6383"/>
    <w:rsid w:val="777F880A"/>
    <w:rsid w:val="778AF126"/>
    <w:rsid w:val="779572EB"/>
    <w:rsid w:val="77A66F78"/>
    <w:rsid w:val="77B22D7C"/>
    <w:rsid w:val="77B381F4"/>
    <w:rsid w:val="77B73EA8"/>
    <w:rsid w:val="77C3574D"/>
    <w:rsid w:val="77CDB2D8"/>
    <w:rsid w:val="77DE2CC9"/>
    <w:rsid w:val="77DF5036"/>
    <w:rsid w:val="77DFCA96"/>
    <w:rsid w:val="77E9C9B5"/>
    <w:rsid w:val="77EB60C0"/>
    <w:rsid w:val="77ED5795"/>
    <w:rsid w:val="77EE91A6"/>
    <w:rsid w:val="77F59C3C"/>
    <w:rsid w:val="77F7B371"/>
    <w:rsid w:val="77F7E989"/>
    <w:rsid w:val="77F8DC81"/>
    <w:rsid w:val="77F9CC81"/>
    <w:rsid w:val="77FD3C6C"/>
    <w:rsid w:val="77FD45D1"/>
    <w:rsid w:val="77FE1EC3"/>
    <w:rsid w:val="77FE38E3"/>
    <w:rsid w:val="77FE81F1"/>
    <w:rsid w:val="784D4A3B"/>
    <w:rsid w:val="787F42D0"/>
    <w:rsid w:val="788603B5"/>
    <w:rsid w:val="78AFCAF3"/>
    <w:rsid w:val="78D3FFD2"/>
    <w:rsid w:val="78F5B764"/>
    <w:rsid w:val="78F6BC95"/>
    <w:rsid w:val="78F7EE8C"/>
    <w:rsid w:val="78FF6C25"/>
    <w:rsid w:val="796662AF"/>
    <w:rsid w:val="797753F7"/>
    <w:rsid w:val="797D8544"/>
    <w:rsid w:val="79AFA48B"/>
    <w:rsid w:val="79B971CF"/>
    <w:rsid w:val="79B9CC66"/>
    <w:rsid w:val="79CB31EB"/>
    <w:rsid w:val="79DABF17"/>
    <w:rsid w:val="79E45F22"/>
    <w:rsid w:val="79F3E5FF"/>
    <w:rsid w:val="79FEB73A"/>
    <w:rsid w:val="79FF2EE5"/>
    <w:rsid w:val="79FFF003"/>
    <w:rsid w:val="7A34680D"/>
    <w:rsid w:val="7A6E51D0"/>
    <w:rsid w:val="7A707505"/>
    <w:rsid w:val="7A736501"/>
    <w:rsid w:val="7AB9D72E"/>
    <w:rsid w:val="7ABB14C8"/>
    <w:rsid w:val="7ABE8348"/>
    <w:rsid w:val="7ADB24CF"/>
    <w:rsid w:val="7AEF9017"/>
    <w:rsid w:val="7AFE6189"/>
    <w:rsid w:val="7AFF8DAF"/>
    <w:rsid w:val="7B0E3D48"/>
    <w:rsid w:val="7B26C959"/>
    <w:rsid w:val="7B3BC212"/>
    <w:rsid w:val="7B42698E"/>
    <w:rsid w:val="7B6748D9"/>
    <w:rsid w:val="7B6767B3"/>
    <w:rsid w:val="7B6F00EF"/>
    <w:rsid w:val="7B6F106C"/>
    <w:rsid w:val="7B6F1193"/>
    <w:rsid w:val="7B773CE8"/>
    <w:rsid w:val="7B7DB7C3"/>
    <w:rsid w:val="7B7E2126"/>
    <w:rsid w:val="7BAE496B"/>
    <w:rsid w:val="7BAFF527"/>
    <w:rsid w:val="7BBC249E"/>
    <w:rsid w:val="7BBD9AED"/>
    <w:rsid w:val="7BBE2146"/>
    <w:rsid w:val="7BCF2493"/>
    <w:rsid w:val="7BD776E5"/>
    <w:rsid w:val="7BD963EE"/>
    <w:rsid w:val="7BDA5189"/>
    <w:rsid w:val="7BDF912D"/>
    <w:rsid w:val="7BEA5472"/>
    <w:rsid w:val="7BEFEAFF"/>
    <w:rsid w:val="7BF6D95C"/>
    <w:rsid w:val="7BF75F68"/>
    <w:rsid w:val="7BF7F53C"/>
    <w:rsid w:val="7BFDEEAD"/>
    <w:rsid w:val="7BFE03AD"/>
    <w:rsid w:val="7BFEB35E"/>
    <w:rsid w:val="7BFF2E58"/>
    <w:rsid w:val="7C6BB4B5"/>
    <w:rsid w:val="7C7B11EF"/>
    <w:rsid w:val="7C7F5EB9"/>
    <w:rsid w:val="7CA147C5"/>
    <w:rsid w:val="7CB7F41D"/>
    <w:rsid w:val="7CBBC986"/>
    <w:rsid w:val="7CBDD33F"/>
    <w:rsid w:val="7CCD25D1"/>
    <w:rsid w:val="7CDEB398"/>
    <w:rsid w:val="7CFF227F"/>
    <w:rsid w:val="7D4B6625"/>
    <w:rsid w:val="7D6D1452"/>
    <w:rsid w:val="7D6FBF28"/>
    <w:rsid w:val="7D75B48F"/>
    <w:rsid w:val="7D7626A0"/>
    <w:rsid w:val="7D7F12F0"/>
    <w:rsid w:val="7DA37508"/>
    <w:rsid w:val="7DC930BC"/>
    <w:rsid w:val="7DCD5E1C"/>
    <w:rsid w:val="7DCF568F"/>
    <w:rsid w:val="7DCFC0D7"/>
    <w:rsid w:val="7DDA1F69"/>
    <w:rsid w:val="7DDAD073"/>
    <w:rsid w:val="7DDF8E73"/>
    <w:rsid w:val="7DDFBE5E"/>
    <w:rsid w:val="7DE59B29"/>
    <w:rsid w:val="7DE7C73F"/>
    <w:rsid w:val="7DED06EE"/>
    <w:rsid w:val="7DEDA8C9"/>
    <w:rsid w:val="7DEF3DA3"/>
    <w:rsid w:val="7DF302F3"/>
    <w:rsid w:val="7DF3B810"/>
    <w:rsid w:val="7DF7A74D"/>
    <w:rsid w:val="7DFA9AB6"/>
    <w:rsid w:val="7DFB7B65"/>
    <w:rsid w:val="7DFD821D"/>
    <w:rsid w:val="7DFDC14F"/>
    <w:rsid w:val="7DFE1293"/>
    <w:rsid w:val="7DFEA7FC"/>
    <w:rsid w:val="7DFF51FE"/>
    <w:rsid w:val="7DFF5907"/>
    <w:rsid w:val="7DFF6AAE"/>
    <w:rsid w:val="7DFFF09D"/>
    <w:rsid w:val="7E323DD9"/>
    <w:rsid w:val="7E7CD7A8"/>
    <w:rsid w:val="7E7DCF38"/>
    <w:rsid w:val="7E7F33A1"/>
    <w:rsid w:val="7E7F8C39"/>
    <w:rsid w:val="7E9B2E84"/>
    <w:rsid w:val="7E9FEB89"/>
    <w:rsid w:val="7EAE6872"/>
    <w:rsid w:val="7EB07C5C"/>
    <w:rsid w:val="7EBCB0B5"/>
    <w:rsid w:val="7EBFB741"/>
    <w:rsid w:val="7EDC327C"/>
    <w:rsid w:val="7EDD19ED"/>
    <w:rsid w:val="7EDFA4B9"/>
    <w:rsid w:val="7EDFB6A2"/>
    <w:rsid w:val="7EEB360D"/>
    <w:rsid w:val="7EEF6CFC"/>
    <w:rsid w:val="7EEF7653"/>
    <w:rsid w:val="7EEFCABA"/>
    <w:rsid w:val="7EF5164B"/>
    <w:rsid w:val="7EFB965E"/>
    <w:rsid w:val="7EFD9D78"/>
    <w:rsid w:val="7EFE6DA5"/>
    <w:rsid w:val="7EFE9369"/>
    <w:rsid w:val="7EFE9F19"/>
    <w:rsid w:val="7EFEAED6"/>
    <w:rsid w:val="7EFF17E6"/>
    <w:rsid w:val="7EFF56F9"/>
    <w:rsid w:val="7EFF6A9E"/>
    <w:rsid w:val="7EFFC48F"/>
    <w:rsid w:val="7EFFDBB3"/>
    <w:rsid w:val="7F17BC44"/>
    <w:rsid w:val="7F2C29B8"/>
    <w:rsid w:val="7F2F82BF"/>
    <w:rsid w:val="7F2FC145"/>
    <w:rsid w:val="7F324DB9"/>
    <w:rsid w:val="7F334733"/>
    <w:rsid w:val="7F33825C"/>
    <w:rsid w:val="7F35997F"/>
    <w:rsid w:val="7F36264E"/>
    <w:rsid w:val="7F36F940"/>
    <w:rsid w:val="7F3E43CE"/>
    <w:rsid w:val="7F3F7C3A"/>
    <w:rsid w:val="7F449979"/>
    <w:rsid w:val="7F4F9F7B"/>
    <w:rsid w:val="7F587B63"/>
    <w:rsid w:val="7F5B66AE"/>
    <w:rsid w:val="7F5F39D4"/>
    <w:rsid w:val="7F6E1849"/>
    <w:rsid w:val="7F799EE1"/>
    <w:rsid w:val="7F7B224C"/>
    <w:rsid w:val="7F7BFD05"/>
    <w:rsid w:val="7F7E0E48"/>
    <w:rsid w:val="7F7E4675"/>
    <w:rsid w:val="7F7F5B69"/>
    <w:rsid w:val="7F7F6435"/>
    <w:rsid w:val="7F8B5A8B"/>
    <w:rsid w:val="7F9A9B33"/>
    <w:rsid w:val="7F9EB18D"/>
    <w:rsid w:val="7FA6CEE5"/>
    <w:rsid w:val="7FAE5C6D"/>
    <w:rsid w:val="7FAFA2FC"/>
    <w:rsid w:val="7FAFFF21"/>
    <w:rsid w:val="7FB23AEB"/>
    <w:rsid w:val="7FB46FD3"/>
    <w:rsid w:val="7FB54A13"/>
    <w:rsid w:val="7FBD6EF7"/>
    <w:rsid w:val="7FBF2BA6"/>
    <w:rsid w:val="7FBFBCF9"/>
    <w:rsid w:val="7FBFC096"/>
    <w:rsid w:val="7FBFDC5B"/>
    <w:rsid w:val="7FBFE846"/>
    <w:rsid w:val="7FCB757C"/>
    <w:rsid w:val="7FCD93C8"/>
    <w:rsid w:val="7FCE4130"/>
    <w:rsid w:val="7FD46654"/>
    <w:rsid w:val="7FD5EB72"/>
    <w:rsid w:val="7FD74BAB"/>
    <w:rsid w:val="7FD75471"/>
    <w:rsid w:val="7FD90385"/>
    <w:rsid w:val="7FDE1295"/>
    <w:rsid w:val="7FDF2873"/>
    <w:rsid w:val="7FDF9D0B"/>
    <w:rsid w:val="7FDFFBB6"/>
    <w:rsid w:val="7FE6FEF3"/>
    <w:rsid w:val="7FE7FDF4"/>
    <w:rsid w:val="7FE9B19E"/>
    <w:rsid w:val="7FEAB0C7"/>
    <w:rsid w:val="7FEBAD81"/>
    <w:rsid w:val="7FEC3083"/>
    <w:rsid w:val="7FEE93A1"/>
    <w:rsid w:val="7FEF182C"/>
    <w:rsid w:val="7FEF31BD"/>
    <w:rsid w:val="7FF0AD97"/>
    <w:rsid w:val="7FF59F70"/>
    <w:rsid w:val="7FF62341"/>
    <w:rsid w:val="7FFAF544"/>
    <w:rsid w:val="7FFB45DA"/>
    <w:rsid w:val="7FFB5DDF"/>
    <w:rsid w:val="7FFBE91A"/>
    <w:rsid w:val="7FFD108E"/>
    <w:rsid w:val="7FFE444C"/>
    <w:rsid w:val="7FFE684D"/>
    <w:rsid w:val="7FFE7566"/>
    <w:rsid w:val="7FFEC02C"/>
    <w:rsid w:val="7FFECEE4"/>
    <w:rsid w:val="7FFF38FD"/>
    <w:rsid w:val="7FFF3C28"/>
    <w:rsid w:val="7FFF6B98"/>
    <w:rsid w:val="7FFF783D"/>
    <w:rsid w:val="7FFF7D9F"/>
    <w:rsid w:val="7FFF822E"/>
    <w:rsid w:val="7FFF97E7"/>
    <w:rsid w:val="7FFFCCD7"/>
    <w:rsid w:val="7FFFF7F7"/>
    <w:rsid w:val="81DF58C7"/>
    <w:rsid w:val="84FF47DB"/>
    <w:rsid w:val="87972328"/>
    <w:rsid w:val="87AFFFA3"/>
    <w:rsid w:val="8BFEDE3B"/>
    <w:rsid w:val="8C6B18AF"/>
    <w:rsid w:val="8D2F2653"/>
    <w:rsid w:val="8DFF8257"/>
    <w:rsid w:val="8E636643"/>
    <w:rsid w:val="8FDD902F"/>
    <w:rsid w:val="8FE37BB7"/>
    <w:rsid w:val="92DFF832"/>
    <w:rsid w:val="93E64495"/>
    <w:rsid w:val="94F7D785"/>
    <w:rsid w:val="965FB62C"/>
    <w:rsid w:val="96DF26E6"/>
    <w:rsid w:val="975DD48E"/>
    <w:rsid w:val="978D8A23"/>
    <w:rsid w:val="97DBB655"/>
    <w:rsid w:val="97EDD2E1"/>
    <w:rsid w:val="97F97C17"/>
    <w:rsid w:val="97FD2B09"/>
    <w:rsid w:val="99F7677A"/>
    <w:rsid w:val="99FF453A"/>
    <w:rsid w:val="9BDEED97"/>
    <w:rsid w:val="9BF72CC8"/>
    <w:rsid w:val="9C5451DF"/>
    <w:rsid w:val="9D2F45A5"/>
    <w:rsid w:val="9D7FB051"/>
    <w:rsid w:val="9DBF38DE"/>
    <w:rsid w:val="9DDF79C9"/>
    <w:rsid w:val="9DEF07E3"/>
    <w:rsid w:val="9DF33CD0"/>
    <w:rsid w:val="9DFF8B49"/>
    <w:rsid w:val="9EF05212"/>
    <w:rsid w:val="9FB755FC"/>
    <w:rsid w:val="9FC700E7"/>
    <w:rsid w:val="9FD98A08"/>
    <w:rsid w:val="9FDFE989"/>
    <w:rsid w:val="9FF996C7"/>
    <w:rsid w:val="9FFDB263"/>
    <w:rsid w:val="9FFDFA8C"/>
    <w:rsid w:val="A3D6B5CB"/>
    <w:rsid w:val="A57E0C39"/>
    <w:rsid w:val="A79F4658"/>
    <w:rsid w:val="A7BAD71D"/>
    <w:rsid w:val="A7F73CDA"/>
    <w:rsid w:val="A7FE20D7"/>
    <w:rsid w:val="AB5E115E"/>
    <w:rsid w:val="AB7F49E6"/>
    <w:rsid w:val="AB9FC6DA"/>
    <w:rsid w:val="ABB4E702"/>
    <w:rsid w:val="AD5FA673"/>
    <w:rsid w:val="ADB530A0"/>
    <w:rsid w:val="ADBFD99D"/>
    <w:rsid w:val="AE7E516E"/>
    <w:rsid w:val="AEBFBBB1"/>
    <w:rsid w:val="AEDC2122"/>
    <w:rsid w:val="AEF4C6FB"/>
    <w:rsid w:val="AEFDA0B6"/>
    <w:rsid w:val="AF7FB1A7"/>
    <w:rsid w:val="AFD4BD05"/>
    <w:rsid w:val="AFED30B1"/>
    <w:rsid w:val="AFEECF20"/>
    <w:rsid w:val="B1E3E9BA"/>
    <w:rsid w:val="B276ADF7"/>
    <w:rsid w:val="B3AF5A97"/>
    <w:rsid w:val="B3D71598"/>
    <w:rsid w:val="B3DB96A4"/>
    <w:rsid w:val="B3DFD2F8"/>
    <w:rsid w:val="B3E29FE9"/>
    <w:rsid w:val="B43FBE1B"/>
    <w:rsid w:val="B5BBD8C1"/>
    <w:rsid w:val="B5FA2903"/>
    <w:rsid w:val="B5FFFB47"/>
    <w:rsid w:val="B67D3FA3"/>
    <w:rsid w:val="B6F76721"/>
    <w:rsid w:val="B7268FD6"/>
    <w:rsid w:val="B79F92CE"/>
    <w:rsid w:val="B7BA167D"/>
    <w:rsid w:val="B7BFD4DC"/>
    <w:rsid w:val="B7D100CB"/>
    <w:rsid w:val="B7DBA84B"/>
    <w:rsid w:val="B7F4B4DB"/>
    <w:rsid w:val="B7F76BF7"/>
    <w:rsid w:val="B7FDFA5A"/>
    <w:rsid w:val="B7FF2653"/>
    <w:rsid w:val="B81F5FE7"/>
    <w:rsid w:val="B9EB4639"/>
    <w:rsid w:val="BB3E47F1"/>
    <w:rsid w:val="BB87302D"/>
    <w:rsid w:val="BB9E288F"/>
    <w:rsid w:val="BBDF9459"/>
    <w:rsid w:val="BBE742BD"/>
    <w:rsid w:val="BBF57E34"/>
    <w:rsid w:val="BBFD6D42"/>
    <w:rsid w:val="BC3362C6"/>
    <w:rsid w:val="BCDCC9B9"/>
    <w:rsid w:val="BD7FF95A"/>
    <w:rsid w:val="BDAF5B92"/>
    <w:rsid w:val="BDB5C9C1"/>
    <w:rsid w:val="BDBB38CB"/>
    <w:rsid w:val="BDDE0C5C"/>
    <w:rsid w:val="BDDEEA20"/>
    <w:rsid w:val="BDDF877F"/>
    <w:rsid w:val="BDED7021"/>
    <w:rsid w:val="BDF39EB5"/>
    <w:rsid w:val="BDFF917E"/>
    <w:rsid w:val="BE74C263"/>
    <w:rsid w:val="BE7D72D4"/>
    <w:rsid w:val="BE7FD4FE"/>
    <w:rsid w:val="BEDAE4CA"/>
    <w:rsid w:val="BEF6276F"/>
    <w:rsid w:val="BEF7DD4C"/>
    <w:rsid w:val="BF4F7970"/>
    <w:rsid w:val="BF5F028B"/>
    <w:rsid w:val="BF7BAC43"/>
    <w:rsid w:val="BF7F5C5C"/>
    <w:rsid w:val="BF9E481E"/>
    <w:rsid w:val="BFACC8F9"/>
    <w:rsid w:val="BFAD7263"/>
    <w:rsid w:val="BFAF2317"/>
    <w:rsid w:val="BFBF2846"/>
    <w:rsid w:val="BFBFE829"/>
    <w:rsid w:val="BFC764F1"/>
    <w:rsid w:val="BFCA6C22"/>
    <w:rsid w:val="BFCBD853"/>
    <w:rsid w:val="BFCF8710"/>
    <w:rsid w:val="BFE5D96F"/>
    <w:rsid w:val="BFEA8C67"/>
    <w:rsid w:val="BFEF50C5"/>
    <w:rsid w:val="BFF15176"/>
    <w:rsid w:val="BFF3DD52"/>
    <w:rsid w:val="BFF44909"/>
    <w:rsid w:val="BFF4CC05"/>
    <w:rsid w:val="BFF5931D"/>
    <w:rsid w:val="BFFA7CD2"/>
    <w:rsid w:val="BFFF3B50"/>
    <w:rsid w:val="BFFF8676"/>
    <w:rsid w:val="BFFFBB39"/>
    <w:rsid w:val="BFFFFD26"/>
    <w:rsid w:val="C37FA0A1"/>
    <w:rsid w:val="C3FA8B82"/>
    <w:rsid w:val="C47B47BA"/>
    <w:rsid w:val="C4AE1208"/>
    <w:rsid w:val="C5FD2772"/>
    <w:rsid w:val="C66C8856"/>
    <w:rsid w:val="C66F89EE"/>
    <w:rsid w:val="C6BF0FC5"/>
    <w:rsid w:val="C7BE40C0"/>
    <w:rsid w:val="C7FAE3BD"/>
    <w:rsid w:val="C7FF266B"/>
    <w:rsid w:val="C8FFFBC6"/>
    <w:rsid w:val="C9FF68EC"/>
    <w:rsid w:val="CA5F8839"/>
    <w:rsid w:val="CACFD5D4"/>
    <w:rsid w:val="CAED3D4F"/>
    <w:rsid w:val="CBEFA57A"/>
    <w:rsid w:val="CC3B00AC"/>
    <w:rsid w:val="CC7D2F66"/>
    <w:rsid w:val="CCF82DDD"/>
    <w:rsid w:val="CD534F13"/>
    <w:rsid w:val="CDB909AB"/>
    <w:rsid w:val="CE45B1F8"/>
    <w:rsid w:val="CE7B052A"/>
    <w:rsid w:val="CEF71805"/>
    <w:rsid w:val="CEFED457"/>
    <w:rsid w:val="CF3EFE87"/>
    <w:rsid w:val="CFAA88C7"/>
    <w:rsid w:val="CFB9426F"/>
    <w:rsid w:val="CFBBF49F"/>
    <w:rsid w:val="CFBFD9D8"/>
    <w:rsid w:val="CFD2AD68"/>
    <w:rsid w:val="CFDBB69B"/>
    <w:rsid w:val="CFDE5E3C"/>
    <w:rsid w:val="CFEF6BE4"/>
    <w:rsid w:val="CFEF9D36"/>
    <w:rsid w:val="CFFE38D0"/>
    <w:rsid w:val="CFFECC9D"/>
    <w:rsid w:val="D07EAD00"/>
    <w:rsid w:val="D1F6782B"/>
    <w:rsid w:val="D3CFDC4B"/>
    <w:rsid w:val="D3DFDCAD"/>
    <w:rsid w:val="D3F783FF"/>
    <w:rsid w:val="D4BD97CD"/>
    <w:rsid w:val="D54A1F7C"/>
    <w:rsid w:val="D56F208C"/>
    <w:rsid w:val="D5D7E377"/>
    <w:rsid w:val="D5EFA4A5"/>
    <w:rsid w:val="D71FB1F4"/>
    <w:rsid w:val="D72E6666"/>
    <w:rsid w:val="D7A782AE"/>
    <w:rsid w:val="D7B62DC2"/>
    <w:rsid w:val="D7BA7D43"/>
    <w:rsid w:val="D7BB8C56"/>
    <w:rsid w:val="D7F6C8AD"/>
    <w:rsid w:val="D7FB32E3"/>
    <w:rsid w:val="D7FEB2D1"/>
    <w:rsid w:val="D7FF7233"/>
    <w:rsid w:val="D8D1183B"/>
    <w:rsid w:val="D9BB7120"/>
    <w:rsid w:val="D9DF4984"/>
    <w:rsid w:val="D9FF2BA0"/>
    <w:rsid w:val="D9FFCC38"/>
    <w:rsid w:val="D9FFF251"/>
    <w:rsid w:val="DAAAD95B"/>
    <w:rsid w:val="DAF6544B"/>
    <w:rsid w:val="DAFBBAA6"/>
    <w:rsid w:val="DAFD2F51"/>
    <w:rsid w:val="DB6F4B01"/>
    <w:rsid w:val="DB761EDB"/>
    <w:rsid w:val="DBB68015"/>
    <w:rsid w:val="DBDDB198"/>
    <w:rsid w:val="DBE27E7E"/>
    <w:rsid w:val="DBE68A81"/>
    <w:rsid w:val="DBF7B1F3"/>
    <w:rsid w:val="DBFB89D0"/>
    <w:rsid w:val="DBFCCB40"/>
    <w:rsid w:val="DBFD9103"/>
    <w:rsid w:val="DCF79B55"/>
    <w:rsid w:val="DD17C1CB"/>
    <w:rsid w:val="DD36A778"/>
    <w:rsid w:val="DD7BCF4E"/>
    <w:rsid w:val="DD7F6A95"/>
    <w:rsid w:val="DD7F807A"/>
    <w:rsid w:val="DDBD1EB3"/>
    <w:rsid w:val="DDBFE114"/>
    <w:rsid w:val="DDD14BBE"/>
    <w:rsid w:val="DDDF521F"/>
    <w:rsid w:val="DDE46ED8"/>
    <w:rsid w:val="DDEE0ACA"/>
    <w:rsid w:val="DDF7A3BE"/>
    <w:rsid w:val="DDFAD08A"/>
    <w:rsid w:val="DDFC5B74"/>
    <w:rsid w:val="DDFF0697"/>
    <w:rsid w:val="DDFF3802"/>
    <w:rsid w:val="DDFFC429"/>
    <w:rsid w:val="DE3B4E99"/>
    <w:rsid w:val="DE3EA845"/>
    <w:rsid w:val="DE7B0AB3"/>
    <w:rsid w:val="DEAB4DB6"/>
    <w:rsid w:val="DEAF77CB"/>
    <w:rsid w:val="DEB63A94"/>
    <w:rsid w:val="DEB71B4C"/>
    <w:rsid w:val="DEE76A9C"/>
    <w:rsid w:val="DEF04C10"/>
    <w:rsid w:val="DEFBB178"/>
    <w:rsid w:val="DEFBD9E6"/>
    <w:rsid w:val="DEFE6C55"/>
    <w:rsid w:val="DF3F1D81"/>
    <w:rsid w:val="DF5FAA10"/>
    <w:rsid w:val="DF6F04A5"/>
    <w:rsid w:val="DF7F5996"/>
    <w:rsid w:val="DF8F1A30"/>
    <w:rsid w:val="DF9CB2C6"/>
    <w:rsid w:val="DFA229D9"/>
    <w:rsid w:val="DFAE3521"/>
    <w:rsid w:val="DFB93657"/>
    <w:rsid w:val="DFBFB7D9"/>
    <w:rsid w:val="DFBFDDB6"/>
    <w:rsid w:val="DFD38805"/>
    <w:rsid w:val="DFD52BC3"/>
    <w:rsid w:val="DFD72DE7"/>
    <w:rsid w:val="DFD7FF53"/>
    <w:rsid w:val="DFDF05F7"/>
    <w:rsid w:val="DFDF8339"/>
    <w:rsid w:val="DFEAFDA0"/>
    <w:rsid w:val="DFEF5D38"/>
    <w:rsid w:val="DFFA0AAB"/>
    <w:rsid w:val="DFFA7D2D"/>
    <w:rsid w:val="DFFBF0B3"/>
    <w:rsid w:val="DFFC0966"/>
    <w:rsid w:val="DFFD8822"/>
    <w:rsid w:val="DFFDAE2A"/>
    <w:rsid w:val="DFFE6E5E"/>
    <w:rsid w:val="DFFF02C7"/>
    <w:rsid w:val="DFFF23B1"/>
    <w:rsid w:val="DFFF3151"/>
    <w:rsid w:val="DFFF3FCE"/>
    <w:rsid w:val="DFFF5CD5"/>
    <w:rsid w:val="E077105E"/>
    <w:rsid w:val="E1D22202"/>
    <w:rsid w:val="E3D6AFE2"/>
    <w:rsid w:val="E3E79637"/>
    <w:rsid w:val="E47EDE9C"/>
    <w:rsid w:val="E5D54F23"/>
    <w:rsid w:val="E5DF3E72"/>
    <w:rsid w:val="E6259106"/>
    <w:rsid w:val="E6534E2A"/>
    <w:rsid w:val="E6874A8E"/>
    <w:rsid w:val="E6AF3232"/>
    <w:rsid w:val="E6F75B15"/>
    <w:rsid w:val="E71E91C5"/>
    <w:rsid w:val="E732D67A"/>
    <w:rsid w:val="E76887B9"/>
    <w:rsid w:val="E76CA1A5"/>
    <w:rsid w:val="E77D6296"/>
    <w:rsid w:val="E7A42174"/>
    <w:rsid w:val="E7D4C8C9"/>
    <w:rsid w:val="E7E78742"/>
    <w:rsid w:val="E7EF2A43"/>
    <w:rsid w:val="E97E8C81"/>
    <w:rsid w:val="E9DFD388"/>
    <w:rsid w:val="EAF8C3E1"/>
    <w:rsid w:val="EB538D9A"/>
    <w:rsid w:val="EBD7C720"/>
    <w:rsid w:val="EBDE708A"/>
    <w:rsid w:val="EBFBA720"/>
    <w:rsid w:val="EBFCF9B5"/>
    <w:rsid w:val="EBFE7F4F"/>
    <w:rsid w:val="EBFFB5E4"/>
    <w:rsid w:val="EC7FC0AC"/>
    <w:rsid w:val="EC9A0DE0"/>
    <w:rsid w:val="ECDE2E8B"/>
    <w:rsid w:val="ED3DC597"/>
    <w:rsid w:val="ED46F6A7"/>
    <w:rsid w:val="ED76863A"/>
    <w:rsid w:val="ED7B1E3F"/>
    <w:rsid w:val="ED7FBA0A"/>
    <w:rsid w:val="ED894F1E"/>
    <w:rsid w:val="ED8EF91C"/>
    <w:rsid w:val="EDC54A11"/>
    <w:rsid w:val="EDDBB671"/>
    <w:rsid w:val="EDFF2CFA"/>
    <w:rsid w:val="EDFF828F"/>
    <w:rsid w:val="EE5C9FC1"/>
    <w:rsid w:val="EE5FE59E"/>
    <w:rsid w:val="EEBDADD7"/>
    <w:rsid w:val="EEBF7D5B"/>
    <w:rsid w:val="EECF721A"/>
    <w:rsid w:val="EEE578B6"/>
    <w:rsid w:val="EEF51557"/>
    <w:rsid w:val="EEF6F99B"/>
    <w:rsid w:val="EEF7BB08"/>
    <w:rsid w:val="EEFEBC56"/>
    <w:rsid w:val="EEFF9BC9"/>
    <w:rsid w:val="EEFFF1FB"/>
    <w:rsid w:val="EF4EF839"/>
    <w:rsid w:val="EF6DD09C"/>
    <w:rsid w:val="EF77A607"/>
    <w:rsid w:val="EF7BF9CD"/>
    <w:rsid w:val="EF7F45FB"/>
    <w:rsid w:val="EF97C75E"/>
    <w:rsid w:val="EF9F532C"/>
    <w:rsid w:val="EFA30D95"/>
    <w:rsid w:val="EFAB2FA1"/>
    <w:rsid w:val="EFACD9A4"/>
    <w:rsid w:val="EFAD366E"/>
    <w:rsid w:val="EFAFA9A4"/>
    <w:rsid w:val="EFB9FCFE"/>
    <w:rsid w:val="EFBD63F6"/>
    <w:rsid w:val="EFBF0490"/>
    <w:rsid w:val="EFDE0B4D"/>
    <w:rsid w:val="EFDE578E"/>
    <w:rsid w:val="EFDE9EDA"/>
    <w:rsid w:val="EFE3A991"/>
    <w:rsid w:val="EFEC01CB"/>
    <w:rsid w:val="EFEE9AD8"/>
    <w:rsid w:val="EFEF3C0D"/>
    <w:rsid w:val="EFF572FC"/>
    <w:rsid w:val="EFF6B355"/>
    <w:rsid w:val="EFF70CFE"/>
    <w:rsid w:val="EFF7415D"/>
    <w:rsid w:val="EFFE7C44"/>
    <w:rsid w:val="EFFF9308"/>
    <w:rsid w:val="EFFFEFBB"/>
    <w:rsid w:val="F1780A67"/>
    <w:rsid w:val="F1FF4B96"/>
    <w:rsid w:val="F1FFA7D2"/>
    <w:rsid w:val="F2E7E86B"/>
    <w:rsid w:val="F3BE9F44"/>
    <w:rsid w:val="F3BFB635"/>
    <w:rsid w:val="F3CDC37D"/>
    <w:rsid w:val="F3D779A1"/>
    <w:rsid w:val="F3DF31FE"/>
    <w:rsid w:val="F3FD77A1"/>
    <w:rsid w:val="F3FE0034"/>
    <w:rsid w:val="F3FF02D6"/>
    <w:rsid w:val="F44B9080"/>
    <w:rsid w:val="F44F4A1C"/>
    <w:rsid w:val="F4B7643B"/>
    <w:rsid w:val="F4FAABEB"/>
    <w:rsid w:val="F5696928"/>
    <w:rsid w:val="F57AFA1A"/>
    <w:rsid w:val="F57FE1E0"/>
    <w:rsid w:val="F5BDDFD7"/>
    <w:rsid w:val="F5BFF9EF"/>
    <w:rsid w:val="F5CB4ADD"/>
    <w:rsid w:val="F5E24840"/>
    <w:rsid w:val="F5E76745"/>
    <w:rsid w:val="F5EF4B9A"/>
    <w:rsid w:val="F5F9BFEF"/>
    <w:rsid w:val="F5FFCB56"/>
    <w:rsid w:val="F6533A64"/>
    <w:rsid w:val="F6790FCF"/>
    <w:rsid w:val="F67F82BC"/>
    <w:rsid w:val="F6B55C95"/>
    <w:rsid w:val="F6B5E09A"/>
    <w:rsid w:val="F6BF68E7"/>
    <w:rsid w:val="F6DE97BC"/>
    <w:rsid w:val="F6E35276"/>
    <w:rsid w:val="F6FAF39A"/>
    <w:rsid w:val="F6FEC3FF"/>
    <w:rsid w:val="F6FF1E20"/>
    <w:rsid w:val="F6FF2D53"/>
    <w:rsid w:val="F737457B"/>
    <w:rsid w:val="F7391049"/>
    <w:rsid w:val="F74E9DFF"/>
    <w:rsid w:val="F7747749"/>
    <w:rsid w:val="F7792223"/>
    <w:rsid w:val="F79E504C"/>
    <w:rsid w:val="F7AB36C4"/>
    <w:rsid w:val="F7B717C2"/>
    <w:rsid w:val="F7BDAF22"/>
    <w:rsid w:val="F7D544BB"/>
    <w:rsid w:val="F7D72481"/>
    <w:rsid w:val="F7DD5C0D"/>
    <w:rsid w:val="F7E48F56"/>
    <w:rsid w:val="F7EBCE83"/>
    <w:rsid w:val="F7EF5AB9"/>
    <w:rsid w:val="F7F7836C"/>
    <w:rsid w:val="F7F7D836"/>
    <w:rsid w:val="F7FABA03"/>
    <w:rsid w:val="F7FBA02B"/>
    <w:rsid w:val="F7FEC2C2"/>
    <w:rsid w:val="F7FF5C7F"/>
    <w:rsid w:val="F7FFCC41"/>
    <w:rsid w:val="F7FFD382"/>
    <w:rsid w:val="F7FFEB57"/>
    <w:rsid w:val="F8AB000A"/>
    <w:rsid w:val="F8BB0621"/>
    <w:rsid w:val="F8BE14C9"/>
    <w:rsid w:val="F8BF6C48"/>
    <w:rsid w:val="F9168A17"/>
    <w:rsid w:val="F95FF5F6"/>
    <w:rsid w:val="F9A7BFDC"/>
    <w:rsid w:val="F9AF91F8"/>
    <w:rsid w:val="F9D6352A"/>
    <w:rsid w:val="F9DA27BE"/>
    <w:rsid w:val="F9E71638"/>
    <w:rsid w:val="F9FB1934"/>
    <w:rsid w:val="F9FF5352"/>
    <w:rsid w:val="F9FF8B4F"/>
    <w:rsid w:val="FA1DA2C7"/>
    <w:rsid w:val="FA6FBC87"/>
    <w:rsid w:val="FA77856E"/>
    <w:rsid w:val="FA7BE064"/>
    <w:rsid w:val="FAB392C4"/>
    <w:rsid w:val="FAC7925C"/>
    <w:rsid w:val="FADDD6D3"/>
    <w:rsid w:val="FAEE7668"/>
    <w:rsid w:val="FAFADF4C"/>
    <w:rsid w:val="FAFE2E1A"/>
    <w:rsid w:val="FB171DC7"/>
    <w:rsid w:val="FB5AACF9"/>
    <w:rsid w:val="FB736DF8"/>
    <w:rsid w:val="FB7DD9A6"/>
    <w:rsid w:val="FB8E25BE"/>
    <w:rsid w:val="FB97DF22"/>
    <w:rsid w:val="FB9FE7CC"/>
    <w:rsid w:val="FBAB2B5E"/>
    <w:rsid w:val="FBB26A49"/>
    <w:rsid w:val="FBB6A374"/>
    <w:rsid w:val="FBBD5AD5"/>
    <w:rsid w:val="FBBEDF38"/>
    <w:rsid w:val="FBBF41FD"/>
    <w:rsid w:val="FBCF5B63"/>
    <w:rsid w:val="FBD9CEFD"/>
    <w:rsid w:val="FBDE22E4"/>
    <w:rsid w:val="FBDF7479"/>
    <w:rsid w:val="FBE79622"/>
    <w:rsid w:val="FBE7DE68"/>
    <w:rsid w:val="FBEF7A9B"/>
    <w:rsid w:val="FBF54335"/>
    <w:rsid w:val="FBFAE00F"/>
    <w:rsid w:val="FBFB1F1B"/>
    <w:rsid w:val="FBFBF479"/>
    <w:rsid w:val="FBFEB954"/>
    <w:rsid w:val="FBFF3C40"/>
    <w:rsid w:val="FBFF40DD"/>
    <w:rsid w:val="FBFFAFD2"/>
    <w:rsid w:val="FBFFD417"/>
    <w:rsid w:val="FBFFEEF4"/>
    <w:rsid w:val="FC1391F0"/>
    <w:rsid w:val="FC5DEF42"/>
    <w:rsid w:val="FC77F08C"/>
    <w:rsid w:val="FC7E73C7"/>
    <w:rsid w:val="FC9AC5D5"/>
    <w:rsid w:val="FCB71F73"/>
    <w:rsid w:val="FCBDB8E4"/>
    <w:rsid w:val="FCF9BBE0"/>
    <w:rsid w:val="FCFD862A"/>
    <w:rsid w:val="FCFF55AB"/>
    <w:rsid w:val="FCFFB1ED"/>
    <w:rsid w:val="FD56B257"/>
    <w:rsid w:val="FD6F2252"/>
    <w:rsid w:val="FD7603E3"/>
    <w:rsid w:val="FD924ECB"/>
    <w:rsid w:val="FD98348C"/>
    <w:rsid w:val="FD9DA6FA"/>
    <w:rsid w:val="FDAAF644"/>
    <w:rsid w:val="FDBA4FE1"/>
    <w:rsid w:val="FDBD6614"/>
    <w:rsid w:val="FDCAF92E"/>
    <w:rsid w:val="FDD43780"/>
    <w:rsid w:val="FDD5AB0B"/>
    <w:rsid w:val="FDDFE3EB"/>
    <w:rsid w:val="FDDFF88D"/>
    <w:rsid w:val="FDEA9085"/>
    <w:rsid w:val="FDEB08E5"/>
    <w:rsid w:val="FDED00E2"/>
    <w:rsid w:val="FDEE25B5"/>
    <w:rsid w:val="FDEFD7E5"/>
    <w:rsid w:val="FDF78A6E"/>
    <w:rsid w:val="FDF86B4A"/>
    <w:rsid w:val="FDFB0B41"/>
    <w:rsid w:val="FDFBEF6B"/>
    <w:rsid w:val="FDFC5C1C"/>
    <w:rsid w:val="FDFCFAE9"/>
    <w:rsid w:val="FDFD8BCD"/>
    <w:rsid w:val="FDFF41CD"/>
    <w:rsid w:val="FDFFA398"/>
    <w:rsid w:val="FE5ABDE3"/>
    <w:rsid w:val="FE6D77D1"/>
    <w:rsid w:val="FE6FC14E"/>
    <w:rsid w:val="FE7B9494"/>
    <w:rsid w:val="FE7C2F77"/>
    <w:rsid w:val="FE7F2185"/>
    <w:rsid w:val="FE7F6984"/>
    <w:rsid w:val="FE9F82FA"/>
    <w:rsid w:val="FEB4AF2E"/>
    <w:rsid w:val="FEB53F30"/>
    <w:rsid w:val="FEBEE6F4"/>
    <w:rsid w:val="FEBF6078"/>
    <w:rsid w:val="FECF514B"/>
    <w:rsid w:val="FEEE432B"/>
    <w:rsid w:val="FEEF9DF6"/>
    <w:rsid w:val="FEF33BF9"/>
    <w:rsid w:val="FEF71221"/>
    <w:rsid w:val="FEFB6128"/>
    <w:rsid w:val="FEFB8EDB"/>
    <w:rsid w:val="FEFD1D54"/>
    <w:rsid w:val="FEFD4F2D"/>
    <w:rsid w:val="FEFEBC03"/>
    <w:rsid w:val="FEFF4798"/>
    <w:rsid w:val="FEFF5A04"/>
    <w:rsid w:val="FEFFAB64"/>
    <w:rsid w:val="FF2BEB16"/>
    <w:rsid w:val="FF3AE403"/>
    <w:rsid w:val="FF3B6D91"/>
    <w:rsid w:val="FF518636"/>
    <w:rsid w:val="FF5C17EF"/>
    <w:rsid w:val="FF681F96"/>
    <w:rsid w:val="FF6E738C"/>
    <w:rsid w:val="FF6EC013"/>
    <w:rsid w:val="FF6F11BF"/>
    <w:rsid w:val="FF75272F"/>
    <w:rsid w:val="FF77F07A"/>
    <w:rsid w:val="FF79B4C9"/>
    <w:rsid w:val="FF7BDDED"/>
    <w:rsid w:val="FF7C8ACF"/>
    <w:rsid w:val="FF7DC707"/>
    <w:rsid w:val="FF7F5C98"/>
    <w:rsid w:val="FF8F93BE"/>
    <w:rsid w:val="FF96B206"/>
    <w:rsid w:val="FF9BDAAF"/>
    <w:rsid w:val="FF9E7728"/>
    <w:rsid w:val="FFA60A48"/>
    <w:rsid w:val="FFABCF0F"/>
    <w:rsid w:val="FFB29A75"/>
    <w:rsid w:val="FFB6459B"/>
    <w:rsid w:val="FFB72D20"/>
    <w:rsid w:val="FFBB31F0"/>
    <w:rsid w:val="FFBB49E2"/>
    <w:rsid w:val="FFBE799B"/>
    <w:rsid w:val="FFBEBBD2"/>
    <w:rsid w:val="FFBF135C"/>
    <w:rsid w:val="FFBF6656"/>
    <w:rsid w:val="FFBFE0AC"/>
    <w:rsid w:val="FFBFE19A"/>
    <w:rsid w:val="FFC7ABAA"/>
    <w:rsid w:val="FFCA738C"/>
    <w:rsid w:val="FFCBBFE6"/>
    <w:rsid w:val="FFCE4E6E"/>
    <w:rsid w:val="FFCE5495"/>
    <w:rsid w:val="FFD3D5C8"/>
    <w:rsid w:val="FFD7C7A8"/>
    <w:rsid w:val="FFDA0A51"/>
    <w:rsid w:val="FFDE817F"/>
    <w:rsid w:val="FFDF8A6F"/>
    <w:rsid w:val="FFE17BF2"/>
    <w:rsid w:val="FFE53316"/>
    <w:rsid w:val="FFEDCDE2"/>
    <w:rsid w:val="FFEED1EE"/>
    <w:rsid w:val="FFEFAFE0"/>
    <w:rsid w:val="FFEFB140"/>
    <w:rsid w:val="FFF1BFC1"/>
    <w:rsid w:val="FFF21A4D"/>
    <w:rsid w:val="FFF370C2"/>
    <w:rsid w:val="FFF57A32"/>
    <w:rsid w:val="FFF5B092"/>
    <w:rsid w:val="FFF5CF97"/>
    <w:rsid w:val="FFF74F5F"/>
    <w:rsid w:val="FFF77A84"/>
    <w:rsid w:val="FFF7E073"/>
    <w:rsid w:val="FFF7FBE2"/>
    <w:rsid w:val="FFF89599"/>
    <w:rsid w:val="FFF90F9D"/>
    <w:rsid w:val="FFF92110"/>
    <w:rsid w:val="FFF9DEA8"/>
    <w:rsid w:val="FFFA0805"/>
    <w:rsid w:val="FFFB0253"/>
    <w:rsid w:val="FFFB0374"/>
    <w:rsid w:val="FFFB0654"/>
    <w:rsid w:val="FFFBA821"/>
    <w:rsid w:val="FFFBDCAD"/>
    <w:rsid w:val="FFFCF9C3"/>
    <w:rsid w:val="FFFD1577"/>
    <w:rsid w:val="FFFD20E5"/>
    <w:rsid w:val="FFFD21DC"/>
    <w:rsid w:val="FFFD5A56"/>
    <w:rsid w:val="FFFDD7E3"/>
    <w:rsid w:val="FFFEE6F0"/>
    <w:rsid w:val="FFFEEDBA"/>
    <w:rsid w:val="FFFF1B6C"/>
    <w:rsid w:val="FFFF4882"/>
    <w:rsid w:val="FFFF9991"/>
    <w:rsid w:val="FFFFF0CB"/>
    <w:rsid w:val="FFFFF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4">
    <w:name w:val="heading 1"/>
    <w:basedOn w:val="1"/>
    <w:next w:val="1"/>
    <w:link w:val="40"/>
    <w:qFormat/>
    <w:uiPriority w:val="9"/>
    <w:pPr>
      <w:spacing w:before="27"/>
      <w:ind w:left="1352"/>
      <w:jc w:val="center"/>
      <w:outlineLvl w:val="0"/>
    </w:pPr>
    <w:rPr>
      <w:rFonts w:ascii="黑体" w:hAnsi="黑体" w:eastAsia="黑体" w:cs="黑体"/>
      <w:sz w:val="52"/>
      <w:szCs w:val="52"/>
    </w:rPr>
  </w:style>
  <w:style w:type="paragraph" w:styleId="5">
    <w:name w:val="heading 2"/>
    <w:basedOn w:val="1"/>
    <w:next w:val="1"/>
    <w:link w:val="41"/>
    <w:qFormat/>
    <w:uiPriority w:val="9"/>
    <w:pPr>
      <w:spacing w:before="38"/>
      <w:ind w:left="320"/>
      <w:outlineLvl w:val="1"/>
    </w:pPr>
    <w:rPr>
      <w:rFonts w:ascii="黑体" w:hAnsi="黑体" w:eastAsia="黑体" w:cs="黑体"/>
      <w:sz w:val="44"/>
      <w:szCs w:val="44"/>
    </w:rPr>
  </w:style>
  <w:style w:type="paragraph" w:styleId="6">
    <w:name w:val="heading 3"/>
    <w:basedOn w:val="1"/>
    <w:next w:val="1"/>
    <w:link w:val="42"/>
    <w:qFormat/>
    <w:uiPriority w:val="9"/>
    <w:pPr>
      <w:spacing w:before="229"/>
      <w:ind w:left="956"/>
      <w:outlineLvl w:val="2"/>
    </w:pPr>
    <w:rPr>
      <w:rFonts w:ascii="仿宋" w:hAnsi="仿宋" w:eastAsia="仿宋" w:cs="仿宋"/>
      <w:b/>
      <w:bCs/>
      <w:sz w:val="32"/>
      <w:szCs w:val="32"/>
    </w:rPr>
  </w:style>
  <w:style w:type="paragraph" w:styleId="7">
    <w:name w:val="heading 4"/>
    <w:basedOn w:val="1"/>
    <w:next w:val="1"/>
    <w:link w:val="43"/>
    <w:qFormat/>
    <w:uiPriority w:val="0"/>
    <w:pPr>
      <w:spacing w:before="190"/>
      <w:ind w:left="447"/>
      <w:outlineLvl w:val="3"/>
    </w:pPr>
    <w:rPr>
      <w:sz w:val="32"/>
      <w:szCs w:val="32"/>
    </w:rPr>
  </w:style>
  <w:style w:type="paragraph" w:styleId="8">
    <w:name w:val="heading 5"/>
    <w:basedOn w:val="1"/>
    <w:next w:val="1"/>
    <w:link w:val="44"/>
    <w:qFormat/>
    <w:uiPriority w:val="0"/>
    <w:pPr>
      <w:ind w:left="1142" w:hanging="226"/>
      <w:outlineLvl w:val="4"/>
    </w:pPr>
    <w:rPr>
      <w:b/>
      <w:bCs/>
      <w:sz w:val="30"/>
      <w:szCs w:val="30"/>
    </w:rPr>
  </w:style>
  <w:style w:type="paragraph" w:styleId="9">
    <w:name w:val="heading 6"/>
    <w:basedOn w:val="1"/>
    <w:next w:val="10"/>
    <w:link w:val="37"/>
    <w:qFormat/>
    <w:uiPriority w:val="0"/>
    <w:pPr>
      <w:keepNext/>
      <w:keepLines/>
      <w:tabs>
        <w:tab w:val="left" w:pos="2520"/>
      </w:tabs>
      <w:autoSpaceDE/>
      <w:autoSpaceDN/>
      <w:spacing w:before="240" w:after="64" w:line="320" w:lineRule="auto"/>
      <w:ind w:left="1134" w:hanging="1134"/>
      <w:jc w:val="both"/>
      <w:outlineLvl w:val="5"/>
    </w:pPr>
    <w:rPr>
      <w:rFonts w:ascii="Arial" w:hAnsi="Arial" w:eastAsia="黑体" w:cs="Times New Roman"/>
      <w:b/>
      <w:kern w:val="2"/>
      <w:sz w:val="24"/>
      <w:szCs w:val="24"/>
      <w:lang w:val="en-US" w:bidi="ar-SA"/>
    </w:rPr>
  </w:style>
  <w:style w:type="paragraph" w:styleId="11">
    <w:name w:val="heading 7"/>
    <w:basedOn w:val="1"/>
    <w:next w:val="1"/>
    <w:link w:val="45"/>
    <w:semiHidden/>
    <w:unhideWhenUsed/>
    <w:qFormat/>
    <w:uiPriority w:val="9"/>
    <w:pPr>
      <w:keepNext/>
      <w:keepLines/>
      <w:spacing w:before="240" w:after="64" w:line="320" w:lineRule="auto"/>
      <w:outlineLvl w:val="6"/>
    </w:pPr>
    <w:rPr>
      <w:rFonts w:asciiTheme="minorHAnsi" w:hAnsiTheme="minorHAnsi" w:eastAsiaTheme="minorEastAsia" w:cstheme="minorBidi"/>
      <w:b/>
      <w:bCs/>
      <w:sz w:val="24"/>
      <w:szCs w:val="24"/>
      <w:lang w:val="en-US" w:eastAsia="en-US" w:bidi="ar-SA"/>
    </w:rPr>
  </w:style>
  <w:style w:type="paragraph" w:styleId="12">
    <w:name w:val="heading 8"/>
    <w:basedOn w:val="1"/>
    <w:next w:val="1"/>
    <w:link w:val="46"/>
    <w:semiHidden/>
    <w:unhideWhenUsed/>
    <w:qFormat/>
    <w:uiPriority w:val="9"/>
    <w:pPr>
      <w:keepNext/>
      <w:keepLines/>
      <w:spacing w:before="240" w:after="64" w:line="320" w:lineRule="auto"/>
      <w:outlineLvl w:val="7"/>
    </w:pPr>
    <w:rPr>
      <w:rFonts w:ascii="Calibri Light" w:hAnsi="Calibri Light" w:eastAsia="宋体" w:cs="Times New Roman"/>
      <w:sz w:val="24"/>
      <w:szCs w:val="24"/>
      <w:lang w:val="en-US" w:eastAsia="en-US"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widowControl w:val="0"/>
      <w:spacing w:after="120" w:afterLines="0"/>
      <w:ind w:firstLine="420" w:firstLineChars="100"/>
      <w:jc w:val="both"/>
    </w:pPr>
    <w:rPr>
      <w:rFonts w:ascii="Times New Roman" w:hAnsi="Times New Roman" w:eastAsia="宋体" w:cs="Times New Roman"/>
      <w:kern w:val="2"/>
      <w:sz w:val="21"/>
      <w:lang w:val="en-US" w:eastAsia="zh-CN" w:bidi="ar-SA"/>
    </w:rPr>
  </w:style>
  <w:style w:type="paragraph" w:styleId="3">
    <w:name w:val="Body Text"/>
    <w:basedOn w:val="1"/>
    <w:next w:val="1"/>
    <w:link w:val="70"/>
    <w:qFormat/>
    <w:uiPriority w:val="99"/>
    <w:rPr>
      <w:sz w:val="30"/>
      <w:szCs w:val="30"/>
    </w:rPr>
  </w:style>
  <w:style w:type="paragraph" w:styleId="10">
    <w:name w:val="Normal Indent"/>
    <w:basedOn w:val="1"/>
    <w:semiHidden/>
    <w:unhideWhenUsed/>
    <w:qFormat/>
    <w:uiPriority w:val="99"/>
    <w:pPr>
      <w:ind w:firstLine="420" w:firstLineChars="200"/>
    </w:pPr>
  </w:style>
  <w:style w:type="paragraph" w:styleId="13">
    <w:name w:val="caption"/>
    <w:basedOn w:val="1"/>
    <w:next w:val="1"/>
    <w:link w:val="57"/>
    <w:qFormat/>
    <w:uiPriority w:val="0"/>
    <w:pPr>
      <w:keepNext/>
      <w:autoSpaceDE/>
      <w:autoSpaceDN/>
      <w:snapToGrid w:val="0"/>
      <w:jc w:val="center"/>
    </w:pPr>
    <w:rPr>
      <w:rFonts w:ascii="Times New Roman" w:hAnsi="Times New Roman" w:eastAsia="宋体" w:cs="Times New Roman"/>
      <w:b/>
      <w:kern w:val="2"/>
      <w:sz w:val="24"/>
      <w:szCs w:val="20"/>
      <w:lang w:val="en-US" w:bidi="ar-SA"/>
    </w:rPr>
  </w:style>
  <w:style w:type="paragraph" w:styleId="14">
    <w:name w:val="Document Map"/>
    <w:basedOn w:val="1"/>
    <w:link w:val="86"/>
    <w:semiHidden/>
    <w:unhideWhenUsed/>
    <w:qFormat/>
    <w:uiPriority w:val="99"/>
    <w:rPr>
      <w:rFonts w:ascii="Microsoft YaHei UI" w:eastAsia="Microsoft YaHei UI"/>
      <w:sz w:val="18"/>
      <w:szCs w:val="18"/>
    </w:rPr>
  </w:style>
  <w:style w:type="paragraph" w:styleId="15">
    <w:name w:val="annotation text"/>
    <w:basedOn w:val="1"/>
    <w:link w:val="87"/>
    <w:semiHidden/>
    <w:unhideWhenUsed/>
    <w:qFormat/>
    <w:uiPriority w:val="99"/>
  </w:style>
  <w:style w:type="paragraph" w:styleId="16">
    <w:name w:val="Body Text Indent"/>
    <w:basedOn w:val="1"/>
    <w:link w:val="85"/>
    <w:semiHidden/>
    <w:unhideWhenUsed/>
    <w:qFormat/>
    <w:uiPriority w:val="99"/>
    <w:pPr>
      <w:spacing w:after="120"/>
      <w:ind w:left="420" w:leftChars="200"/>
    </w:pPr>
  </w:style>
  <w:style w:type="paragraph" w:styleId="17">
    <w:name w:val="toc 3"/>
    <w:basedOn w:val="1"/>
    <w:next w:val="1"/>
    <w:semiHidden/>
    <w:unhideWhenUsed/>
    <w:qFormat/>
    <w:uiPriority w:val="39"/>
    <w:pPr>
      <w:ind w:left="840" w:leftChars="400"/>
    </w:pPr>
  </w:style>
  <w:style w:type="paragraph" w:styleId="18">
    <w:name w:val="Plain Text"/>
    <w:basedOn w:val="1"/>
    <w:qFormat/>
    <w:uiPriority w:val="0"/>
    <w:rPr>
      <w:rFonts w:ascii="宋体" w:hAnsi="Courier New" w:cs="Courier New"/>
      <w:szCs w:val="21"/>
    </w:rPr>
  </w:style>
  <w:style w:type="paragraph" w:styleId="19">
    <w:name w:val="Date"/>
    <w:basedOn w:val="1"/>
    <w:next w:val="1"/>
    <w:link w:val="59"/>
    <w:semiHidden/>
    <w:unhideWhenUsed/>
    <w:qFormat/>
    <w:uiPriority w:val="99"/>
    <w:pPr>
      <w:ind w:left="100" w:leftChars="2500"/>
    </w:pPr>
    <w:rPr>
      <w:rFonts w:asciiTheme="minorHAnsi" w:hAnsiTheme="minorHAnsi" w:eastAsiaTheme="minorEastAsia" w:cstheme="minorBidi"/>
      <w:lang w:val="en-US" w:eastAsia="en-US" w:bidi="ar-SA"/>
    </w:rPr>
  </w:style>
  <w:style w:type="paragraph" w:styleId="20">
    <w:name w:val="Balloon Text"/>
    <w:basedOn w:val="1"/>
    <w:link w:val="84"/>
    <w:semiHidden/>
    <w:unhideWhenUsed/>
    <w:qFormat/>
    <w:uiPriority w:val="99"/>
    <w:rPr>
      <w:sz w:val="18"/>
      <w:szCs w:val="18"/>
    </w:rPr>
  </w:style>
  <w:style w:type="paragraph" w:styleId="21">
    <w:name w:val="footer"/>
    <w:basedOn w:val="1"/>
    <w:link w:val="82"/>
    <w:unhideWhenUsed/>
    <w:qFormat/>
    <w:uiPriority w:val="99"/>
    <w:pPr>
      <w:tabs>
        <w:tab w:val="center" w:pos="4153"/>
        <w:tab w:val="right" w:pos="8306"/>
      </w:tabs>
      <w:snapToGrid w:val="0"/>
    </w:pPr>
    <w:rPr>
      <w:sz w:val="18"/>
      <w:szCs w:val="18"/>
    </w:rPr>
  </w:style>
  <w:style w:type="paragraph" w:styleId="22">
    <w:name w:val="header"/>
    <w:basedOn w:val="1"/>
    <w:link w:val="8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200"/>
      <w:ind w:left="876"/>
    </w:pPr>
    <w:rPr>
      <w:rFonts w:ascii="黑体" w:hAnsi="黑体" w:eastAsia="黑体" w:cs="黑体"/>
      <w:sz w:val="28"/>
      <w:szCs w:val="28"/>
    </w:rPr>
  </w:style>
  <w:style w:type="paragraph" w:styleId="24">
    <w:name w:val="toc 2"/>
    <w:basedOn w:val="1"/>
    <w:next w:val="1"/>
    <w:qFormat/>
    <w:uiPriority w:val="39"/>
    <w:pPr>
      <w:spacing w:before="200"/>
      <w:ind w:left="1436"/>
    </w:pPr>
    <w:rPr>
      <w:rFonts w:ascii="楷体_GB2312" w:hAnsi="楷体_GB2312" w:eastAsia="楷体_GB2312" w:cs="楷体_GB2312"/>
      <w:sz w:val="28"/>
      <w:szCs w:val="28"/>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bidi="ar-SA"/>
    </w:rPr>
  </w:style>
  <w:style w:type="paragraph" w:styleId="26">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val="en-US" w:bidi="ar-SA"/>
    </w:rPr>
  </w:style>
  <w:style w:type="paragraph" w:styleId="27">
    <w:name w:val="Body Text First Indent 2"/>
    <w:basedOn w:val="16"/>
    <w:qFormat/>
    <w:uiPriority w:val="99"/>
    <w:pPr>
      <w:spacing w:after="0" w:line="360" w:lineRule="auto"/>
      <w:ind w:left="0" w:leftChars="0" w:firstLine="420" w:firstLineChars="200"/>
    </w:pPr>
    <w:rPr>
      <w:rFonts w:ascii="宋体" w:hAnsi="宋体" w:eastAsia="宋体" w:cs="Times New Roman"/>
      <w:kern w:val="0"/>
      <w:sz w:val="20"/>
      <w:szCs w:val="20"/>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semiHidden/>
    <w:qFormat/>
    <w:uiPriority w:val="0"/>
  </w:style>
  <w:style w:type="character" w:styleId="32">
    <w:name w:val="Hyperlink"/>
    <w:basedOn w:val="30"/>
    <w:unhideWhenUsed/>
    <w:qFormat/>
    <w:uiPriority w:val="99"/>
    <w:rPr>
      <w:color w:val="0000FF" w:themeColor="hyperlink"/>
      <w:u w:val="single"/>
      <w14:textFill>
        <w14:solidFill>
          <w14:schemeClr w14:val="hlink"/>
        </w14:solidFill>
      </w14:textFill>
    </w:rPr>
  </w:style>
  <w:style w:type="character" w:styleId="33">
    <w:name w:val="annotation reference"/>
    <w:basedOn w:val="30"/>
    <w:semiHidden/>
    <w:unhideWhenUsed/>
    <w:qFormat/>
    <w:uiPriority w:val="99"/>
    <w:rPr>
      <w:sz w:val="21"/>
      <w:szCs w:val="21"/>
    </w:rPr>
  </w:style>
  <w:style w:type="table" w:customStyle="1" w:styleId="34">
    <w:name w:val="Table Normal"/>
    <w:semiHidden/>
    <w:unhideWhenUsed/>
    <w:qFormat/>
    <w:uiPriority w:val="2"/>
    <w:tblPr>
      <w:tblCellMar>
        <w:top w:w="0" w:type="dxa"/>
        <w:left w:w="0" w:type="dxa"/>
        <w:bottom w:w="0" w:type="dxa"/>
        <w:right w:w="0" w:type="dxa"/>
      </w:tblCellMar>
    </w:tblPr>
  </w:style>
  <w:style w:type="paragraph" w:styleId="35">
    <w:name w:val="List Paragraph"/>
    <w:basedOn w:val="1"/>
    <w:qFormat/>
    <w:uiPriority w:val="34"/>
    <w:pPr>
      <w:ind w:left="1142" w:hanging="226"/>
    </w:pPr>
  </w:style>
  <w:style w:type="paragraph" w:customStyle="1" w:styleId="36">
    <w:name w:val="Table Paragraph"/>
    <w:basedOn w:val="1"/>
    <w:qFormat/>
    <w:uiPriority w:val="1"/>
    <w:rPr>
      <w:rFonts w:ascii="仿宋" w:hAnsi="仿宋" w:eastAsia="仿宋" w:cs="仿宋"/>
    </w:rPr>
  </w:style>
  <w:style w:type="character" w:customStyle="1" w:styleId="37">
    <w:name w:val="标题 6 字符"/>
    <w:basedOn w:val="30"/>
    <w:link w:val="9"/>
    <w:qFormat/>
    <w:uiPriority w:val="0"/>
    <w:rPr>
      <w:rFonts w:ascii="Arial" w:hAnsi="Arial" w:eastAsia="黑体" w:cs="Times New Roman"/>
      <w:b/>
      <w:kern w:val="2"/>
      <w:sz w:val="24"/>
      <w:szCs w:val="24"/>
      <w:lang w:eastAsia="zh-CN"/>
    </w:rPr>
  </w:style>
  <w:style w:type="paragraph" w:customStyle="1" w:styleId="38">
    <w:name w:val="标题 71"/>
    <w:basedOn w:val="1"/>
    <w:next w:val="1"/>
    <w:unhideWhenUsed/>
    <w:qFormat/>
    <w:uiPriority w:val="9"/>
    <w:pPr>
      <w:keepNext/>
      <w:keepLines/>
      <w:autoSpaceDE/>
      <w:autoSpaceDN/>
      <w:spacing w:before="240" w:after="64" w:line="320" w:lineRule="auto"/>
      <w:jc w:val="both"/>
      <w:outlineLvl w:val="6"/>
    </w:pPr>
    <w:rPr>
      <w:rFonts w:ascii="Calibri" w:hAnsi="Calibri" w:eastAsia="宋体" w:cs="Times New Roman"/>
      <w:b/>
      <w:bCs/>
      <w:kern w:val="2"/>
      <w:sz w:val="24"/>
      <w:szCs w:val="24"/>
      <w:lang w:val="en-US" w:bidi="ar-SA"/>
    </w:rPr>
  </w:style>
  <w:style w:type="paragraph" w:customStyle="1" w:styleId="39">
    <w:name w:val="标题 81"/>
    <w:basedOn w:val="1"/>
    <w:next w:val="1"/>
    <w:unhideWhenUsed/>
    <w:qFormat/>
    <w:uiPriority w:val="9"/>
    <w:pPr>
      <w:keepNext/>
      <w:keepLines/>
      <w:autoSpaceDE/>
      <w:autoSpaceDN/>
      <w:spacing w:before="240" w:after="64" w:line="320" w:lineRule="auto"/>
      <w:jc w:val="both"/>
      <w:outlineLvl w:val="7"/>
    </w:pPr>
    <w:rPr>
      <w:rFonts w:ascii="Calibri Light" w:hAnsi="Calibri Light" w:eastAsia="宋体" w:cs="Times New Roman"/>
      <w:kern w:val="2"/>
      <w:sz w:val="24"/>
      <w:szCs w:val="24"/>
      <w:lang w:val="en-US" w:bidi="ar-SA"/>
    </w:rPr>
  </w:style>
  <w:style w:type="character" w:customStyle="1" w:styleId="40">
    <w:name w:val="标题 1 字符"/>
    <w:basedOn w:val="30"/>
    <w:link w:val="4"/>
    <w:qFormat/>
    <w:uiPriority w:val="9"/>
    <w:rPr>
      <w:rFonts w:ascii="黑体" w:hAnsi="黑体" w:eastAsia="黑体" w:cs="黑体"/>
      <w:sz w:val="52"/>
      <w:szCs w:val="52"/>
      <w:lang w:val="zh-CN" w:eastAsia="zh-CN" w:bidi="zh-CN"/>
    </w:rPr>
  </w:style>
  <w:style w:type="character" w:customStyle="1" w:styleId="41">
    <w:name w:val="标题 2 字符"/>
    <w:basedOn w:val="30"/>
    <w:link w:val="5"/>
    <w:qFormat/>
    <w:uiPriority w:val="9"/>
    <w:rPr>
      <w:rFonts w:ascii="黑体" w:hAnsi="黑体" w:eastAsia="黑体" w:cs="黑体"/>
      <w:sz w:val="44"/>
      <w:szCs w:val="44"/>
      <w:lang w:val="zh-CN" w:eastAsia="zh-CN" w:bidi="zh-CN"/>
    </w:rPr>
  </w:style>
  <w:style w:type="character" w:customStyle="1" w:styleId="42">
    <w:name w:val="标题 3 字符"/>
    <w:basedOn w:val="30"/>
    <w:link w:val="6"/>
    <w:qFormat/>
    <w:uiPriority w:val="9"/>
    <w:rPr>
      <w:rFonts w:ascii="仿宋" w:hAnsi="仿宋" w:eastAsia="仿宋" w:cs="仿宋"/>
      <w:b/>
      <w:bCs/>
      <w:sz w:val="32"/>
      <w:szCs w:val="32"/>
      <w:lang w:val="zh-CN" w:eastAsia="zh-CN" w:bidi="zh-CN"/>
    </w:rPr>
  </w:style>
  <w:style w:type="character" w:customStyle="1" w:styleId="43">
    <w:name w:val="标题 4 字符"/>
    <w:basedOn w:val="30"/>
    <w:link w:val="7"/>
    <w:qFormat/>
    <w:uiPriority w:val="0"/>
    <w:rPr>
      <w:rFonts w:ascii="仿宋_GB2312" w:hAnsi="仿宋_GB2312" w:eastAsia="仿宋_GB2312" w:cs="仿宋_GB2312"/>
      <w:sz w:val="32"/>
      <w:szCs w:val="32"/>
      <w:lang w:val="zh-CN" w:eastAsia="zh-CN" w:bidi="zh-CN"/>
    </w:rPr>
  </w:style>
  <w:style w:type="character" w:customStyle="1" w:styleId="44">
    <w:name w:val="标题 5 字符"/>
    <w:basedOn w:val="30"/>
    <w:link w:val="8"/>
    <w:qFormat/>
    <w:uiPriority w:val="9"/>
    <w:rPr>
      <w:rFonts w:ascii="仿宋_GB2312" w:hAnsi="仿宋_GB2312" w:eastAsia="仿宋_GB2312" w:cs="仿宋_GB2312"/>
      <w:b/>
      <w:bCs/>
      <w:sz w:val="30"/>
      <w:szCs w:val="30"/>
      <w:lang w:val="zh-CN" w:eastAsia="zh-CN" w:bidi="zh-CN"/>
    </w:rPr>
  </w:style>
  <w:style w:type="character" w:customStyle="1" w:styleId="45">
    <w:name w:val="标题 7 字符"/>
    <w:basedOn w:val="30"/>
    <w:link w:val="11"/>
    <w:qFormat/>
    <w:uiPriority w:val="9"/>
    <w:rPr>
      <w:b/>
      <w:bCs/>
      <w:sz w:val="24"/>
      <w:szCs w:val="24"/>
    </w:rPr>
  </w:style>
  <w:style w:type="character" w:customStyle="1" w:styleId="46">
    <w:name w:val="标题 8 字符"/>
    <w:basedOn w:val="30"/>
    <w:link w:val="12"/>
    <w:qFormat/>
    <w:uiPriority w:val="9"/>
    <w:rPr>
      <w:rFonts w:ascii="Calibri Light" w:hAnsi="Calibri Light" w:eastAsia="宋体" w:cs="Times New Roman"/>
      <w:sz w:val="24"/>
      <w:szCs w:val="24"/>
    </w:rPr>
  </w:style>
  <w:style w:type="table" w:customStyle="1" w:styleId="47">
    <w:name w:val="网格型1"/>
    <w:basedOn w:val="28"/>
    <w:qFormat/>
    <w:uiPriority w:val="59"/>
    <w:rPr>
      <w:rFonts w:ascii="宋体" w:hAnsi="宋体"/>
      <w:kern w:val="2"/>
      <w:sz w:val="28"/>
      <w:szCs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8">
    <w:name w:val="总签署页"/>
    <w:qFormat/>
    <w:uiPriority w:val="0"/>
    <w:pPr>
      <w:jc w:val="center"/>
    </w:pPr>
    <w:rPr>
      <w:rFonts w:ascii="宋体" w:hAnsi="宋体" w:eastAsia="宋体" w:cs="Times New Roman"/>
      <w:kern w:val="2"/>
      <w:sz w:val="28"/>
      <w:szCs w:val="28"/>
      <w:lang w:val="en-US" w:eastAsia="zh-CN" w:bidi="ar-SA"/>
    </w:rPr>
  </w:style>
  <w:style w:type="paragraph" w:customStyle="1" w:styleId="49">
    <w:name w:val="正文++"/>
    <w:basedOn w:val="1"/>
    <w:link w:val="50"/>
    <w:qFormat/>
    <w:uiPriority w:val="0"/>
    <w:pPr>
      <w:widowControl/>
      <w:autoSpaceDE/>
      <w:autoSpaceDN/>
      <w:spacing w:line="360" w:lineRule="auto"/>
      <w:ind w:firstLine="200" w:firstLineChars="200"/>
      <w:jc w:val="both"/>
    </w:pPr>
    <w:rPr>
      <w:rFonts w:ascii="宋体" w:hAnsi="宋体" w:eastAsia="宋体" w:cs="Times New Roman"/>
      <w:sz w:val="28"/>
      <w:szCs w:val="28"/>
      <w:lang w:val="en-US" w:bidi="ar-SA"/>
    </w:rPr>
  </w:style>
  <w:style w:type="character" w:customStyle="1" w:styleId="50">
    <w:name w:val="正文++ Char"/>
    <w:link w:val="49"/>
    <w:qFormat/>
    <w:uiPriority w:val="0"/>
    <w:rPr>
      <w:rFonts w:ascii="宋体" w:hAnsi="宋体" w:eastAsia="宋体" w:cs="Times New Roman"/>
      <w:sz w:val="28"/>
      <w:szCs w:val="28"/>
      <w:lang w:eastAsia="zh-CN"/>
    </w:rPr>
  </w:style>
  <w:style w:type="paragraph" w:customStyle="1" w:styleId="51">
    <w:name w:val="目录 31"/>
    <w:basedOn w:val="1"/>
    <w:next w:val="1"/>
    <w:unhideWhenUsed/>
    <w:qFormat/>
    <w:uiPriority w:val="39"/>
    <w:pPr>
      <w:autoSpaceDE/>
      <w:autoSpaceDN/>
      <w:ind w:left="840" w:leftChars="400"/>
      <w:jc w:val="both"/>
    </w:pPr>
    <w:rPr>
      <w:rFonts w:ascii="Calibri" w:hAnsi="Calibri" w:eastAsia="宋体" w:cs="Times New Roman"/>
      <w:kern w:val="2"/>
      <w:sz w:val="21"/>
      <w:lang w:val="en-US" w:bidi="ar-SA"/>
    </w:rPr>
  </w:style>
  <w:style w:type="character" w:customStyle="1" w:styleId="52">
    <w:name w:val="超链接1"/>
    <w:basedOn w:val="30"/>
    <w:unhideWhenUsed/>
    <w:qFormat/>
    <w:uiPriority w:val="99"/>
    <w:rPr>
      <w:color w:val="0563C1"/>
      <w:u w:val="single"/>
    </w:rPr>
  </w:style>
  <w:style w:type="paragraph" w:customStyle="1" w:styleId="53">
    <w:name w:val="页眉1"/>
    <w:basedOn w:val="1"/>
    <w:next w:val="22"/>
    <w:link w:val="54"/>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sz w:val="18"/>
      <w:szCs w:val="18"/>
      <w:lang w:val="en-US" w:eastAsia="en-US" w:bidi="ar-SA"/>
    </w:rPr>
  </w:style>
  <w:style w:type="character" w:customStyle="1" w:styleId="54">
    <w:name w:val="页眉 Char"/>
    <w:basedOn w:val="30"/>
    <w:link w:val="53"/>
    <w:qFormat/>
    <w:uiPriority w:val="99"/>
    <w:rPr>
      <w:sz w:val="18"/>
      <w:szCs w:val="18"/>
    </w:rPr>
  </w:style>
  <w:style w:type="paragraph" w:customStyle="1" w:styleId="55">
    <w:name w:val="页脚1"/>
    <w:basedOn w:val="1"/>
    <w:next w:val="21"/>
    <w:link w:val="56"/>
    <w:unhideWhenUsed/>
    <w:qFormat/>
    <w:uiPriority w:val="99"/>
    <w:pPr>
      <w:tabs>
        <w:tab w:val="center" w:pos="4153"/>
        <w:tab w:val="right" w:pos="8306"/>
      </w:tabs>
      <w:autoSpaceDE/>
      <w:autoSpaceDN/>
      <w:snapToGrid w:val="0"/>
    </w:pPr>
    <w:rPr>
      <w:rFonts w:asciiTheme="minorHAnsi" w:hAnsiTheme="minorHAnsi" w:eastAsiaTheme="minorEastAsia" w:cstheme="minorBidi"/>
      <w:sz w:val="18"/>
      <w:szCs w:val="18"/>
      <w:lang w:val="en-US" w:eastAsia="en-US" w:bidi="ar-SA"/>
    </w:rPr>
  </w:style>
  <w:style w:type="character" w:customStyle="1" w:styleId="56">
    <w:name w:val="页脚 Char"/>
    <w:basedOn w:val="30"/>
    <w:link w:val="55"/>
    <w:qFormat/>
    <w:uiPriority w:val="99"/>
    <w:rPr>
      <w:sz w:val="18"/>
      <w:szCs w:val="18"/>
    </w:rPr>
  </w:style>
  <w:style w:type="character" w:customStyle="1" w:styleId="57">
    <w:name w:val="题注 字符"/>
    <w:link w:val="13"/>
    <w:qFormat/>
    <w:uiPriority w:val="0"/>
    <w:rPr>
      <w:rFonts w:ascii="Times New Roman" w:hAnsi="Times New Roman" w:eastAsia="宋体" w:cs="Times New Roman"/>
      <w:b/>
      <w:kern w:val="2"/>
      <w:sz w:val="24"/>
      <w:szCs w:val="20"/>
      <w:lang w:eastAsia="zh-CN"/>
    </w:rPr>
  </w:style>
  <w:style w:type="paragraph" w:customStyle="1" w:styleId="58">
    <w:name w:val="日期1"/>
    <w:basedOn w:val="1"/>
    <w:next w:val="1"/>
    <w:semiHidden/>
    <w:unhideWhenUsed/>
    <w:qFormat/>
    <w:uiPriority w:val="99"/>
    <w:pPr>
      <w:autoSpaceDE/>
      <w:autoSpaceDN/>
      <w:ind w:left="100" w:leftChars="2500"/>
      <w:jc w:val="both"/>
    </w:pPr>
    <w:rPr>
      <w:rFonts w:ascii="Calibri" w:hAnsi="Calibri" w:eastAsia="宋体" w:cs="Times New Roman"/>
      <w:kern w:val="2"/>
      <w:sz w:val="21"/>
      <w:lang w:val="en-US" w:bidi="ar-SA"/>
    </w:rPr>
  </w:style>
  <w:style w:type="character" w:customStyle="1" w:styleId="59">
    <w:name w:val="日期 字符"/>
    <w:basedOn w:val="30"/>
    <w:link w:val="19"/>
    <w:semiHidden/>
    <w:qFormat/>
    <w:uiPriority w:val="99"/>
  </w:style>
  <w:style w:type="paragraph" w:customStyle="1" w:styleId="60">
    <w:name w:val="批注框文本1"/>
    <w:basedOn w:val="1"/>
    <w:next w:val="20"/>
    <w:link w:val="61"/>
    <w:semiHidden/>
    <w:unhideWhenUsed/>
    <w:qFormat/>
    <w:uiPriority w:val="99"/>
    <w:pPr>
      <w:autoSpaceDE/>
      <w:autoSpaceDN/>
      <w:jc w:val="both"/>
    </w:pPr>
    <w:rPr>
      <w:rFonts w:asciiTheme="minorHAnsi" w:hAnsiTheme="minorHAnsi" w:eastAsiaTheme="minorEastAsia" w:cstheme="minorBidi"/>
      <w:sz w:val="18"/>
      <w:szCs w:val="18"/>
      <w:lang w:val="en-US" w:eastAsia="en-US" w:bidi="ar-SA"/>
    </w:rPr>
  </w:style>
  <w:style w:type="character" w:customStyle="1" w:styleId="61">
    <w:name w:val="批注框文本 Char"/>
    <w:basedOn w:val="30"/>
    <w:link w:val="60"/>
    <w:semiHidden/>
    <w:qFormat/>
    <w:uiPriority w:val="99"/>
    <w:rPr>
      <w:sz w:val="18"/>
      <w:szCs w:val="18"/>
    </w:rPr>
  </w:style>
  <w:style w:type="paragraph" w:customStyle="1" w:styleId="62">
    <w:name w:val="默认段落字体 Para Char Char Char Char Char Char Char Char Char Char"/>
    <w:basedOn w:val="4"/>
    <w:qFormat/>
    <w:uiPriority w:val="0"/>
    <w:pPr>
      <w:keepNext/>
      <w:keepLines/>
      <w:tabs>
        <w:tab w:val="left" w:pos="360"/>
        <w:tab w:val="left" w:pos="900"/>
      </w:tabs>
      <w:autoSpaceDE/>
      <w:autoSpaceDN/>
      <w:adjustRightInd w:val="0"/>
      <w:snapToGrid w:val="0"/>
      <w:spacing w:before="50" w:after="50" w:line="360" w:lineRule="auto"/>
      <w:ind w:left="0"/>
      <w:jc w:val="left"/>
      <w:outlineLvl w:val="9"/>
    </w:pPr>
    <w:rPr>
      <w:rFonts w:hAnsi="Times New Roman" w:cs="Times New Roman"/>
      <w:b/>
      <w:snapToGrid w:val="0"/>
      <w:kern w:val="44"/>
      <w:sz w:val="28"/>
      <w:szCs w:val="28"/>
      <w:lang w:val="en-US" w:bidi="ar-SA"/>
    </w:rPr>
  </w:style>
  <w:style w:type="paragraph" w:customStyle="1" w:styleId="63">
    <w:name w:val="正文文本缩进1"/>
    <w:basedOn w:val="1"/>
    <w:next w:val="16"/>
    <w:link w:val="64"/>
    <w:semiHidden/>
    <w:unhideWhenUsed/>
    <w:qFormat/>
    <w:uiPriority w:val="99"/>
    <w:pPr>
      <w:autoSpaceDE/>
      <w:autoSpaceDN/>
      <w:spacing w:after="120"/>
      <w:ind w:left="420" w:leftChars="200"/>
      <w:jc w:val="both"/>
    </w:pPr>
    <w:rPr>
      <w:rFonts w:asciiTheme="minorHAnsi" w:hAnsiTheme="minorHAnsi" w:eastAsiaTheme="minorEastAsia" w:cstheme="minorBidi"/>
      <w:lang w:val="en-US" w:eastAsia="en-US" w:bidi="ar-SA"/>
    </w:rPr>
  </w:style>
  <w:style w:type="character" w:customStyle="1" w:styleId="64">
    <w:name w:val="正文文本缩进 Char"/>
    <w:basedOn w:val="30"/>
    <w:link w:val="63"/>
    <w:semiHidden/>
    <w:qFormat/>
    <w:uiPriority w:val="99"/>
  </w:style>
  <w:style w:type="paragraph" w:customStyle="1" w:styleId="65">
    <w:name w:val="样式 标题 1标书标题 1H1heading 1标书1h11st levelSection Headl1标题一..."/>
    <w:basedOn w:val="4"/>
    <w:qFormat/>
    <w:uiPriority w:val="0"/>
    <w:pPr>
      <w:keepNext/>
      <w:keepLines/>
      <w:tabs>
        <w:tab w:val="left" w:pos="360"/>
      </w:tabs>
      <w:autoSpaceDE/>
      <w:autoSpaceDN/>
      <w:snapToGrid w:val="0"/>
      <w:spacing w:beforeLines="50" w:afterLines="50" w:line="360" w:lineRule="auto"/>
      <w:ind w:left="0"/>
      <w:jc w:val="left"/>
    </w:pPr>
    <w:rPr>
      <w:rFonts w:hAnsi="Times New Roman" w:cs="Times New Roman"/>
      <w:bCs/>
      <w:kern w:val="44"/>
      <w:sz w:val="32"/>
      <w:szCs w:val="36"/>
      <w:lang w:val="en-US" w:bidi="ar-SA"/>
    </w:rPr>
  </w:style>
  <w:style w:type="paragraph" w:customStyle="1" w:styleId="66">
    <w:name w:val="正文缩进1"/>
    <w:basedOn w:val="1"/>
    <w:next w:val="10"/>
    <w:semiHidden/>
    <w:unhideWhenUsed/>
    <w:qFormat/>
    <w:uiPriority w:val="99"/>
    <w:pPr>
      <w:autoSpaceDE/>
      <w:autoSpaceDN/>
      <w:ind w:firstLine="420" w:firstLineChars="200"/>
      <w:jc w:val="both"/>
    </w:pPr>
    <w:rPr>
      <w:rFonts w:ascii="Calibri" w:hAnsi="Calibri" w:eastAsia="宋体" w:cs="Times New Roman"/>
      <w:kern w:val="2"/>
      <w:sz w:val="21"/>
      <w:lang w:val="en-US" w:bidi="ar-SA"/>
    </w:rPr>
  </w:style>
  <w:style w:type="paragraph" w:customStyle="1" w:styleId="67">
    <w:name w:val="表格表头"/>
    <w:basedOn w:val="1"/>
    <w:link w:val="69"/>
    <w:qFormat/>
    <w:uiPriority w:val="0"/>
    <w:pPr>
      <w:autoSpaceDE/>
      <w:autoSpaceDN/>
      <w:jc w:val="center"/>
    </w:pPr>
    <w:rPr>
      <w:rFonts w:ascii="Calibri" w:hAnsi="Calibri" w:eastAsia="华文新魏" w:cs="Times New Roman"/>
      <w:kern w:val="2"/>
      <w:sz w:val="28"/>
      <w:szCs w:val="24"/>
      <w:lang w:val="en-US" w:bidi="ar-SA"/>
    </w:rPr>
  </w:style>
  <w:style w:type="paragraph" w:customStyle="1" w:styleId="68">
    <w:name w:val="表格内容"/>
    <w:basedOn w:val="49"/>
    <w:link w:val="71"/>
    <w:qFormat/>
    <w:uiPriority w:val="0"/>
    <w:pPr>
      <w:spacing w:line="240" w:lineRule="auto"/>
      <w:ind w:firstLine="0" w:firstLineChars="0"/>
      <w:jc w:val="center"/>
    </w:pPr>
    <w:rPr>
      <w:szCs w:val="21"/>
    </w:rPr>
  </w:style>
  <w:style w:type="character" w:customStyle="1" w:styleId="69">
    <w:name w:val="表格表头 Char"/>
    <w:basedOn w:val="30"/>
    <w:link w:val="67"/>
    <w:qFormat/>
    <w:uiPriority w:val="0"/>
    <w:rPr>
      <w:rFonts w:ascii="Calibri" w:hAnsi="Calibri" w:eastAsia="华文新魏" w:cs="Times New Roman"/>
      <w:kern w:val="2"/>
      <w:sz w:val="28"/>
      <w:szCs w:val="24"/>
      <w:lang w:eastAsia="zh-CN"/>
    </w:rPr>
  </w:style>
  <w:style w:type="character" w:customStyle="1" w:styleId="70">
    <w:name w:val="正文文本 字符"/>
    <w:basedOn w:val="30"/>
    <w:link w:val="3"/>
    <w:qFormat/>
    <w:uiPriority w:val="99"/>
    <w:rPr>
      <w:rFonts w:ascii="仿宋_GB2312" w:hAnsi="仿宋_GB2312" w:eastAsia="仿宋_GB2312" w:cs="仿宋_GB2312"/>
      <w:sz w:val="30"/>
      <w:szCs w:val="30"/>
      <w:lang w:val="zh-CN" w:eastAsia="zh-CN" w:bidi="zh-CN"/>
    </w:rPr>
  </w:style>
  <w:style w:type="character" w:customStyle="1" w:styleId="71">
    <w:name w:val="表格内容 Char"/>
    <w:basedOn w:val="50"/>
    <w:link w:val="68"/>
    <w:qFormat/>
    <w:uiPriority w:val="0"/>
    <w:rPr>
      <w:rFonts w:ascii="宋体" w:hAnsi="宋体" w:eastAsia="宋体" w:cs="Times New Roman"/>
      <w:sz w:val="28"/>
      <w:szCs w:val="21"/>
      <w:lang w:eastAsia="zh-CN"/>
    </w:rPr>
  </w:style>
  <w:style w:type="table" w:customStyle="1" w:styleId="72">
    <w:name w:val="网格表 1 浅色1"/>
    <w:basedOn w:val="28"/>
    <w:qFormat/>
    <w:uiPriority w:val="46"/>
    <w:rPr>
      <w:kern w:val="2"/>
      <w:sz w:val="21"/>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73">
    <w:name w:val="文档结构图1"/>
    <w:basedOn w:val="1"/>
    <w:next w:val="14"/>
    <w:link w:val="74"/>
    <w:semiHidden/>
    <w:unhideWhenUsed/>
    <w:qFormat/>
    <w:uiPriority w:val="99"/>
    <w:pPr>
      <w:autoSpaceDE/>
      <w:autoSpaceDN/>
      <w:jc w:val="both"/>
    </w:pPr>
    <w:rPr>
      <w:rFonts w:ascii="宋体" w:eastAsia="宋体" w:hAnsiTheme="minorHAnsi" w:cstheme="minorBidi"/>
      <w:sz w:val="18"/>
      <w:szCs w:val="18"/>
      <w:lang w:val="en-US" w:eastAsia="en-US" w:bidi="ar-SA"/>
    </w:rPr>
  </w:style>
  <w:style w:type="character" w:customStyle="1" w:styleId="74">
    <w:name w:val="文档结构图 Char"/>
    <w:basedOn w:val="30"/>
    <w:link w:val="73"/>
    <w:semiHidden/>
    <w:qFormat/>
    <w:uiPriority w:val="99"/>
    <w:rPr>
      <w:rFonts w:ascii="宋体" w:eastAsia="宋体"/>
      <w:sz w:val="18"/>
      <w:szCs w:val="18"/>
    </w:rPr>
  </w:style>
  <w:style w:type="paragraph" w:customStyle="1" w:styleId="75">
    <w:name w:val="修订1"/>
    <w:next w:val="7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6">
    <w:name w:val="修订2"/>
    <w:hidden/>
    <w:semiHidden/>
    <w:qFormat/>
    <w:uiPriority w:val="99"/>
    <w:rPr>
      <w:rFonts w:ascii="仿宋_GB2312" w:hAnsi="仿宋_GB2312" w:eastAsia="仿宋_GB2312" w:cs="仿宋_GB2312"/>
      <w:sz w:val="22"/>
      <w:szCs w:val="22"/>
      <w:lang w:val="zh-CN" w:eastAsia="zh-CN" w:bidi="zh-CN"/>
    </w:rPr>
  </w:style>
  <w:style w:type="paragraph" w:customStyle="1" w:styleId="77">
    <w:name w:val="批注文字1"/>
    <w:basedOn w:val="1"/>
    <w:next w:val="15"/>
    <w:link w:val="78"/>
    <w:semiHidden/>
    <w:unhideWhenUsed/>
    <w:qFormat/>
    <w:uiPriority w:val="99"/>
    <w:pPr>
      <w:autoSpaceDE/>
      <w:autoSpaceDN/>
    </w:pPr>
    <w:rPr>
      <w:rFonts w:asciiTheme="minorHAnsi" w:hAnsiTheme="minorHAnsi" w:eastAsiaTheme="minorEastAsia" w:cstheme="minorBidi"/>
      <w:lang w:val="en-US" w:eastAsia="en-US" w:bidi="ar-SA"/>
    </w:rPr>
  </w:style>
  <w:style w:type="character" w:customStyle="1" w:styleId="78">
    <w:name w:val="批注文字 Char"/>
    <w:basedOn w:val="30"/>
    <w:link w:val="77"/>
    <w:semiHidden/>
    <w:qFormat/>
    <w:uiPriority w:val="99"/>
  </w:style>
  <w:style w:type="character" w:customStyle="1" w:styleId="79">
    <w:name w:val="标题 7 Char1"/>
    <w:basedOn w:val="30"/>
    <w:semiHidden/>
    <w:qFormat/>
    <w:uiPriority w:val="9"/>
    <w:rPr>
      <w:rFonts w:ascii="仿宋_GB2312" w:hAnsi="仿宋_GB2312" w:eastAsia="仿宋_GB2312" w:cs="仿宋_GB2312"/>
      <w:b/>
      <w:bCs/>
      <w:sz w:val="24"/>
      <w:szCs w:val="24"/>
      <w:lang w:val="zh-CN" w:eastAsia="zh-CN" w:bidi="zh-CN"/>
    </w:rPr>
  </w:style>
  <w:style w:type="character" w:customStyle="1" w:styleId="80">
    <w:name w:val="标题 8 Char1"/>
    <w:basedOn w:val="30"/>
    <w:semiHidden/>
    <w:qFormat/>
    <w:uiPriority w:val="9"/>
    <w:rPr>
      <w:rFonts w:asciiTheme="majorHAnsi" w:hAnsiTheme="majorHAnsi" w:eastAsiaTheme="majorEastAsia" w:cstheme="majorBidi"/>
      <w:sz w:val="24"/>
      <w:szCs w:val="24"/>
      <w:lang w:val="zh-CN" w:eastAsia="zh-CN" w:bidi="zh-CN"/>
    </w:rPr>
  </w:style>
  <w:style w:type="character" w:customStyle="1" w:styleId="81">
    <w:name w:val="页眉 字符"/>
    <w:basedOn w:val="30"/>
    <w:link w:val="22"/>
    <w:qFormat/>
    <w:uiPriority w:val="99"/>
    <w:rPr>
      <w:rFonts w:ascii="仿宋_GB2312" w:hAnsi="仿宋_GB2312" w:eastAsia="仿宋_GB2312" w:cs="仿宋_GB2312"/>
      <w:sz w:val="18"/>
      <w:szCs w:val="18"/>
      <w:lang w:val="zh-CN" w:eastAsia="zh-CN" w:bidi="zh-CN"/>
    </w:rPr>
  </w:style>
  <w:style w:type="character" w:customStyle="1" w:styleId="82">
    <w:name w:val="页脚 字符"/>
    <w:basedOn w:val="30"/>
    <w:link w:val="21"/>
    <w:qFormat/>
    <w:uiPriority w:val="99"/>
    <w:rPr>
      <w:rFonts w:ascii="仿宋_GB2312" w:hAnsi="仿宋_GB2312" w:eastAsia="仿宋_GB2312" w:cs="仿宋_GB2312"/>
      <w:sz w:val="18"/>
      <w:szCs w:val="18"/>
      <w:lang w:val="zh-CN" w:eastAsia="zh-CN" w:bidi="zh-CN"/>
    </w:rPr>
  </w:style>
  <w:style w:type="character" w:customStyle="1" w:styleId="83">
    <w:name w:val="日期 Char1"/>
    <w:basedOn w:val="30"/>
    <w:semiHidden/>
    <w:qFormat/>
    <w:uiPriority w:val="99"/>
    <w:rPr>
      <w:rFonts w:ascii="仿宋_GB2312" w:hAnsi="仿宋_GB2312" w:eastAsia="仿宋_GB2312" w:cs="仿宋_GB2312"/>
      <w:lang w:val="zh-CN" w:eastAsia="zh-CN" w:bidi="zh-CN"/>
    </w:rPr>
  </w:style>
  <w:style w:type="character" w:customStyle="1" w:styleId="84">
    <w:name w:val="批注框文本 字符"/>
    <w:basedOn w:val="30"/>
    <w:link w:val="20"/>
    <w:semiHidden/>
    <w:qFormat/>
    <w:uiPriority w:val="99"/>
    <w:rPr>
      <w:rFonts w:ascii="仿宋_GB2312" w:hAnsi="仿宋_GB2312" w:eastAsia="仿宋_GB2312" w:cs="仿宋_GB2312"/>
      <w:sz w:val="18"/>
      <w:szCs w:val="18"/>
      <w:lang w:val="zh-CN" w:eastAsia="zh-CN" w:bidi="zh-CN"/>
    </w:rPr>
  </w:style>
  <w:style w:type="character" w:customStyle="1" w:styleId="85">
    <w:name w:val="正文文本缩进 字符"/>
    <w:basedOn w:val="30"/>
    <w:link w:val="16"/>
    <w:semiHidden/>
    <w:qFormat/>
    <w:uiPriority w:val="99"/>
    <w:rPr>
      <w:rFonts w:ascii="仿宋_GB2312" w:hAnsi="仿宋_GB2312" w:eastAsia="仿宋_GB2312" w:cs="仿宋_GB2312"/>
      <w:lang w:val="zh-CN" w:eastAsia="zh-CN" w:bidi="zh-CN"/>
    </w:rPr>
  </w:style>
  <w:style w:type="character" w:customStyle="1" w:styleId="86">
    <w:name w:val="文档结构图 字符"/>
    <w:basedOn w:val="30"/>
    <w:link w:val="14"/>
    <w:semiHidden/>
    <w:qFormat/>
    <w:uiPriority w:val="99"/>
    <w:rPr>
      <w:rFonts w:ascii="Microsoft YaHei UI" w:hAnsi="仿宋_GB2312" w:eastAsia="Microsoft YaHei UI" w:cs="仿宋_GB2312"/>
      <w:sz w:val="18"/>
      <w:szCs w:val="18"/>
      <w:lang w:val="zh-CN" w:eastAsia="zh-CN" w:bidi="zh-CN"/>
    </w:rPr>
  </w:style>
  <w:style w:type="character" w:customStyle="1" w:styleId="87">
    <w:name w:val="批注文字 字符"/>
    <w:basedOn w:val="30"/>
    <w:link w:val="15"/>
    <w:semiHidden/>
    <w:qFormat/>
    <w:uiPriority w:val="99"/>
    <w:rPr>
      <w:rFonts w:ascii="仿宋_GB2312" w:hAnsi="仿宋_GB2312" w:eastAsia="仿宋_GB2312" w:cs="仿宋_GB2312"/>
      <w:lang w:val="zh-CN" w:eastAsia="zh-CN" w:bidi="zh-CN"/>
    </w:rPr>
  </w:style>
  <w:style w:type="paragraph" w:customStyle="1" w:styleId="88">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en-US" w:bidi="ar-SA"/>
    </w:rPr>
  </w:style>
  <w:style w:type="paragraph" w:customStyle="1" w:styleId="89">
    <w:name w:val="正文首行缩进2"/>
    <w:basedOn w:val="3"/>
    <w:qFormat/>
    <w:uiPriority w:val="0"/>
    <w:pPr>
      <w:overflowPunct w:val="0"/>
      <w:adjustRightInd w:val="0"/>
      <w:snapToGrid w:val="0"/>
    </w:pPr>
    <w:rPr>
      <w:rFonts w:eastAsia="仿宋"/>
      <w:szCs w:val="22"/>
    </w:rPr>
  </w:style>
  <w:style w:type="paragraph" w:customStyle="1" w:styleId="90">
    <w:name w:val="样式 标题 2 + 段前: 0.25 行 段后: 0.25 行 行距: 1.5 倍行距"/>
    <w:basedOn w:val="5"/>
    <w:qFormat/>
    <w:uiPriority w:val="0"/>
    <w:pPr>
      <w:spacing w:beforeLines="25" w:afterLines="25"/>
      <w:ind w:left="0"/>
    </w:pPr>
    <w:rPr>
      <w:rFonts w:cs="宋体"/>
      <w:kern w:val="2"/>
      <w:sz w:val="32"/>
      <w:szCs w:val="20"/>
    </w:rPr>
  </w:style>
  <w:style w:type="paragraph" w:customStyle="1" w:styleId="91">
    <w:name w:val="洪涛"/>
    <w:basedOn w:val="1"/>
    <w:qFormat/>
    <w:uiPriority w:val="0"/>
    <w:pPr>
      <w:snapToGrid w:val="0"/>
      <w:spacing w:line="360" w:lineRule="auto"/>
      <w:ind w:firstLine="560" w:firstLineChars="200"/>
    </w:pPr>
    <w:rPr>
      <w:rFonts w:eastAsia="仿宋" w:cs="宋体"/>
      <w:sz w:val="30"/>
      <w:szCs w:val="20"/>
    </w:rPr>
  </w:style>
  <w:style w:type="paragraph" w:customStyle="1" w:styleId="92">
    <w:name w:val="WPSOffice手动目录 1"/>
    <w:qFormat/>
    <w:uiPriority w:val="0"/>
    <w:rPr>
      <w:rFonts w:asciiTheme="minorHAnsi" w:hAnsiTheme="minorHAnsi" w:eastAsiaTheme="minorHAnsi" w:cstheme="minorBidi"/>
      <w:lang w:val="en-US" w:eastAsia="zh-CN" w:bidi="ar-SA"/>
    </w:rPr>
  </w:style>
  <w:style w:type="paragraph" w:customStyle="1" w:styleId="93">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94">
    <w:name w:val="WPSOffice手动目录 3"/>
    <w:qFormat/>
    <w:uiPriority w:val="0"/>
    <w:pPr>
      <w:ind w:left="400" w:leftChars="400"/>
    </w:pPr>
    <w:rPr>
      <w:rFonts w:asciiTheme="minorHAnsi" w:hAnsiTheme="minorHAnsi" w:eastAsiaTheme="minorHAnsi" w:cstheme="minorBidi"/>
      <w:lang w:val="en-US" w:eastAsia="zh-CN" w:bidi="ar-SA"/>
    </w:rPr>
  </w:style>
  <w:style w:type="paragraph" w:customStyle="1" w:styleId="95">
    <w:name w:val="封面-上层副标题"/>
    <w:next w:val="1"/>
    <w:qFormat/>
    <w:uiPriority w:val="0"/>
    <w:pPr>
      <w:jc w:val="center"/>
    </w:pPr>
    <w:rPr>
      <w:rFonts w:ascii="宋体" w:hAnsi="宋体" w:eastAsia="华文新魏" w:cs="Times New Roman"/>
      <w:kern w:val="2"/>
      <w:sz w:val="44"/>
      <w:szCs w:val="28"/>
      <w:lang w:val="en-US" w:eastAsia="zh-CN" w:bidi="ar-SA"/>
    </w:rPr>
  </w:style>
  <w:style w:type="paragraph" w:customStyle="1" w:styleId="96">
    <w:name w:val="样式 标题 1 + 段前: 12 磅 段后: 12 磅"/>
    <w:basedOn w:val="4"/>
    <w:qFormat/>
    <w:uiPriority w:val="0"/>
    <w:pPr>
      <w:spacing w:before="120" w:after="120" w:line="360" w:lineRule="auto"/>
    </w:pPr>
    <w:rPr>
      <w:rFonts w:cs="宋体"/>
      <w:szCs w:val="20"/>
    </w:rPr>
  </w:style>
  <w:style w:type="paragraph" w:customStyle="1" w:styleId="97">
    <w:name w:val="样式 左侧:  2 字符 首行缩进:  2 字符"/>
    <w:basedOn w:val="1"/>
    <w:qFormat/>
    <w:uiPriority w:val="0"/>
    <w:pPr>
      <w:spacing w:line="360" w:lineRule="auto"/>
      <w:ind w:left="600" w:leftChars="200" w:firstLine="600" w:firstLineChars="200"/>
    </w:pPr>
    <w:rPr>
      <w:rFonts w:eastAsia="楷体_GB2312"/>
      <w:sz w:val="28"/>
      <w:szCs w:val="20"/>
    </w:rPr>
  </w:style>
  <w:style w:type="paragraph" w:customStyle="1" w:styleId="98">
    <w:name w:val="样式 样式 四号 行距: 1.5 倍行距 首行缩进:  2 字符 + 首行缩进:  2 字符"/>
    <w:basedOn w:val="1"/>
    <w:qFormat/>
    <w:uiPriority w:val="0"/>
    <w:pPr>
      <w:autoSpaceDE/>
      <w:autoSpaceDN/>
      <w:spacing w:line="360" w:lineRule="auto"/>
      <w:ind w:firstLine="480" w:firstLineChars="200"/>
      <w:jc w:val="both"/>
    </w:pPr>
    <w:rPr>
      <w:rFonts w:ascii="Times New Roman" w:hAnsi="Times New Roman" w:eastAsia="宋体" w:cs="宋体"/>
      <w:kern w:val="2"/>
      <w:sz w:val="24"/>
      <w:szCs w:val="24"/>
      <w:lang w:val="en-US" w:bidi="ar-SA"/>
    </w:rPr>
  </w:style>
  <w:style w:type="paragraph" w:customStyle="1" w:styleId="99">
    <w:name w:val="我的表格"/>
    <w:basedOn w:val="1"/>
    <w:link w:val="100"/>
    <w:qFormat/>
    <w:uiPriority w:val="0"/>
    <w:pPr>
      <w:autoSpaceDE/>
      <w:autoSpaceDN/>
      <w:snapToGrid w:val="0"/>
      <w:spacing w:line="300" w:lineRule="exact"/>
      <w:jc w:val="center"/>
    </w:pPr>
    <w:rPr>
      <w:rFonts w:ascii="Times New Roman" w:hAnsi="Times New Roman" w:eastAsia="宋体" w:cs="Times New Roman"/>
      <w:sz w:val="21"/>
      <w:szCs w:val="21"/>
      <w:lang w:val="en-US" w:bidi="ar-SA"/>
    </w:rPr>
  </w:style>
  <w:style w:type="character" w:customStyle="1" w:styleId="100">
    <w:name w:val="我的表格 Char"/>
    <w:link w:val="99"/>
    <w:qFormat/>
    <w:uiPriority w:val="0"/>
    <w:rPr>
      <w:sz w:val="21"/>
      <w:szCs w:val="21"/>
    </w:rPr>
  </w:style>
  <w:style w:type="character" w:customStyle="1" w:styleId="101">
    <w:name w:val="font31"/>
    <w:basedOn w:val="30"/>
    <w:qFormat/>
    <w:uiPriority w:val="0"/>
    <w:rPr>
      <w:rFonts w:hint="default" w:ascii="Times New Roman" w:hAnsi="Times New Roman" w:cs="Times New Roman"/>
      <w:color w:val="000000"/>
      <w:sz w:val="21"/>
      <w:szCs w:val="21"/>
      <w:u w:val="none"/>
    </w:rPr>
  </w:style>
  <w:style w:type="character" w:customStyle="1" w:styleId="102">
    <w:name w:val="font41"/>
    <w:basedOn w:val="30"/>
    <w:qFormat/>
    <w:uiPriority w:val="0"/>
    <w:rPr>
      <w:rFonts w:hint="eastAsia" w:ascii="宋体" w:hAnsi="宋体" w:eastAsia="宋体" w:cs="宋体"/>
      <w:color w:val="000000"/>
      <w:sz w:val="21"/>
      <w:szCs w:val="21"/>
      <w:u w:val="none"/>
    </w:rPr>
  </w:style>
  <w:style w:type="character" w:customStyle="1" w:styleId="103">
    <w:name w:val="font21"/>
    <w:basedOn w:val="30"/>
    <w:qFormat/>
    <w:uiPriority w:val="0"/>
    <w:rPr>
      <w:rFonts w:hint="eastAsia" w:ascii="宋体" w:hAnsi="宋体" w:eastAsia="宋体" w:cs="宋体"/>
      <w:color w:val="000000"/>
      <w:sz w:val="21"/>
      <w:szCs w:val="21"/>
      <w:u w:val="none"/>
      <w:vertAlign w:val="superscript"/>
    </w:rPr>
  </w:style>
  <w:style w:type="character" w:customStyle="1" w:styleId="104">
    <w:name w:val="font11"/>
    <w:basedOn w:val="30"/>
    <w:qFormat/>
    <w:uiPriority w:val="0"/>
    <w:rPr>
      <w:rFonts w:hint="default" w:ascii="Times New Roman" w:hAnsi="Times New Roman" w:cs="Times New Roman"/>
      <w:color w:val="000000"/>
      <w:sz w:val="21"/>
      <w:szCs w:val="21"/>
      <w:u w:val="none"/>
      <w:vertAlign w:val="superscript"/>
    </w:rPr>
  </w:style>
  <w:style w:type="character" w:customStyle="1" w:styleId="105">
    <w:name w:val="font91"/>
    <w:basedOn w:val="30"/>
    <w:qFormat/>
    <w:uiPriority w:val="0"/>
    <w:rPr>
      <w:rFonts w:hint="default" w:ascii="Times New Roman" w:hAnsi="Times New Roman" w:cs="Times New Roman"/>
      <w:color w:val="000000"/>
      <w:sz w:val="21"/>
      <w:szCs w:val="21"/>
      <w:u w:val="none"/>
    </w:rPr>
  </w:style>
  <w:style w:type="character" w:customStyle="1" w:styleId="106">
    <w:name w:val="font61"/>
    <w:basedOn w:val="30"/>
    <w:qFormat/>
    <w:uiPriority w:val="0"/>
    <w:rPr>
      <w:rFonts w:hint="eastAsia" w:ascii="宋体" w:hAnsi="宋体" w:eastAsia="宋体" w:cs="宋体"/>
      <w:color w:val="000000"/>
      <w:sz w:val="21"/>
      <w:szCs w:val="21"/>
      <w:u w:val="none"/>
    </w:rPr>
  </w:style>
  <w:style w:type="character" w:customStyle="1" w:styleId="107">
    <w:name w:val="font112"/>
    <w:basedOn w:val="30"/>
    <w:qFormat/>
    <w:uiPriority w:val="0"/>
    <w:rPr>
      <w:rFonts w:hint="eastAsia" w:ascii="仿宋" w:hAnsi="仿宋" w:eastAsia="仿宋" w:cs="仿宋"/>
      <w:color w:val="000000"/>
      <w:sz w:val="21"/>
      <w:szCs w:val="21"/>
      <w:u w:val="none"/>
    </w:rPr>
  </w:style>
  <w:style w:type="character" w:customStyle="1" w:styleId="108">
    <w:name w:val="font81"/>
    <w:basedOn w:val="30"/>
    <w:qFormat/>
    <w:uiPriority w:val="0"/>
    <w:rPr>
      <w:rFonts w:hint="eastAsia" w:ascii="宋体" w:hAnsi="宋体" w:eastAsia="宋体" w:cs="宋体"/>
      <w:color w:val="000000"/>
      <w:sz w:val="21"/>
      <w:szCs w:val="21"/>
      <w:u w:val="none"/>
    </w:rPr>
  </w:style>
  <w:style w:type="character" w:customStyle="1" w:styleId="109">
    <w:name w:val="font121"/>
    <w:basedOn w:val="30"/>
    <w:qFormat/>
    <w:uiPriority w:val="0"/>
    <w:rPr>
      <w:rFonts w:hint="eastAsia" w:ascii="仿宋" w:hAnsi="仿宋" w:eastAsia="仿宋" w:cs="仿宋"/>
      <w:color w:val="000000"/>
      <w:sz w:val="21"/>
      <w:szCs w:val="21"/>
      <w:u w:val="none"/>
    </w:rPr>
  </w:style>
  <w:style w:type="character" w:customStyle="1" w:styleId="110">
    <w:name w:val="font01"/>
    <w:basedOn w:val="30"/>
    <w:qFormat/>
    <w:uiPriority w:val="0"/>
    <w:rPr>
      <w:rFonts w:hint="eastAsia" w:ascii="仿宋" w:hAnsi="仿宋" w:eastAsia="仿宋" w:cs="仿宋"/>
      <w:color w:val="FF0000"/>
      <w:sz w:val="21"/>
      <w:szCs w:val="21"/>
      <w:u w:val="none"/>
    </w:rPr>
  </w:style>
  <w:style w:type="character" w:customStyle="1" w:styleId="111">
    <w:name w:val="font71"/>
    <w:basedOn w:val="30"/>
    <w:qFormat/>
    <w:uiPriority w:val="0"/>
    <w:rPr>
      <w:rFonts w:hint="eastAsia" w:ascii="仿宋" w:hAnsi="仿宋" w:eastAsia="仿宋" w:cs="仿宋"/>
      <w:color w:val="000000"/>
      <w:sz w:val="22"/>
      <w:szCs w:val="22"/>
      <w:u w:val="none"/>
      <w:vertAlign w:val="superscript"/>
    </w:rPr>
  </w:style>
  <w:style w:type="paragraph" w:customStyle="1" w:styleId="112">
    <w:name w:val="我的正文"/>
    <w:basedOn w:val="1"/>
    <w:link w:val="113"/>
    <w:qFormat/>
    <w:uiPriority w:val="0"/>
    <w:pPr>
      <w:widowControl/>
      <w:autoSpaceDE/>
      <w:autoSpaceDN/>
      <w:spacing w:line="360" w:lineRule="auto"/>
      <w:ind w:firstLine="480" w:firstLineChars="200"/>
    </w:pPr>
    <w:rPr>
      <w:rFonts w:ascii="Times New Roman" w:hAnsi="Times New Roman" w:eastAsia="宋体" w:cs="Times New Roman"/>
      <w:kern w:val="2"/>
      <w:sz w:val="24"/>
      <w:szCs w:val="24"/>
      <w:lang w:val="en-US" w:bidi="ar-SA"/>
    </w:rPr>
  </w:style>
  <w:style w:type="character" w:customStyle="1" w:styleId="113">
    <w:name w:val="我的正文 Char"/>
    <w:basedOn w:val="30"/>
    <w:link w:val="112"/>
    <w:qFormat/>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4.jpeg"/><Relationship Id="rId26" Type="http://schemas.openxmlformats.org/officeDocument/2006/relationships/image" Target="media/image3.jpeg"/><Relationship Id="rId25" Type="http://schemas.openxmlformats.org/officeDocument/2006/relationships/image" Target="media/image2.jpe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3402</Words>
  <Characters>19396</Characters>
  <Lines>161</Lines>
  <Paragraphs>45</Paragraphs>
  <TotalTime>26</TotalTime>
  <ScaleCrop>false</ScaleCrop>
  <LinksUpToDate>false</LinksUpToDate>
  <CharactersWithSpaces>22753</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2021-10-25T01:44:00Z</dcterms:created>
  <dc:creator>user</dc:creator>
  <cp:lastModifiedBy>Aling</cp:lastModifiedBy>
  <cp:lastPrinted>2021-12-03T15:46:00Z</cp:lastPrinted>
  <dcterms:modified xsi:type="dcterms:W3CDTF">2025-09-05T17:24:57Z</dcterms:modified>
  <dc:title>水利基础设施布局空间规划工作方案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Adobe Acrobat Pro 9.0.0</vt:lpwstr>
  </property>
  <property fmtid="{D5CDD505-2E9C-101B-9397-08002B2CF9AE}" pid="4" name="LastSaved">
    <vt:filetime>2019-12-10T00:00:00Z</vt:filetime>
  </property>
  <property fmtid="{D5CDD505-2E9C-101B-9397-08002B2CF9AE}" pid="5" name="KSOProductBuildVer">
    <vt:lpwstr>2052-7.4.1.8983</vt:lpwstr>
  </property>
  <property fmtid="{D5CDD505-2E9C-101B-9397-08002B2CF9AE}" pid="6" name="ICV">
    <vt:lpwstr>A4A140DB58E4565FE9C4E3673BA13170_42</vt:lpwstr>
  </property>
</Properties>
</file>