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佳荣里街佳安、佳欣里老旧小区改造</w:t>
      </w:r>
    </w:p>
    <w:p>
      <w:pPr>
        <w:jc w:val="center"/>
        <w:rPr>
          <w:rFonts w:hint="eastAsia"/>
          <w:b/>
          <w:bCs/>
          <w:sz w:val="44"/>
          <w:szCs w:val="44"/>
          <w:lang w:eastAsia="zh-CN"/>
        </w:rPr>
      </w:pPr>
      <w:r>
        <w:rPr>
          <w:rFonts w:hint="eastAsia"/>
          <w:b/>
          <w:bCs/>
          <w:sz w:val="44"/>
          <w:szCs w:val="44"/>
          <w:lang w:eastAsia="zh-CN"/>
        </w:rPr>
        <w:t>中央直达资金使用情况</w:t>
      </w:r>
    </w:p>
    <w:p>
      <w:pPr>
        <w:pStyle w:val="2"/>
        <w:keepNext w:val="0"/>
        <w:keepLines w:val="0"/>
        <w:widowControl/>
        <w:suppressLineNumbers w:val="0"/>
        <w:ind w:left="0" w:firstLine="640"/>
        <w:rPr>
          <w:rFonts w:ascii="仿宋_GB2312" w:hAnsi="仿宋_GB2312" w:eastAsia="仿宋_GB2312" w:cs="仿宋_GB2312"/>
          <w:color w:val="000000"/>
          <w:sz w:val="31"/>
          <w:szCs w:val="31"/>
        </w:rPr>
      </w:pPr>
    </w:p>
    <w:p>
      <w:pPr>
        <w:pStyle w:val="2"/>
        <w:keepNext w:val="0"/>
        <w:keepLines w:val="0"/>
        <w:widowControl/>
        <w:suppressLineNumbers w:val="0"/>
        <w:ind w:firstLine="638"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根据《天津市财政局关于调整有关区</w:t>
      </w:r>
      <w:r>
        <w:rPr>
          <w:rFonts w:hint="default" w:ascii="Times New Roman" w:hAnsi="Times New Roman" w:cs="Times New Roman"/>
          <w:color w:val="000000"/>
          <w:sz w:val="31"/>
          <w:szCs w:val="31"/>
        </w:rPr>
        <w:t>2022</w:t>
      </w:r>
      <w:r>
        <w:rPr>
          <w:rFonts w:ascii="仿宋_GB2312" w:hAnsi="仿宋_GB2312" w:eastAsia="仿宋_GB2312" w:cs="仿宋_GB2312"/>
          <w:color w:val="000000"/>
          <w:sz w:val="31"/>
          <w:szCs w:val="31"/>
        </w:rPr>
        <w:t>年中央财政城镇保障性安居工程城镇老旧小区改造补助资金转移支付指标（直达资金）的通知》（津财基指</w:t>
      </w:r>
      <w:r>
        <w:rPr>
          <w:rFonts w:hint="default" w:ascii="Times New Roman" w:hAnsi="Times New Roman" w:cs="Times New Roman"/>
          <w:color w:val="000000"/>
          <w:sz w:val="31"/>
          <w:szCs w:val="31"/>
        </w:rPr>
        <w:t>[2022]24</w:t>
      </w:r>
      <w:r>
        <w:rPr>
          <w:rFonts w:ascii="仿宋_GB2312" w:hAnsi="仿宋_GB2312" w:eastAsia="仿宋_GB2312" w:cs="仿宋_GB2312"/>
          <w:color w:val="000000"/>
          <w:sz w:val="31"/>
          <w:szCs w:val="31"/>
        </w:rPr>
        <w:t>号），</w:t>
      </w:r>
      <w:r>
        <w:rPr>
          <w:rFonts w:hint="eastAsia" w:ascii="仿宋_GB2312" w:hAnsi="仿宋_GB2312" w:eastAsia="仿宋_GB2312" w:cs="仿宋_GB2312"/>
          <w:color w:val="000000"/>
          <w:sz w:val="31"/>
          <w:szCs w:val="31"/>
          <w:lang w:eastAsia="zh-CN"/>
        </w:rPr>
        <w:t>我街</w:t>
      </w:r>
      <w:r>
        <w:rPr>
          <w:rFonts w:hint="default" w:ascii="Times New Roman" w:hAnsi="Times New Roman" w:cs="Times New Roman"/>
          <w:color w:val="000000"/>
          <w:sz w:val="31"/>
          <w:szCs w:val="31"/>
        </w:rPr>
        <w:t>2022</w:t>
      </w:r>
      <w:r>
        <w:rPr>
          <w:rFonts w:ascii="仿宋_GB2312" w:hAnsi="仿宋_GB2312" w:eastAsia="仿宋_GB2312" w:cs="仿宋_GB2312"/>
          <w:color w:val="000000"/>
          <w:sz w:val="31"/>
          <w:szCs w:val="31"/>
        </w:rPr>
        <w:t>年中央财政城镇保障性安居工程城镇老旧小区改造补助资金转移支付指标为</w:t>
      </w:r>
      <w:r>
        <w:rPr>
          <w:rFonts w:hint="default" w:ascii="Times New Roman" w:hAnsi="Times New Roman" w:cs="Times New Roman"/>
          <w:color w:val="000000"/>
          <w:sz w:val="31"/>
          <w:szCs w:val="31"/>
        </w:rPr>
        <w:t>472.75</w:t>
      </w:r>
      <w:r>
        <w:rPr>
          <w:rFonts w:ascii="仿宋_GB2312" w:hAnsi="仿宋_GB2312" w:eastAsia="仿宋_GB2312" w:cs="仿宋_GB2312"/>
          <w:color w:val="000000"/>
          <w:sz w:val="31"/>
          <w:szCs w:val="31"/>
        </w:rPr>
        <w:t>万元，用于佳安里、佳欣里老旧小区改造。</w:t>
      </w:r>
      <w:r>
        <w:rPr>
          <w:rFonts w:hint="eastAsia" w:ascii="仿宋_GB2312" w:hAnsi="仿宋_GB2312" w:eastAsia="仿宋_GB2312" w:cs="仿宋_GB2312"/>
          <w:color w:val="000000"/>
          <w:sz w:val="31"/>
          <w:szCs w:val="31"/>
          <w:lang w:eastAsia="zh-CN"/>
        </w:rPr>
        <w:t>截至</w:t>
      </w:r>
      <w:r>
        <w:rPr>
          <w:rFonts w:hint="eastAsia" w:ascii="仿宋_GB2312" w:hAnsi="仿宋_GB2312" w:eastAsia="仿宋_GB2312" w:cs="仿宋_GB2312"/>
          <w:color w:val="000000"/>
          <w:sz w:val="31"/>
          <w:szCs w:val="31"/>
          <w:lang w:val="en-US" w:eastAsia="zh-CN"/>
        </w:rPr>
        <w:t>2022年12月31日，我街已支付该项目设计、测绘</w:t>
      </w:r>
      <w:bookmarkStart w:id="0" w:name="_GoBack"/>
      <w:bookmarkEnd w:id="0"/>
      <w:r>
        <w:rPr>
          <w:rFonts w:hint="eastAsia" w:ascii="仿宋_GB2312" w:hAnsi="仿宋_GB2312" w:eastAsia="仿宋_GB2312" w:cs="仿宋_GB2312"/>
          <w:color w:val="000000"/>
          <w:sz w:val="31"/>
          <w:szCs w:val="31"/>
          <w:lang w:val="en-US" w:eastAsia="zh-CN"/>
        </w:rPr>
        <w:t>等相关费用</w:t>
      </w:r>
      <w:r>
        <w:rPr>
          <w:rFonts w:hint="eastAsia" w:ascii="Times New Roman" w:hAnsi="Times New Roman" w:cs="Times New Roman"/>
          <w:color w:val="000000"/>
          <w:sz w:val="31"/>
          <w:szCs w:val="31"/>
          <w:lang w:val="en-US" w:eastAsia="zh-CN"/>
        </w:rPr>
        <w:t>158.10322</w:t>
      </w:r>
      <w:r>
        <w:rPr>
          <w:rFonts w:hint="eastAsia" w:ascii="仿宋_GB2312" w:hAnsi="仿宋_GB2312" w:eastAsia="仿宋_GB2312" w:cs="仿宋_GB2312"/>
          <w:color w:val="000000"/>
          <w:sz w:val="31"/>
          <w:szCs w:val="31"/>
          <w:lang w:val="en-US" w:eastAsia="zh-CN"/>
        </w:rPr>
        <w:t>万元，2023年我街将</w:t>
      </w:r>
      <w:r>
        <w:rPr>
          <w:rFonts w:ascii="仿宋_GB2312" w:hAnsi="仿宋_GB2312" w:eastAsia="仿宋_GB2312" w:cs="仿宋_GB2312"/>
          <w:color w:val="000000"/>
          <w:sz w:val="31"/>
          <w:szCs w:val="31"/>
        </w:rPr>
        <w:t>切实加快预算执行进度，确保财政资金安全有效。</w:t>
      </w:r>
    </w:p>
    <w:p>
      <w:pPr>
        <w:pStyle w:val="2"/>
        <w:keepNext w:val="0"/>
        <w:keepLines w:val="0"/>
        <w:widowControl/>
        <w:suppressLineNumbers w:val="0"/>
        <w:rPr>
          <w:rFonts w:ascii="仿宋_GB2312" w:hAnsi="仿宋_GB2312" w:eastAsia="仿宋_GB2312" w:cs="仿宋_GB2312"/>
          <w:color w:val="000000"/>
          <w:sz w:val="31"/>
          <w:szCs w:val="31"/>
        </w:rPr>
      </w:pPr>
    </w:p>
    <w:p>
      <w:pPr>
        <w:pStyle w:val="2"/>
        <w:keepNext w:val="0"/>
        <w:keepLines w:val="0"/>
        <w:widowControl/>
        <w:suppressLineNumbers w:val="0"/>
        <w:rPr>
          <w:rFonts w:ascii="仿宋_GB2312" w:hAnsi="仿宋_GB2312" w:eastAsia="仿宋_GB2312" w:cs="仿宋_GB2312"/>
          <w:color w:val="000000"/>
          <w:sz w:val="31"/>
          <w:szCs w:val="31"/>
        </w:rPr>
      </w:pPr>
    </w:p>
    <w:p>
      <w:pPr>
        <w:pStyle w:val="2"/>
        <w:keepNext w:val="0"/>
        <w:keepLines w:val="0"/>
        <w:widowControl/>
        <w:suppressLineNumbers w:val="0"/>
        <w:jc w:val="right"/>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t>天津市北辰区人民政府佳荣里街道办事处</w:t>
      </w:r>
    </w:p>
    <w:p>
      <w:pPr>
        <w:pStyle w:val="2"/>
        <w:keepNext w:val="0"/>
        <w:keepLines w:val="0"/>
        <w:widowControl/>
        <w:suppressLineNumbers w:val="0"/>
        <w:jc w:val="right"/>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2023年2月17日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mQ5OTc0Mjg3OTk2YTIyMGVkYWNkMzUyZjU1MjEifQ=="/>
  </w:docVars>
  <w:rsids>
    <w:rsidRoot w:val="00000000"/>
    <w:rsid w:val="2273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2023-02-17T03:17:30Z</dcterms:created>
  <dc:creator>DELL</dc:creator>
  <cp:lastModifiedBy>贰石年</cp:lastModifiedBy>
  <dcterms:modified xsi:type="dcterms:W3CDTF">2023-02-17T03:29:38Z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7E20007895E24F8C800A69B26200A8AD</vt:lpwstr>
  </property>
</Properties>
</file>