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天津市北辰区自然资源调查与登记中心2023年度部门决算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天津市北辰区自然资源调查与登记中心承担本区范围内各类不动产登记、地籍管理的事务性工作。</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天津市北辰区自然资源调查与登记中心内设0个职能处室；下辖0个预算单位。纳入天津市北辰区自然资源调查与登记中心2023年度部门决算编制范围的单位包括：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天津市北辰区自然资源调查与登记中心</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1.天津市北辰区自然资源调查与登记中心2023年度政府性基金预算财政拨款收入支出决算表为空表。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2.天津市北辰区自然资源调查与登记中心2023年度国有资本经营预算财政拨款收入支出决算表为空表。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天津市北辰区自然资源调查与登记中心2023年度收入、支出决算总计</w:t>
      </w:r>
      <w:r>
        <w:rPr>
          <w:rFonts w:hint="eastAsia" w:ascii="Times New Roman" w:hAnsi="Times New Roman" w:eastAsia="仿宋_GB2312" w:cs="仿宋_GB2312"/>
          <w:sz w:val="30"/>
          <w:szCs w:val="30"/>
          <w:highlight w:val="none"/>
          <w:lang w:eastAsia="zh-CN"/>
        </w:rPr>
        <w:t>13,797,086.93元，与2022年度相比，收、支总计各增加4,965,011.63元，增长56.22%，</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：支出项目增加，年中追加了预算指标。</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天津市北辰区自然资源调查与登记中心</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11,849,831.94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增加3,352,179.03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支出项目增加，年中追加了预算指标。</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11,849,831.94</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天津市北辰区自然资源调查与登记中心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13,797,086.93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5,061,520.79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支出项目较上年增加，年中追加了预算指标。</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5,647,025.06元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40.93</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8,150,061.87元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占59.07%；</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天津市北辰区自然资源调查与登记中心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11,946,341.10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3,114,265.80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35.26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支出项目增加，年中追加了预算指标。</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天津市北辰区自然资源调查与登记中心2023年度部门决算一般公共预算财政拨款支出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计11,946,341.10元，占本年支出合计的86.59%，与2022年度相比，一般公共预算财政拨款支出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3,210,774.96元，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36.76%，</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：支出项目增加，年中追加了预算指标。</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11,946,341.10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卫生健康支出166594.89元，占1.39%；</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自然资源海洋气象等支出11779746.21元，占98.61%。</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7,985,954.62</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11,946,341.10</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149.59%</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自然资源海洋气象等支出（类）自然资源事务（款）其他自然资源事务支出（项）的年初预算数为4,500,000.00元。支出决算为8,150,061.87元，完成年初预算的181.11%，决算数大于年初预算数的主要原因是年中增加了项目预算指标。</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自然资源海洋气象等支出（类）自然资源事务（款）事业运行（项）的年初预算数为3,310,209.86元。支出决算为3,629,684.34元，完成年初预算的109.65%，决算数大于年初预算数的主要原因是存在人员变动及工资、公积金等调整。</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3.卫生健康支出（类）行政事业单位医疗（款）事业单位医疗（项）的年初预算数为155,264.76元。支出决算为148,514.89元，完成年初预算的95.65%，决算数小于年初预算数的主要原因是存在人员退休及缴存比例变动。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卫生健康支出（类）行政事业单位医疗（款）其他行政事业单位医疗支出（项）的年初预算数为20,480.00元。支出决算为18,080.00元，完成年初预算的88.28%，决算数小于年初预算数的主要原因是缴费标准较上年下调。</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天津市北辰区自然资源调查与登记中心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3,796,279.23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413,572.32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存在工资、公积金调整预算。</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3,545,109.27</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基本工资、津贴补贴、奖金、绩效工资、机关事业单位基本养老保险缴费、职业年金缴费、职工基本医疗保险缴费、其他社会保障缴费、住房公积金、医疗费、其他工资福利支出、退休费、医疗费补助、奖励金。</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251,169.96</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办公费、水费、电费、邮电费、差旅费、维修（护）费、培训费、工会经费、福利费、公务用车运行维护费、其他交通费用。</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58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天津市北辰区自然资源调查与登记中心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年度部门决算政府性基金预算财政拨款</w:t>
      </w:r>
      <w:r>
        <w:rPr>
          <w:rFonts w:hint="eastAsia" w:ascii="Times New Roman" w:hAnsi="Times New Roman" w:eastAsia="仿宋_GB2312" w:cs="仿宋_GB2312"/>
          <w:kern w:val="0"/>
          <w:sz w:val="30"/>
          <w:szCs w:val="30"/>
          <w:highlight w:val="none"/>
        </w:rPr>
        <w:t>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支出</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sz w:val="30"/>
          <w:szCs w:val="30"/>
          <w:highlight w:val="none"/>
        </w:rPr>
        <w:t>元，年末结转和结余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年度相比，政府性基金财政拨款支出</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sz w:val="30"/>
          <w:szCs w:val="30"/>
          <w:highlight w:val="none"/>
          <w:lang w:eastAsia="zh-CN"/>
        </w:rPr>
        <w:t>0.0%</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天津市北辰区自然资源调查与登记中心2023年度无政府性基金预算财政拨款收入、支出和结转结余。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天津市北辰区自然资源调查与登记中心</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kern w:val="0"/>
          <w:sz w:val="30"/>
          <w:szCs w:val="30"/>
          <w:highlight w:val="none"/>
        </w:rPr>
        <w:t>年度部门决算国有资本经营预算财政拨款年初结转和结余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元，支出</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元，年末结余和结余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hint="eastAsia" w:ascii="Times New Roman" w:hAnsi="Times New Roman" w:eastAsia="仿宋_GB2312" w:cs="仿宋_GB2312"/>
          <w:kern w:val="0"/>
          <w:sz w:val="30"/>
          <w:szCs w:val="30"/>
          <w:highlight w:val="none"/>
          <w:lang w:eastAsia="zh-CN"/>
        </w:rPr>
        <w:t>2022</w:t>
      </w:r>
      <w:r>
        <w:rPr>
          <w:rFonts w:hint="eastAsia" w:ascii="Times New Roman" w:hAnsi="Times New Roman" w:eastAsia="仿宋_GB2312" w:cs="仿宋_GB2312"/>
          <w:kern w:val="0"/>
          <w:sz w:val="30"/>
          <w:szCs w:val="30"/>
          <w:highlight w:val="none"/>
        </w:rPr>
        <w:t>年度相比，国有资本经营预算财政拨款支出</w:t>
      </w:r>
      <w:r>
        <w:rPr>
          <w:rFonts w:hint="eastAsia" w:ascii="Times New Roman" w:hAnsi="Times New Roman" w:eastAsia="仿宋_GB2312" w:cs="仿宋_GB2312"/>
          <w:kern w:val="0"/>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天津市北辰区自然资源调查与登记中心2023年度无国有资本经营预算财政拨款收入、支出和结转结余。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14,000.00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14,000.00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eastAsia="zh-CN"/>
        </w:rPr>
        <w:t>100.0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230.00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1.67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公务用车运行维护费增加。</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14,000.00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14,000.00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100.0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230.00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1.67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出行业务量较上年增加且增加了汽车维修费。</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14,000.00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14,000.00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bookmarkStart w:id="0" w:name="_GoBack"/>
      <w:bookmarkEnd w:id="0"/>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eastAsia="zh-CN"/>
        </w:rPr>
        <w:t>100.0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230.00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1.67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出行业务量较上年增加且增加了汽车维修费。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天津市北辰区自然资源调查与登记中心</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天津市北辰区自然资源调查与登记中心2023年度无机关运行经费。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天津市北辰区自然资源调查与登记中心</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814,316.00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37,000.00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777,316.00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777,316.00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95.46%</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777,316.00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95.46%</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天津市北辰区自然资源调查与登记中心</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副部（省）级及以上领导用车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主要</w:t>
      </w:r>
      <w:r>
        <w:rPr>
          <w:rFonts w:hint="eastAsia" w:ascii="Times New Roman" w:hAnsi="Times New Roman" w:eastAsia="仿宋_GB2312" w:cs="Times New Roman"/>
          <w:kern w:val="0"/>
          <w:sz w:val="30"/>
          <w:szCs w:val="30"/>
          <w:highlight w:val="none"/>
          <w:lang w:val="en-US" w:eastAsia="zh-CN"/>
        </w:rPr>
        <w:t>负责人</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1</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离退休干部</w:t>
      </w:r>
      <w:r>
        <w:rPr>
          <w:rFonts w:hint="eastAsia" w:ascii="Times New Roman" w:hAnsi="Times New Roman" w:eastAsia="仿宋_GB2312" w:cs="Times New Roman"/>
          <w:kern w:val="0"/>
          <w:sz w:val="30"/>
          <w:szCs w:val="30"/>
          <w:highlight w:val="none"/>
          <w:lang w:val="en-US" w:eastAsia="zh-CN"/>
        </w:rPr>
        <w:t>服务</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台（套）。</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根据预算绩效管理要求，天津市北辰区自然资源调查与登记中心2023年度已对7个项目开展绩效自评，涉及金额8150061.87元，自评结果已随部门决算一并公开。</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天津市北辰区自然资源调查与登记中心不属于乡、镇、街级单位，不涉及公开2023年度教育、医疗卫生、社会保障和就业、住房保障、涉农补贴等民生支出情况。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86B205D"/>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7F3BFA"/>
    <w:rsid w:val="43805C0B"/>
    <w:rsid w:val="43B835F7"/>
    <w:rsid w:val="44552CED"/>
    <w:rsid w:val="44B520CB"/>
    <w:rsid w:val="44EB17AA"/>
    <w:rsid w:val="45984C48"/>
    <w:rsid w:val="47727F60"/>
    <w:rsid w:val="485D29BF"/>
    <w:rsid w:val="48E126AC"/>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2927BC"/>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3150</Words>
  <Characters>5525</Characters>
  <Lines>82</Lines>
  <Paragraphs>23</Paragraphs>
  <TotalTime>0</TotalTime>
  <ScaleCrop>false</ScaleCrop>
  <LinksUpToDate>false</LinksUpToDate>
  <CharactersWithSpaces>5549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Administrator</cp:lastModifiedBy>
  <dcterms:modified xsi:type="dcterms:W3CDTF">2024-09-18T06:56:35Z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A44E0A178634409BBBA50D5636087390_13</vt:lpwstr>
  </property>
</Properties>
</file>