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highlight w:val="none"/>
        </w:rPr>
      </w:pPr>
      <w:r>
        <w:rPr>
          <w:rFonts w:hint="eastAsia" w:ascii="宋体" w:hAnsi="宋体" w:cs="宋体"/>
          <w:highlight w:val="none"/>
        </w:rPr>
        <w:t xml:space="preserve"> </w:t>
      </w:r>
    </w:p>
    <w:p>
      <w:pPr>
        <w:rPr>
          <w:rFonts w:ascii="宋体" w:hAnsi="宋体" w:cs="宋体"/>
          <w:highlight w:val="none"/>
        </w:rPr>
      </w:pPr>
    </w:p>
    <w:p>
      <w:pPr>
        <w:spacing w:line="360" w:lineRule="auto"/>
        <w:jc w:val="center"/>
        <w:rPr>
          <w:rFonts w:hint="eastAsia" w:ascii="微软雅黑" w:hAnsi="微软雅黑" w:eastAsia="微软雅黑" w:cs="微软雅黑"/>
          <w:w w:val="105"/>
          <w:kern w:val="0"/>
          <w:sz w:val="44"/>
          <w:szCs w:val="44"/>
          <w:highlight w:val="none"/>
        </w:rPr>
      </w:pPr>
      <w:r>
        <w:rPr>
          <w:rFonts w:hint="eastAsia" w:ascii="微软雅黑" w:hAnsi="微软雅黑" w:eastAsia="微软雅黑" w:cs="微软雅黑"/>
          <w:w w:val="105"/>
          <w:kern w:val="0"/>
          <w:sz w:val="44"/>
          <w:szCs w:val="44"/>
          <w:highlight w:val="none"/>
        </w:rPr>
        <w:t>京津冀青光镇新型城镇化建设项目</w:t>
      </w:r>
    </w:p>
    <w:p>
      <w:pPr>
        <w:spacing w:line="360" w:lineRule="auto"/>
        <w:jc w:val="center"/>
        <w:rPr>
          <w:rFonts w:ascii="微软雅黑" w:hAnsi="Times New Roman" w:eastAsia="微软雅黑" w:cs="Times New Roman"/>
          <w:w w:val="105"/>
          <w:kern w:val="0"/>
          <w:sz w:val="44"/>
          <w:szCs w:val="44"/>
          <w:highlight w:val="none"/>
        </w:rPr>
      </w:pPr>
      <w:r>
        <w:rPr>
          <w:rFonts w:hint="eastAsia" w:ascii="微软雅黑" w:hAnsi="微软雅黑" w:eastAsia="微软雅黑" w:cs="微软雅黑"/>
          <w:w w:val="105"/>
          <w:kern w:val="0"/>
          <w:sz w:val="44"/>
          <w:szCs w:val="44"/>
          <w:highlight w:val="none"/>
        </w:rPr>
        <w:t>绩效评价报告</w:t>
      </w:r>
    </w:p>
    <w:p>
      <w:pPr>
        <w:spacing w:line="360" w:lineRule="exact"/>
        <w:jc w:val="center"/>
        <w:rPr>
          <w:rFonts w:ascii="宋体" w:hAnsi="宋体" w:cs="宋体"/>
          <w:highlight w:val="none"/>
        </w:rPr>
      </w:pPr>
    </w:p>
    <w:p>
      <w:pPr>
        <w:spacing w:line="360" w:lineRule="exact"/>
        <w:jc w:val="center"/>
        <w:rPr>
          <w:rFonts w:ascii="宋体" w:hAnsi="宋体" w:cs="宋体"/>
          <w:highlight w:val="none"/>
        </w:rPr>
      </w:pPr>
    </w:p>
    <w:p>
      <w:pPr>
        <w:rPr>
          <w:rFonts w:ascii="宋体" w:hAnsi="宋体" w:cs="宋体"/>
          <w:sz w:val="32"/>
          <w:szCs w:val="32"/>
          <w:highlight w:val="none"/>
        </w:rPr>
      </w:pPr>
    </w:p>
    <w:p>
      <w:pPr>
        <w:spacing w:line="800" w:lineRule="exact"/>
        <w:rPr>
          <w:rFonts w:ascii="宋体" w:hAnsi="宋体" w:cs="宋体"/>
          <w:sz w:val="32"/>
          <w:szCs w:val="32"/>
          <w:highlight w:val="none"/>
        </w:rPr>
      </w:pPr>
    </w:p>
    <w:p>
      <w:pPr>
        <w:spacing w:line="800" w:lineRule="exact"/>
        <w:ind w:firstLine="640" w:firstLineChars="200"/>
        <w:jc w:val="left"/>
        <w:rPr>
          <w:rFonts w:ascii="仿宋_GB2312" w:hAnsi="宋体" w:eastAsia="仿宋_GB2312" w:cs="宋体"/>
          <w:sz w:val="32"/>
          <w:highlight w:val="none"/>
          <w:u w:val="single"/>
        </w:rPr>
      </w:pPr>
      <w:r>
        <w:rPr>
          <w:rFonts w:hint="eastAsia" w:ascii="仿宋_GB2312" w:hAnsi="宋体" w:eastAsia="仿宋_GB2312" w:cs="宋体"/>
          <w:sz w:val="32"/>
          <w:highlight w:val="none"/>
        </w:rPr>
        <w:t xml:space="preserve">项目名称 </w:t>
      </w:r>
      <w:r>
        <w:rPr>
          <w:rFonts w:hint="eastAsia" w:ascii="仿宋_GB2312" w:hAnsi="宋体" w:eastAsia="仿宋_GB2312" w:cs="宋体"/>
          <w:sz w:val="32"/>
          <w:highlight w:val="none"/>
          <w:u w:val="single"/>
        </w:rPr>
        <w:t>京津冀青光镇新型城镇化建设项目</w:t>
      </w:r>
    </w:p>
    <w:p>
      <w:pPr>
        <w:spacing w:line="800" w:lineRule="exact"/>
        <w:ind w:firstLine="640" w:firstLineChars="200"/>
        <w:jc w:val="left"/>
        <w:rPr>
          <w:rFonts w:hint="eastAsia" w:ascii="仿宋_GB2312" w:hAnsi="宋体" w:eastAsia="仿宋_GB2312" w:cs="宋体"/>
          <w:sz w:val="32"/>
          <w:highlight w:val="none"/>
        </w:rPr>
      </w:pPr>
      <w:r>
        <w:rPr>
          <w:rFonts w:hint="eastAsia" w:ascii="仿宋_GB2312" w:hAnsi="宋体" w:eastAsia="仿宋_GB2312" w:cs="宋体"/>
          <w:sz w:val="32"/>
          <w:highlight w:val="none"/>
          <w:lang w:val="en-US" w:eastAsia="zh-CN"/>
        </w:rPr>
        <w:t>主管单位</w:t>
      </w:r>
      <w:r>
        <w:rPr>
          <w:rFonts w:hint="eastAsia" w:ascii="仿宋_GB2312" w:hAnsi="宋体" w:eastAsia="仿宋_GB2312" w:cs="宋体"/>
          <w:sz w:val="32"/>
          <w:highlight w:val="none"/>
        </w:rPr>
        <w:t xml:space="preserve"> </w:t>
      </w:r>
      <w:r>
        <w:rPr>
          <w:rFonts w:hint="eastAsia" w:ascii="仿宋_GB2312" w:hAnsi="宋体" w:eastAsia="仿宋_GB2312" w:cs="宋体"/>
          <w:sz w:val="32"/>
          <w:highlight w:val="none"/>
          <w:u w:val="single"/>
        </w:rPr>
        <w:t xml:space="preserve">天津市北辰区发展和改革委员会  </w:t>
      </w:r>
    </w:p>
    <w:p>
      <w:pPr>
        <w:spacing w:line="800" w:lineRule="exact"/>
        <w:ind w:firstLine="640" w:firstLineChars="200"/>
        <w:jc w:val="left"/>
        <w:rPr>
          <w:rFonts w:ascii="仿宋_GB2312" w:hAnsi="宋体" w:eastAsia="仿宋_GB2312" w:cs="宋体"/>
          <w:sz w:val="32"/>
          <w:highlight w:val="none"/>
        </w:rPr>
      </w:pPr>
      <w:r>
        <w:rPr>
          <w:rFonts w:hint="eastAsia" w:ascii="仿宋_GB2312" w:hAnsi="宋体" w:eastAsia="仿宋_GB2312" w:cs="宋体"/>
          <w:sz w:val="32"/>
          <w:highlight w:val="none"/>
          <w:lang w:val="en-US" w:eastAsia="zh-CN"/>
        </w:rPr>
        <w:t>建设</w:t>
      </w:r>
      <w:r>
        <w:rPr>
          <w:rFonts w:hint="eastAsia" w:ascii="仿宋_GB2312" w:hAnsi="宋体" w:eastAsia="仿宋_GB2312" w:cs="宋体"/>
          <w:sz w:val="32"/>
          <w:highlight w:val="none"/>
        </w:rPr>
        <w:t xml:space="preserve">单位 </w:t>
      </w:r>
      <w:r>
        <w:rPr>
          <w:rFonts w:hint="eastAsia" w:ascii="仿宋_GB2312" w:hAnsi="宋体" w:eastAsia="仿宋_GB2312" w:cs="宋体"/>
          <w:sz w:val="32"/>
          <w:highlight w:val="none"/>
          <w:u w:val="single"/>
        </w:rPr>
        <w:t xml:space="preserve">天津市北辰区建设开发有限公司  </w:t>
      </w:r>
      <w:r>
        <w:rPr>
          <w:rFonts w:hint="eastAsia" w:ascii="仿宋_GB2312" w:hAnsi="宋体" w:eastAsia="仿宋_GB2312" w:cs="宋体"/>
          <w:sz w:val="32"/>
          <w:highlight w:val="none"/>
        </w:rPr>
        <w:t xml:space="preserve"> </w:t>
      </w:r>
    </w:p>
    <w:p>
      <w:pPr>
        <w:spacing w:line="800" w:lineRule="exact"/>
        <w:ind w:firstLine="1920" w:firstLineChars="800"/>
        <w:jc w:val="left"/>
        <w:rPr>
          <w:rFonts w:ascii="宋体" w:hAnsi="宋体" w:cs="宋体"/>
          <w:highlight w:val="none"/>
          <w:u w:val="single"/>
        </w:rPr>
      </w:pPr>
    </w:p>
    <w:p>
      <w:pPr>
        <w:spacing w:line="348" w:lineRule="auto"/>
        <w:jc w:val="center"/>
        <w:rPr>
          <w:rFonts w:ascii="宋体" w:hAnsi="宋体" w:cs="宋体"/>
          <w:highlight w:val="none"/>
        </w:rPr>
      </w:pPr>
    </w:p>
    <w:p>
      <w:pPr>
        <w:spacing w:line="348" w:lineRule="auto"/>
        <w:jc w:val="center"/>
        <w:rPr>
          <w:rFonts w:ascii="宋体" w:hAnsi="宋体" w:cs="宋体"/>
          <w:highlight w:val="none"/>
        </w:rPr>
      </w:pPr>
    </w:p>
    <w:p>
      <w:pPr>
        <w:spacing w:line="348" w:lineRule="auto"/>
        <w:jc w:val="center"/>
        <w:rPr>
          <w:rFonts w:ascii="宋体" w:hAnsi="宋体" w:cs="宋体"/>
          <w:highlight w:val="none"/>
        </w:rPr>
      </w:pPr>
    </w:p>
    <w:p>
      <w:pPr>
        <w:spacing w:line="348" w:lineRule="auto"/>
        <w:jc w:val="center"/>
        <w:rPr>
          <w:rFonts w:ascii="宋体" w:hAnsi="宋体" w:cs="宋体"/>
          <w:highlight w:val="none"/>
        </w:rPr>
      </w:pPr>
    </w:p>
    <w:p>
      <w:pPr>
        <w:spacing w:line="348" w:lineRule="auto"/>
        <w:jc w:val="center"/>
        <w:rPr>
          <w:rFonts w:ascii="宋体" w:hAnsi="宋体" w:cs="宋体"/>
          <w:highlight w:val="none"/>
        </w:rPr>
      </w:pPr>
    </w:p>
    <w:p>
      <w:pPr>
        <w:spacing w:line="348" w:lineRule="auto"/>
        <w:jc w:val="center"/>
        <w:rPr>
          <w:rFonts w:ascii="宋体" w:hAnsi="宋体" w:cs="宋体"/>
          <w:highlight w:val="none"/>
        </w:rPr>
      </w:pPr>
    </w:p>
    <w:p>
      <w:pPr>
        <w:spacing w:line="348" w:lineRule="auto"/>
        <w:jc w:val="center"/>
        <w:rPr>
          <w:rFonts w:ascii="仿宋_GB2312" w:hAnsi="宋体" w:eastAsia="仿宋_GB2312" w:cs="宋体"/>
          <w:sz w:val="32"/>
          <w:highlight w:val="none"/>
        </w:rPr>
      </w:pPr>
      <w:r>
        <w:rPr>
          <w:rFonts w:hint="eastAsia" w:ascii="仿宋_GB2312" w:hAnsi="宋体" w:eastAsia="仿宋_GB2312" w:cs="宋体"/>
          <w:sz w:val="32"/>
          <w:highlight w:val="none"/>
        </w:rPr>
        <w:t>天津广信有限责任会计师事务所</w:t>
      </w:r>
    </w:p>
    <w:p>
      <w:pPr>
        <w:spacing w:line="348" w:lineRule="auto"/>
        <w:jc w:val="center"/>
        <w:rPr>
          <w:rFonts w:ascii="仿宋_GB2312" w:hAnsi="宋体" w:eastAsia="仿宋_GB2312" w:cs="宋体"/>
          <w:sz w:val="32"/>
          <w:highlight w:val="none"/>
        </w:rPr>
      </w:pPr>
    </w:p>
    <w:p>
      <w:pPr>
        <w:spacing w:line="348" w:lineRule="auto"/>
        <w:jc w:val="center"/>
        <w:rPr>
          <w:rFonts w:ascii="仿宋_GB2312" w:hAnsi="宋体" w:eastAsia="仿宋_GB2312" w:cs="宋体"/>
          <w:sz w:val="32"/>
          <w:highlight w:val="none"/>
        </w:rPr>
      </w:pPr>
      <w:r>
        <w:rPr>
          <w:rFonts w:hint="eastAsia" w:ascii="仿宋_GB2312" w:hAnsi="宋体" w:eastAsia="仿宋_GB2312" w:cs="宋体"/>
          <w:sz w:val="32"/>
          <w:highlight w:val="none"/>
        </w:rPr>
        <w:t>2022年12月2日</w:t>
      </w:r>
    </w:p>
    <w:p>
      <w:pPr>
        <w:spacing w:line="348" w:lineRule="auto"/>
        <w:jc w:val="center"/>
        <w:rPr>
          <w:rFonts w:ascii="仿宋_GB2312" w:hAnsi="宋体" w:eastAsia="仿宋_GB2312" w:cs="宋体"/>
          <w:sz w:val="32"/>
          <w:highlight w:val="none"/>
        </w:rPr>
        <w:sectPr>
          <w:pgSz w:w="11906" w:h="16838"/>
          <w:pgMar w:top="1440" w:right="1800" w:bottom="1440" w:left="1800" w:header="851" w:footer="992" w:gutter="0"/>
          <w:pgNumType w:fmt="decimal"/>
          <w:cols w:space="425" w:num="1"/>
          <w:docGrid w:type="lines" w:linePitch="312" w:charSpace="0"/>
        </w:sectPr>
      </w:pPr>
    </w:p>
    <w:sdt>
      <w:sdtPr>
        <w:rPr>
          <w:rFonts w:hint="eastAsia" w:ascii="仿宋_GB2312" w:hAnsi="仿宋_GB2312" w:eastAsia="仿宋_GB2312" w:cs="仿宋_GB2312"/>
          <w:sz w:val="32"/>
          <w:szCs w:val="32"/>
          <w:highlight w:val="none"/>
        </w:rPr>
        <w:id w:val="147481590"/>
        <w:docPartObj>
          <w:docPartGallery w:val="Table of Contents"/>
          <w:docPartUnique/>
        </w:docPartObj>
      </w:sdtPr>
      <w:sdtEndPr>
        <w:rPr>
          <w:rFonts w:hint="eastAsia" w:ascii="宋体" w:hAnsi="宋体" w:eastAsia="宋体" w:cs="宋体"/>
          <w:b/>
          <w:sz w:val="20"/>
          <w:szCs w:val="20"/>
          <w:highlight w:val="none"/>
        </w:rPr>
      </w:sdtEndPr>
      <w:sdtContent>
        <w:p>
          <w:pPr>
            <w:spacing w:line="600" w:lineRule="exact"/>
            <w:jc w:val="center"/>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目  录</w:t>
          </w:r>
        </w:p>
        <w:p>
          <w:pPr>
            <w:pStyle w:val="10"/>
            <w:tabs>
              <w:tab w:val="right" w:leader="dot" w:pos="8306"/>
            </w:tabs>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fldChar w:fldCharType="begin"/>
          </w:r>
          <w:r>
            <w:rPr>
              <w:rFonts w:hint="eastAsia" w:ascii="仿宋_GB2312" w:hAnsi="仿宋_GB2312" w:eastAsia="仿宋_GB2312" w:cs="仿宋_GB2312"/>
              <w:b/>
              <w:sz w:val="32"/>
              <w:szCs w:val="32"/>
              <w:highlight w:val="none"/>
            </w:rPr>
            <w:instrText xml:space="preserve">TOC \o "1-2" \h \u </w:instrText>
          </w:r>
          <w:r>
            <w:rPr>
              <w:rFonts w:hint="eastAsia" w:ascii="仿宋_GB2312" w:hAnsi="仿宋_GB2312" w:eastAsia="仿宋_GB2312" w:cs="仿宋_GB2312"/>
              <w:b/>
              <w:sz w:val="32"/>
              <w:szCs w:val="32"/>
              <w:highlight w:val="none"/>
            </w:rPr>
            <w:fldChar w:fldCharType="separate"/>
          </w:r>
          <w:r>
            <w:rPr>
              <w:highlight w:val="none"/>
            </w:rPr>
            <w:fldChar w:fldCharType="begin"/>
          </w:r>
          <w:r>
            <w:rPr>
              <w:highlight w:val="none"/>
            </w:rPr>
            <w:instrText xml:space="preserve"> HYPERLINK \l "_Toc15506" </w:instrText>
          </w:r>
          <w:r>
            <w:rPr>
              <w:highlight w:val="none"/>
            </w:rPr>
            <w:fldChar w:fldCharType="separate"/>
          </w:r>
          <w:r>
            <w:rPr>
              <w:rFonts w:hint="eastAsia" w:ascii="仿宋_GB2312" w:hAnsi="仿宋_GB2312" w:eastAsia="仿宋_GB2312" w:cs="仿宋_GB2312"/>
              <w:sz w:val="32"/>
              <w:szCs w:val="32"/>
              <w:highlight w:val="none"/>
            </w:rPr>
            <w:t>一、 基本情况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_Toc15506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"_Toc27303" </w:instrText>
          </w:r>
          <w:r>
            <w:rPr>
              <w:highlight w:val="none"/>
            </w:rPr>
            <w:fldChar w:fldCharType="separate"/>
          </w:r>
          <w:r>
            <w:rPr>
              <w:rFonts w:hint="eastAsia" w:ascii="仿宋_GB2312" w:hAnsi="仿宋_GB2312" w:eastAsia="仿宋_GB2312" w:cs="仿宋_GB2312"/>
              <w:sz w:val="32"/>
              <w:szCs w:val="32"/>
              <w:highlight w:val="none"/>
            </w:rPr>
            <w:t>（一） 项目概况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_Toc27303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"_Toc7367" </w:instrText>
          </w:r>
          <w:r>
            <w:rPr>
              <w:highlight w:val="none"/>
            </w:rPr>
            <w:fldChar w:fldCharType="separate"/>
          </w:r>
          <w:r>
            <w:rPr>
              <w:rFonts w:hint="eastAsia" w:ascii="仿宋_GB2312" w:hAnsi="仿宋_GB2312" w:eastAsia="仿宋_GB2312" w:cs="仿宋_GB2312"/>
              <w:sz w:val="32"/>
              <w:szCs w:val="32"/>
              <w:highlight w:val="none"/>
            </w:rPr>
            <w:t>（二）项目绩效目标</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_Toc7367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0"/>
            <w:tabs>
              <w:tab w:val="right" w:leader="dot" w:pos="8306"/>
            </w:tabs>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"_Toc60" </w:instrText>
          </w:r>
          <w:r>
            <w:rPr>
              <w:highlight w:val="none"/>
            </w:rPr>
            <w:fldChar w:fldCharType="separate"/>
          </w:r>
          <w:r>
            <w:rPr>
              <w:rFonts w:hint="eastAsia" w:ascii="仿宋_GB2312" w:hAnsi="仿宋_GB2312" w:eastAsia="仿宋_GB2312" w:cs="仿宋_GB2312"/>
              <w:sz w:val="32"/>
              <w:szCs w:val="32"/>
              <w:highlight w:val="none"/>
            </w:rPr>
            <w:t>二、绩效评价工作开展情况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_Toc60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"_Toc7060" </w:instrText>
          </w:r>
          <w:r>
            <w:rPr>
              <w:highlight w:val="none"/>
            </w:rPr>
            <w:fldChar w:fldCharType="separate"/>
          </w:r>
          <w:r>
            <w:rPr>
              <w:rFonts w:hint="eastAsia" w:ascii="仿宋_GB2312" w:hAnsi="仿宋_GB2312" w:eastAsia="仿宋_GB2312" w:cs="仿宋_GB2312"/>
              <w:sz w:val="32"/>
              <w:szCs w:val="32"/>
              <w:highlight w:val="none"/>
            </w:rPr>
            <w:t>（一）绩效评价目的、对象和范围</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_Toc7060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"_Toc7895" </w:instrText>
          </w:r>
          <w:r>
            <w:rPr>
              <w:highlight w:val="none"/>
            </w:rPr>
            <w:fldChar w:fldCharType="separate"/>
          </w:r>
          <w:r>
            <w:rPr>
              <w:rFonts w:hint="eastAsia" w:ascii="仿宋_GB2312" w:hAnsi="仿宋_GB2312" w:eastAsia="仿宋_GB2312" w:cs="仿宋_GB2312"/>
              <w:sz w:val="32"/>
              <w:szCs w:val="32"/>
              <w:highlight w:val="none"/>
            </w:rPr>
            <w:t>（二）绩效评价原则、绩效评价指标体系、评价方法和评价标准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_Toc7895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"_Toc25052" </w:instrText>
          </w:r>
          <w:r>
            <w:rPr>
              <w:highlight w:val="none"/>
            </w:rPr>
            <w:fldChar w:fldCharType="separate"/>
          </w:r>
          <w:r>
            <w:rPr>
              <w:rFonts w:hint="eastAsia" w:ascii="仿宋_GB2312" w:hAnsi="仿宋_GB2312" w:eastAsia="仿宋_GB2312" w:cs="仿宋_GB2312"/>
              <w:sz w:val="32"/>
              <w:szCs w:val="32"/>
              <w:highlight w:val="none"/>
            </w:rPr>
            <w:t>（三）绩效评价工作过程</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_Toc25052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0"/>
            <w:tabs>
              <w:tab w:val="right" w:leader="dot" w:pos="8306"/>
            </w:tabs>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"_Toc3156" </w:instrText>
          </w:r>
          <w:r>
            <w:rPr>
              <w:highlight w:val="none"/>
            </w:rPr>
            <w:fldChar w:fldCharType="separate"/>
          </w:r>
          <w:r>
            <w:rPr>
              <w:rFonts w:hint="eastAsia" w:ascii="仿宋_GB2312" w:hAnsi="仿宋_GB2312" w:eastAsia="仿宋_GB2312" w:cs="仿宋_GB2312"/>
              <w:sz w:val="32"/>
              <w:szCs w:val="32"/>
              <w:highlight w:val="none"/>
            </w:rPr>
            <w:t>三、综合评价情况及评价结论</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_Toc3156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11</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"_Toc25734" </w:instrText>
          </w:r>
          <w:r>
            <w:rPr>
              <w:highlight w:val="none"/>
            </w:rPr>
            <w:fldChar w:fldCharType="separate"/>
          </w:r>
          <w:r>
            <w:rPr>
              <w:rFonts w:hint="eastAsia" w:ascii="仿宋_GB2312" w:hAnsi="仿宋_GB2312" w:eastAsia="仿宋_GB2312" w:cs="仿宋_GB2312"/>
              <w:sz w:val="32"/>
              <w:szCs w:val="32"/>
              <w:highlight w:val="none"/>
            </w:rPr>
            <w:t>（一）评价得分情况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_Toc25734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11</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"_Toc32398" </w:instrText>
          </w:r>
          <w:r>
            <w:rPr>
              <w:highlight w:val="none"/>
            </w:rPr>
            <w:fldChar w:fldCharType="separate"/>
          </w:r>
          <w:r>
            <w:rPr>
              <w:rFonts w:hint="eastAsia" w:ascii="仿宋_GB2312" w:hAnsi="仿宋_GB2312" w:eastAsia="仿宋_GB2312" w:cs="仿宋_GB2312"/>
              <w:sz w:val="32"/>
              <w:szCs w:val="32"/>
              <w:highlight w:val="none"/>
            </w:rPr>
            <w:t>（二）项目所实现的主要绩效</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_Toc32398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12</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0"/>
            <w:tabs>
              <w:tab w:val="right" w:leader="dot" w:pos="8306"/>
            </w:tabs>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"_Toc3151" </w:instrText>
          </w:r>
          <w:r>
            <w:rPr>
              <w:highlight w:val="none"/>
            </w:rPr>
            <w:fldChar w:fldCharType="separate"/>
          </w:r>
          <w:r>
            <w:rPr>
              <w:rFonts w:hint="eastAsia" w:ascii="仿宋_GB2312" w:hAnsi="仿宋_GB2312" w:eastAsia="仿宋_GB2312" w:cs="仿宋_GB2312"/>
              <w:sz w:val="32"/>
              <w:szCs w:val="32"/>
              <w:highlight w:val="none"/>
            </w:rPr>
            <w:t>四、绩效评价指标分析</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_Toc3151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13</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"_Toc17522" </w:instrText>
          </w:r>
          <w:r>
            <w:rPr>
              <w:highlight w:val="none"/>
            </w:rPr>
            <w:fldChar w:fldCharType="separate"/>
          </w:r>
          <w:r>
            <w:rPr>
              <w:rFonts w:hint="eastAsia" w:ascii="仿宋_GB2312" w:hAnsi="仿宋_GB2312" w:eastAsia="仿宋_GB2312" w:cs="仿宋_GB2312"/>
              <w:sz w:val="32"/>
              <w:szCs w:val="32"/>
              <w:highlight w:val="none"/>
            </w:rPr>
            <w:t>（一）项目决策情况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_Toc17522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13</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"_Toc22789" </w:instrText>
          </w:r>
          <w:r>
            <w:rPr>
              <w:highlight w:val="none"/>
            </w:rPr>
            <w:fldChar w:fldCharType="separate"/>
          </w:r>
          <w:r>
            <w:rPr>
              <w:rFonts w:hint="eastAsia" w:ascii="仿宋_GB2312" w:hAnsi="仿宋_GB2312" w:eastAsia="仿宋_GB2312" w:cs="仿宋_GB2312"/>
              <w:sz w:val="32"/>
              <w:szCs w:val="32"/>
              <w:highlight w:val="none"/>
            </w:rPr>
            <w:t>（二）项目过程情况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_Toc22789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15</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"_Toc198" </w:instrText>
          </w:r>
          <w:r>
            <w:rPr>
              <w:highlight w:val="none"/>
            </w:rPr>
            <w:fldChar w:fldCharType="separate"/>
          </w:r>
          <w:r>
            <w:rPr>
              <w:rFonts w:hint="eastAsia" w:ascii="仿宋_GB2312" w:hAnsi="仿宋_GB2312" w:eastAsia="仿宋_GB2312" w:cs="仿宋_GB2312"/>
              <w:sz w:val="32"/>
              <w:szCs w:val="32"/>
              <w:highlight w:val="none"/>
            </w:rPr>
            <w:t>（三）项目产出情况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_Toc198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16</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"_Toc17347" </w:instrText>
          </w:r>
          <w:r>
            <w:rPr>
              <w:highlight w:val="none"/>
            </w:rPr>
            <w:fldChar w:fldCharType="separate"/>
          </w:r>
          <w:r>
            <w:rPr>
              <w:rFonts w:hint="eastAsia" w:ascii="仿宋_GB2312" w:hAnsi="仿宋_GB2312" w:eastAsia="仿宋_GB2312" w:cs="仿宋_GB2312"/>
              <w:sz w:val="32"/>
              <w:szCs w:val="32"/>
              <w:highlight w:val="none"/>
            </w:rPr>
            <w:t>（四）项目绩效情况</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_Toc17347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17</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0"/>
            <w:tabs>
              <w:tab w:val="right" w:leader="dot" w:pos="8306"/>
            </w:tabs>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"_Toc19454" </w:instrText>
          </w:r>
          <w:r>
            <w:rPr>
              <w:highlight w:val="none"/>
            </w:rPr>
            <w:fldChar w:fldCharType="separate"/>
          </w:r>
          <w:r>
            <w:rPr>
              <w:rFonts w:hint="eastAsia" w:ascii="仿宋_GB2312" w:hAnsi="仿宋_GB2312" w:eastAsia="仿宋_GB2312" w:cs="仿宋_GB2312"/>
              <w:sz w:val="32"/>
              <w:szCs w:val="32"/>
              <w:highlight w:val="none"/>
            </w:rPr>
            <w:t>五、存在问题</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_Toc19454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18</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"_Toc32743" </w:instrText>
          </w:r>
          <w:r>
            <w:rPr>
              <w:highlight w:val="none"/>
            </w:rPr>
            <w:fldChar w:fldCharType="separate"/>
          </w:r>
          <w:r>
            <w:rPr>
              <w:rFonts w:hint="eastAsia" w:ascii="仿宋_GB2312" w:hAnsi="仿宋_GB2312" w:eastAsia="仿宋_GB2312" w:cs="仿宋_GB2312"/>
              <w:sz w:val="32"/>
              <w:szCs w:val="32"/>
              <w:highlight w:val="none"/>
            </w:rPr>
            <w:t>（一）绩效指标设置不够明确</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_Toc32743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18</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"_Toc32209" </w:instrText>
          </w:r>
          <w:r>
            <w:rPr>
              <w:highlight w:val="none"/>
            </w:rPr>
            <w:fldChar w:fldCharType="separate"/>
          </w:r>
          <w:r>
            <w:rPr>
              <w:rFonts w:hint="eastAsia" w:ascii="仿宋_GB2312" w:hAnsi="仿宋_GB2312" w:eastAsia="仿宋_GB2312" w:cs="仿宋_GB2312"/>
              <w:sz w:val="32"/>
              <w:szCs w:val="32"/>
              <w:highlight w:val="none"/>
            </w:rPr>
            <w:t>（二）项目监管措施不够明确、具体</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_Toc32209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19</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"_Toc30933" </w:instrText>
          </w:r>
          <w:r>
            <w:rPr>
              <w:highlight w:val="none"/>
            </w:rPr>
            <w:fldChar w:fldCharType="separate"/>
          </w:r>
          <w:r>
            <w:rPr>
              <w:rFonts w:hint="eastAsia" w:ascii="仿宋_GB2312" w:hAnsi="仿宋_GB2312" w:eastAsia="仿宋_GB2312" w:cs="仿宋_GB2312"/>
              <w:sz w:val="32"/>
              <w:szCs w:val="32"/>
              <w:highlight w:val="none"/>
            </w:rPr>
            <w:t>（三）未针对服务对象开展满意度问卷调查</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_Toc30933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19</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0"/>
            <w:tabs>
              <w:tab w:val="right" w:leader="dot" w:pos="8306"/>
            </w:tabs>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"_Toc9330" </w:instrText>
          </w:r>
          <w:r>
            <w:rPr>
              <w:highlight w:val="none"/>
            </w:rPr>
            <w:fldChar w:fldCharType="separate"/>
          </w:r>
          <w:r>
            <w:rPr>
              <w:rFonts w:hint="eastAsia" w:ascii="仿宋_GB2312" w:hAnsi="仿宋_GB2312" w:eastAsia="仿宋_GB2312" w:cs="仿宋_GB2312"/>
              <w:sz w:val="32"/>
              <w:szCs w:val="32"/>
              <w:highlight w:val="none"/>
            </w:rPr>
            <w:t>六、相关建议</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_Toc9330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19</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"_Toc6860" </w:instrText>
          </w:r>
          <w:r>
            <w:rPr>
              <w:highlight w:val="none"/>
            </w:rPr>
            <w:fldChar w:fldCharType="separate"/>
          </w:r>
          <w:r>
            <w:rPr>
              <w:rFonts w:hint="eastAsia" w:ascii="仿宋_GB2312" w:hAnsi="仿宋_GB2312" w:eastAsia="仿宋_GB2312" w:cs="仿宋_GB2312"/>
              <w:sz w:val="32"/>
              <w:szCs w:val="32"/>
              <w:highlight w:val="none"/>
            </w:rPr>
            <w:t>（一）进一步完善绩效目标</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_Toc6860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19</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rFonts w:ascii="仿宋_GB2312" w:hAnsi="仿宋_GB2312" w:eastAsia="仿宋_GB2312" w:cs="仿宋_GB2312"/>
              <w:sz w:val="32"/>
              <w:szCs w:val="32"/>
              <w:highlight w:val="none"/>
            </w:rPr>
          </w:pPr>
          <w:r>
            <w:rPr>
              <w:highlight w:val="none"/>
            </w:rPr>
            <w:fldChar w:fldCharType="begin"/>
          </w:r>
          <w:r>
            <w:rPr>
              <w:highlight w:val="none"/>
            </w:rPr>
            <w:instrText xml:space="preserve"> HYPERLINK \l "_Toc7834" </w:instrText>
          </w:r>
          <w:r>
            <w:rPr>
              <w:highlight w:val="none"/>
            </w:rPr>
            <w:fldChar w:fldCharType="separate"/>
          </w:r>
          <w:r>
            <w:rPr>
              <w:rFonts w:hint="eastAsia" w:ascii="仿宋_GB2312" w:hAnsi="仿宋_GB2312" w:eastAsia="仿宋_GB2312" w:cs="仿宋_GB2312"/>
              <w:sz w:val="32"/>
              <w:szCs w:val="32"/>
              <w:highlight w:val="none"/>
            </w:rPr>
            <w:t>（二）加强对项目开展过程监管</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_Toc7834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19</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pStyle w:val="11"/>
            <w:tabs>
              <w:tab w:val="right" w:leader="dot" w:pos="8306"/>
            </w:tabs>
            <w:ind w:left="480"/>
            <w:rPr>
              <w:highlight w:val="none"/>
            </w:rPr>
          </w:pPr>
          <w:r>
            <w:rPr>
              <w:highlight w:val="none"/>
            </w:rPr>
            <w:fldChar w:fldCharType="begin"/>
          </w:r>
          <w:r>
            <w:rPr>
              <w:highlight w:val="none"/>
            </w:rPr>
            <w:instrText xml:space="preserve"> HYPERLINK \l "_Toc10063" </w:instrText>
          </w:r>
          <w:r>
            <w:rPr>
              <w:highlight w:val="none"/>
            </w:rPr>
            <w:fldChar w:fldCharType="separate"/>
          </w:r>
          <w:r>
            <w:rPr>
              <w:rFonts w:hint="eastAsia" w:ascii="仿宋_GB2312" w:hAnsi="仿宋_GB2312" w:eastAsia="仿宋_GB2312" w:cs="仿宋_GB2312"/>
              <w:sz w:val="32"/>
              <w:szCs w:val="32"/>
              <w:highlight w:val="none"/>
            </w:rPr>
            <w:t>（三）加强对绩效成果支撑资料的收集</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PAGEREF _Toc10063 \h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fldChar w:fldCharType="end"/>
          </w:r>
        </w:p>
        <w:p>
          <w:pPr>
            <w:spacing w:line="600" w:lineRule="exact"/>
            <w:rPr>
              <w:rFonts w:ascii="宋体" w:hAnsi="宋体" w:cs="宋体"/>
              <w:b/>
              <w:sz w:val="20"/>
              <w:szCs w:val="20"/>
              <w:highlight w:val="none"/>
            </w:rPr>
          </w:pPr>
          <w:r>
            <w:rPr>
              <w:rFonts w:hint="eastAsia" w:ascii="仿宋_GB2312" w:hAnsi="仿宋_GB2312" w:eastAsia="仿宋_GB2312" w:cs="仿宋_GB2312"/>
              <w:szCs w:val="32"/>
              <w:highlight w:val="none"/>
            </w:rPr>
            <w:fldChar w:fldCharType="end"/>
          </w:r>
        </w:p>
      </w:sdtContent>
    </w:sdt>
    <w:p>
      <w:pPr>
        <w:spacing w:line="360" w:lineRule="auto"/>
        <w:jc w:val="center"/>
        <w:rPr>
          <w:rFonts w:ascii="微软雅黑" w:hAnsi="Times New Roman" w:eastAsia="微软雅黑" w:cs="Times New Roman"/>
          <w:w w:val="105"/>
          <w:kern w:val="0"/>
          <w:sz w:val="44"/>
          <w:szCs w:val="44"/>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Toc4506"/>
      <w:bookmarkStart w:id="1" w:name="_Toc20096"/>
    </w:p>
    <w:p>
      <w:pPr>
        <w:spacing w:line="360" w:lineRule="auto"/>
        <w:jc w:val="center"/>
        <w:rPr>
          <w:rFonts w:hint="eastAsia" w:ascii="微软雅黑" w:hAnsi="微软雅黑" w:eastAsia="微软雅黑" w:cs="微软雅黑"/>
          <w:w w:val="105"/>
          <w:kern w:val="0"/>
          <w:sz w:val="44"/>
          <w:szCs w:val="44"/>
          <w:highlight w:val="none"/>
        </w:rPr>
      </w:pPr>
      <w:r>
        <w:rPr>
          <w:rFonts w:hint="eastAsia" w:ascii="微软雅黑" w:hAnsi="微软雅黑" w:eastAsia="微软雅黑" w:cs="微软雅黑"/>
          <w:w w:val="105"/>
          <w:kern w:val="0"/>
          <w:sz w:val="44"/>
          <w:szCs w:val="44"/>
          <w:highlight w:val="none"/>
        </w:rPr>
        <w:t>京津冀青光镇新型城镇化建设项目</w:t>
      </w:r>
    </w:p>
    <w:p>
      <w:pPr>
        <w:spacing w:line="360" w:lineRule="auto"/>
        <w:jc w:val="center"/>
        <w:rPr>
          <w:rFonts w:hint="eastAsia" w:ascii="微软雅黑" w:hAnsi="微软雅黑" w:eastAsia="微软雅黑" w:cs="微软雅黑"/>
          <w:w w:val="105"/>
          <w:kern w:val="0"/>
          <w:sz w:val="44"/>
          <w:szCs w:val="44"/>
          <w:highlight w:val="none"/>
        </w:rPr>
      </w:pPr>
      <w:r>
        <w:rPr>
          <w:rFonts w:hint="eastAsia" w:ascii="微软雅黑" w:hAnsi="微软雅黑" w:eastAsia="微软雅黑" w:cs="微软雅黑"/>
          <w:w w:val="105"/>
          <w:kern w:val="0"/>
          <w:sz w:val="44"/>
          <w:szCs w:val="44"/>
          <w:highlight w:val="none"/>
        </w:rPr>
        <w:t>绩效评价报告</w:t>
      </w:r>
      <w:bookmarkEnd w:id="0"/>
      <w:bookmarkEnd w:id="1"/>
    </w:p>
    <w:p>
      <w:pPr>
        <w:spacing w:line="400" w:lineRule="exact"/>
        <w:ind w:firstLine="643" w:firstLineChars="200"/>
        <w:jc w:val="center"/>
        <w:rPr>
          <w:rFonts w:ascii="宋体" w:hAnsi="宋体" w:cs="宋体"/>
          <w:b/>
          <w:sz w:val="32"/>
          <w:szCs w:val="32"/>
          <w:highlight w:val="none"/>
        </w:rPr>
      </w:pPr>
    </w:p>
    <w:p>
      <w:pPr>
        <w:spacing w:line="600" w:lineRule="exact"/>
        <w:ind w:firstLine="640" w:firstLineChars="200"/>
        <w:rPr>
          <w:rFonts w:ascii="宋体" w:hAnsi="宋体" w:cs="宋体"/>
          <w:highlight w:val="none"/>
        </w:rPr>
      </w:pPr>
      <w:bookmarkStart w:id="2" w:name="_Hlk57149210"/>
      <w:bookmarkStart w:id="3" w:name="_Hlk54797039"/>
      <w:r>
        <w:rPr>
          <w:rFonts w:hint="eastAsia" w:ascii="仿宋_GB2312" w:hAnsi="仿宋_GB2312" w:eastAsia="仿宋_GB2312" w:cs="仿宋_GB2312"/>
          <w:sz w:val="32"/>
          <w:szCs w:val="32"/>
          <w:highlight w:val="none"/>
        </w:rPr>
        <w:t>为进一步规范天津市北辰区发展和改革委员会（以下简称“</w:t>
      </w:r>
      <w:r>
        <w:rPr>
          <w:rFonts w:hint="eastAsia" w:ascii="仿宋_GB2312" w:hAnsi="仿宋_GB2312" w:eastAsia="仿宋_GB2312" w:cs="仿宋_GB2312"/>
          <w:sz w:val="32"/>
          <w:szCs w:val="32"/>
          <w:highlight w:val="none"/>
          <w:lang w:eastAsia="zh-CN"/>
        </w:rPr>
        <w:t>区发展改革委</w:t>
      </w:r>
      <w:r>
        <w:rPr>
          <w:rFonts w:hint="eastAsia" w:ascii="仿宋_GB2312" w:hAnsi="仿宋_GB2312" w:eastAsia="仿宋_GB2312" w:cs="仿宋_GB2312"/>
          <w:sz w:val="32"/>
          <w:szCs w:val="32"/>
          <w:highlight w:val="none"/>
        </w:rPr>
        <w:t>”）关于京津冀青光镇新型城镇化建设项目专项资金管理和使用，我们接受天津市北辰区财政局的委托，通过对项目执行与完成情况的全面了解和</w:t>
      </w:r>
      <w:bookmarkStart w:id="39" w:name="_GoBack"/>
      <w:bookmarkEnd w:id="39"/>
      <w:r>
        <w:rPr>
          <w:rFonts w:hint="eastAsia" w:ascii="仿宋_GB2312" w:hAnsi="仿宋_GB2312" w:eastAsia="仿宋_GB2312" w:cs="仿宋_GB2312"/>
          <w:sz w:val="32"/>
          <w:szCs w:val="32"/>
          <w:highlight w:val="none"/>
        </w:rPr>
        <w:t>分析，对项目立项、项目决策、项目管理、项目绩效等情况进行评价，在核实、收集、整理、汇总、分析绩效相关资料的基础上，形成了项目绩效评价报告。现将绩效评价情况报告如下：</w:t>
      </w:r>
      <w:bookmarkEnd w:id="2"/>
    </w:p>
    <w:bookmarkEnd w:id="3"/>
    <w:p>
      <w:pPr>
        <w:pStyle w:val="3"/>
        <w:numPr>
          <w:ilvl w:val="0"/>
          <w:numId w:val="2"/>
        </w:numPr>
        <w:spacing w:before="0" w:after="0" w:line="600" w:lineRule="exact"/>
        <w:ind w:firstLine="640" w:firstLineChars="200"/>
        <w:rPr>
          <w:rFonts w:ascii="黑体" w:hAnsi="黑体" w:eastAsia="黑体" w:cs="黑体"/>
          <w:b w:val="0"/>
          <w:kern w:val="2"/>
          <w:sz w:val="32"/>
          <w:szCs w:val="32"/>
          <w:highlight w:val="none"/>
        </w:rPr>
      </w:pPr>
      <w:bookmarkStart w:id="4" w:name="_Toc15506"/>
      <w:r>
        <w:rPr>
          <w:rFonts w:hint="eastAsia" w:ascii="黑体" w:hAnsi="黑体" w:eastAsia="黑体" w:cs="黑体"/>
          <w:b w:val="0"/>
          <w:kern w:val="2"/>
          <w:sz w:val="32"/>
          <w:szCs w:val="32"/>
          <w:highlight w:val="none"/>
        </w:rPr>
        <w:t>基本情况</w:t>
      </w:r>
      <w:bookmarkEnd w:id="4"/>
    </w:p>
    <w:p>
      <w:pPr>
        <w:pStyle w:val="4"/>
        <w:spacing w:before="0" w:after="0" w:line="600" w:lineRule="exact"/>
        <w:ind w:left="0" w:firstLine="640" w:firstLineChars="200"/>
        <w:rPr>
          <w:rFonts w:ascii="仿宋_GB2312" w:hAnsi="仿宋_GB2312" w:eastAsia="仿宋_GB2312" w:cs="仿宋_GB2312"/>
          <w:sz w:val="32"/>
          <w:szCs w:val="32"/>
          <w:highlight w:val="none"/>
        </w:rPr>
      </w:pPr>
      <w:bookmarkStart w:id="5" w:name="_Toc27303"/>
      <w:r>
        <w:rPr>
          <w:rFonts w:hint="eastAsia" w:ascii="仿宋_GB2312" w:hAnsi="仿宋_GB2312" w:eastAsia="仿宋_GB2312" w:cs="仿宋_GB2312"/>
          <w:sz w:val="32"/>
          <w:szCs w:val="32"/>
          <w:highlight w:val="none"/>
        </w:rPr>
        <w:t>项目概况</w:t>
      </w:r>
      <w:bookmarkEnd w:id="5"/>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1、项目背景及主要内容</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《天津市城市总体规划（2005－2020年）》</w:t>
      </w:r>
      <w:r>
        <w:rPr>
          <w:rFonts w:hint="eastAsia" w:ascii="仿宋_GB2312" w:hAnsi="仿宋_GB2312" w:eastAsia="仿宋_GB2312" w:cs="仿宋_GB2312"/>
          <w:sz w:val="32"/>
          <w:szCs w:val="32"/>
          <w:highlight w:val="none"/>
          <w:lang w:val="en-US" w:eastAsia="zh-CN"/>
        </w:rPr>
        <w:t>提出</w:t>
      </w:r>
      <w:r>
        <w:rPr>
          <w:rFonts w:hint="eastAsia" w:ascii="仿宋_GB2312" w:hAnsi="仿宋_GB2312" w:eastAsia="仿宋_GB2312" w:cs="仿宋_GB2312"/>
          <w:sz w:val="32"/>
          <w:szCs w:val="32"/>
          <w:highlight w:val="none"/>
        </w:rPr>
        <w:t>“以实现城乡和区域的统筹为目标，根据天津城镇人口和特征，在一轴两带三区，空间布局结构的基础上，明确提出以中心城区和滨海新区核心区为主副中心，建立由主副中心、新城、中心镇和一般镇组成的四级城镇体系，按照循序渐进、节约用地、集约发展、合理布局的原则，因地制宜地稳步推进城镇化，逐步改变城乡二元结构，提高城镇化水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北辰区政府认真抓好规划落地，积极探索开展示范小城镇建设工作，努力做到在适应新的经济建设发展形势上，加快改善农村居住条件，提高农民收入，加强土地集约使用，加速推进示范小城镇建设。</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北辰区青光镇示范小城镇于2011年经天津市政府批准列入第四批示范小城镇的试点镇。天津市发展和改革委员会以《关于北辰区青光示范小城镇农民安置用房建设项目建议书批复》(津发改城镇〔2012〕37号)批准“青光示范小城镇建设”项目立项，该项目是规划建设新型小城镇和促进天津市及北辰区城乡经济和社会协调发展的重要项目。</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2、项目组织实施概况</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关于北辰区青光示范小城镇农民安置用房建设项目建议书的批复》（津发改城镇〔2012〕37号）、《关于北辰区青光示范小城镇韩家墅项目区农民安置用房建设项目可行性研究报告的批复》（津发改城镇〔2012〕465号）和《市发展改革委关于北辰区青光示范小城镇李家房子和青光项目区农民安置用房建设项目可行性研究报告的批复》（津发改城镇〔2015〕365号）</w:t>
      </w:r>
      <w:r>
        <w:rPr>
          <w:rFonts w:hint="eastAsia" w:ascii="仿宋_GB2312" w:hAnsi="仿宋_GB2312" w:eastAsia="仿宋_GB2312" w:cs="仿宋_GB2312"/>
          <w:sz w:val="32"/>
          <w:szCs w:val="32"/>
          <w:highlight w:val="none"/>
          <w:lang w:val="en-US" w:eastAsia="zh-CN"/>
        </w:rPr>
        <w:t>等文件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该</w:t>
      </w:r>
      <w:r>
        <w:rPr>
          <w:rFonts w:hint="eastAsia" w:ascii="仿宋_GB2312" w:hAnsi="仿宋_GB2312" w:eastAsia="仿宋_GB2312" w:cs="仿宋_GB2312"/>
          <w:sz w:val="32"/>
          <w:szCs w:val="32"/>
          <w:highlight w:val="none"/>
        </w:rPr>
        <w:t>项目已经完成了项目立项的有关手续，符合国务院的有关规定。</w:t>
      </w:r>
      <w:r>
        <w:rPr>
          <w:rFonts w:hint="eastAsia" w:ascii="仿宋_GB2312" w:hAnsi="仿宋_GB2312" w:eastAsia="仿宋_GB2312" w:cs="仿宋_GB2312"/>
          <w:sz w:val="32"/>
          <w:szCs w:val="32"/>
          <w:highlight w:val="none"/>
        </w:rPr>
        <w:t>同时，确认天津市津辰仕佳投资发展有限公司为项目建设主体，区发改委落实对项目及债务融资方式等专项债券投资进行备案审核、对政府专项债券的管理和监督等相关工作。</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3、年度资金投入和使用情况</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京津冀青光镇新型城镇化建设项目年初预算金额为100,000.00万元。项目开展过程中，履行公开招投标程序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与中标单位</w:t>
      </w:r>
      <w:r>
        <w:rPr>
          <w:rFonts w:hint="eastAsia" w:ascii="仿宋_GB2312" w:hAnsi="仿宋_GB2312" w:eastAsia="仿宋_GB2312" w:cs="仿宋_GB2312"/>
          <w:sz w:val="32"/>
          <w:szCs w:val="32"/>
          <w:highlight w:val="none"/>
        </w:rPr>
        <w:t>签署项目合同，按照财政下达建设资金进度及合同付款约定进行款项支出。</w:t>
      </w:r>
      <w:r>
        <w:rPr>
          <w:rFonts w:hint="eastAsia" w:ascii="仿宋_GB2312" w:hAnsi="仿宋_GB2312" w:eastAsia="仿宋_GB2312" w:cs="仿宋_GB2312"/>
          <w:sz w:val="32"/>
          <w:szCs w:val="32"/>
          <w:highlight w:val="none"/>
        </w:rPr>
        <w:t>截至2021年12月底资金到位金额75,000.00万元，资金到位率75</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%；预算执行金额为74,518.30万元，预算执行率为99.36%</w:t>
      </w:r>
      <w:r>
        <w:rPr>
          <w:rFonts w:hint="eastAsia" w:ascii="仿宋_GB2312" w:hAnsi="仿宋_GB2312" w:eastAsia="仿宋_GB2312" w:cs="仿宋_GB2312"/>
          <w:sz w:val="32"/>
          <w:szCs w:val="32"/>
          <w:highlight w:val="none"/>
        </w:rPr>
        <w:t>。京津冀青光镇新型城镇化建设项目2021年度项目预算及执行情况详见下表：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表1：2021年度项目预算及执行情况</w:t>
      </w:r>
    </w:p>
    <w:tbl>
      <w:tblPr>
        <w:tblStyle w:val="13"/>
        <w:tblW w:w="4998" w:type="pct"/>
        <w:jc w:val="center"/>
        <w:tblLayout w:type="fixed"/>
        <w:tblCellMar>
          <w:top w:w="0" w:type="dxa"/>
          <w:left w:w="108" w:type="dxa"/>
          <w:bottom w:w="0" w:type="dxa"/>
          <w:right w:w="108" w:type="dxa"/>
        </w:tblCellMar>
      </w:tblPr>
      <w:tblGrid>
        <w:gridCol w:w="652"/>
        <w:gridCol w:w="2228"/>
        <w:gridCol w:w="1582"/>
        <w:gridCol w:w="1695"/>
        <w:gridCol w:w="1335"/>
        <w:gridCol w:w="1027"/>
      </w:tblGrid>
      <w:tr>
        <w:tblPrEx>
          <w:tblCellMar>
            <w:top w:w="0" w:type="dxa"/>
            <w:left w:w="108" w:type="dxa"/>
            <w:bottom w:w="0" w:type="dxa"/>
            <w:right w:w="108" w:type="dxa"/>
          </w:tblCellMar>
        </w:tblPrEx>
        <w:trPr>
          <w:trHeight w:val="725"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序号</w:t>
            </w:r>
          </w:p>
        </w:tc>
        <w:tc>
          <w:tcPr>
            <w:tcW w:w="13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预算内容</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预算安排金额(</w:t>
            </w:r>
            <w:r>
              <w:rPr>
                <w:rFonts w:hint="eastAsia" w:ascii="黑体" w:hAnsi="黑体" w:eastAsia="黑体" w:cs="黑体"/>
                <w:color w:val="000000"/>
                <w:kern w:val="0"/>
                <w:sz w:val="21"/>
                <w:szCs w:val="21"/>
                <w:highlight w:val="none"/>
                <w:lang w:val="en-US" w:eastAsia="zh-CN" w:bidi="ar"/>
              </w:rPr>
              <w:t>万</w:t>
            </w:r>
            <w:r>
              <w:rPr>
                <w:rFonts w:hint="eastAsia" w:ascii="黑体" w:hAnsi="黑体" w:eastAsia="黑体" w:cs="黑体"/>
                <w:color w:val="000000"/>
                <w:kern w:val="0"/>
                <w:sz w:val="21"/>
                <w:szCs w:val="21"/>
                <w:highlight w:val="none"/>
                <w:lang w:bidi="ar"/>
              </w:rPr>
              <w:t>元)</w:t>
            </w:r>
          </w:p>
        </w:tc>
        <w:tc>
          <w:tcPr>
            <w:tcW w:w="9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default" w:ascii="黑体" w:hAnsi="黑体" w:eastAsia="黑体" w:cs="黑体"/>
                <w:color w:val="000000"/>
                <w:kern w:val="0"/>
                <w:sz w:val="21"/>
                <w:szCs w:val="21"/>
                <w:highlight w:val="none"/>
                <w:lang w:val="en-US" w:eastAsia="zh-CN" w:bidi="ar"/>
              </w:rPr>
            </w:pPr>
            <w:r>
              <w:rPr>
                <w:rFonts w:hint="eastAsia" w:ascii="黑体" w:hAnsi="黑体" w:eastAsia="黑体" w:cs="黑体"/>
                <w:color w:val="000000"/>
                <w:kern w:val="0"/>
                <w:sz w:val="21"/>
                <w:szCs w:val="21"/>
                <w:highlight w:val="none"/>
                <w:lang w:val="en-US" w:eastAsia="zh-CN" w:bidi="ar"/>
              </w:rPr>
              <w:t>预算到位金额</w:t>
            </w:r>
            <w:r>
              <w:rPr>
                <w:rFonts w:hint="eastAsia" w:ascii="黑体" w:hAnsi="黑体" w:eastAsia="黑体" w:cs="黑体"/>
                <w:color w:val="000000"/>
                <w:kern w:val="0"/>
                <w:sz w:val="21"/>
                <w:szCs w:val="21"/>
                <w:highlight w:val="none"/>
                <w:lang w:bidi="ar"/>
              </w:rPr>
              <w:t>(</w:t>
            </w:r>
            <w:r>
              <w:rPr>
                <w:rFonts w:hint="eastAsia" w:ascii="黑体" w:hAnsi="黑体" w:eastAsia="黑体" w:cs="黑体"/>
                <w:color w:val="000000"/>
                <w:kern w:val="0"/>
                <w:sz w:val="21"/>
                <w:szCs w:val="21"/>
                <w:highlight w:val="none"/>
                <w:lang w:val="en-US" w:eastAsia="zh-CN" w:bidi="ar"/>
              </w:rPr>
              <w:t>万</w:t>
            </w:r>
            <w:r>
              <w:rPr>
                <w:rFonts w:hint="eastAsia" w:ascii="黑体" w:hAnsi="黑体" w:eastAsia="黑体" w:cs="黑体"/>
                <w:color w:val="000000"/>
                <w:kern w:val="0"/>
                <w:sz w:val="21"/>
                <w:szCs w:val="21"/>
                <w:highlight w:val="none"/>
                <w:lang w:bidi="ar"/>
              </w:rPr>
              <w:t>元)</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执行金额(</w:t>
            </w:r>
            <w:r>
              <w:rPr>
                <w:rFonts w:hint="eastAsia" w:ascii="黑体" w:hAnsi="黑体" w:eastAsia="黑体" w:cs="黑体"/>
                <w:color w:val="000000"/>
                <w:kern w:val="0"/>
                <w:sz w:val="21"/>
                <w:szCs w:val="21"/>
                <w:highlight w:val="none"/>
                <w:lang w:val="en-US" w:eastAsia="zh-CN" w:bidi="ar"/>
              </w:rPr>
              <w:t>万</w:t>
            </w:r>
            <w:r>
              <w:rPr>
                <w:rFonts w:hint="eastAsia" w:ascii="黑体" w:hAnsi="黑体" w:eastAsia="黑体" w:cs="黑体"/>
                <w:color w:val="000000"/>
                <w:kern w:val="0"/>
                <w:sz w:val="21"/>
                <w:szCs w:val="21"/>
                <w:highlight w:val="none"/>
                <w:lang w:bidi="ar"/>
              </w:rPr>
              <w:t>元)</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预算执行率</w:t>
            </w:r>
          </w:p>
        </w:tc>
      </w:tr>
      <w:tr>
        <w:tblPrEx>
          <w:tblCellMar>
            <w:top w:w="0" w:type="dxa"/>
            <w:left w:w="108" w:type="dxa"/>
            <w:bottom w:w="0" w:type="dxa"/>
            <w:right w:w="108" w:type="dxa"/>
          </w:tblCellMar>
        </w:tblPrEx>
        <w:trPr>
          <w:trHeight w:val="812" w:hRule="atLeast"/>
          <w:jc w:val="center"/>
        </w:trPr>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1307" w:type="pc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京津冀青光镇新型城镇化建设项目</w:t>
            </w:r>
            <w:r>
              <w:rPr>
                <w:rFonts w:hint="eastAsia" w:ascii="仿宋_GB2312" w:hAnsi="仿宋_GB2312" w:eastAsia="仿宋_GB2312" w:cs="仿宋_GB2312"/>
                <w:color w:val="000000"/>
                <w:kern w:val="0"/>
                <w:sz w:val="21"/>
                <w:szCs w:val="21"/>
                <w:highlight w:val="none"/>
                <w:lang w:bidi="ar"/>
              </w:rPr>
              <w:t>费用</w:t>
            </w:r>
          </w:p>
        </w:tc>
        <w:tc>
          <w:tcPr>
            <w:tcW w:w="928" w:type="pct"/>
            <w:tcBorders>
              <w:top w:val="single" w:color="000000" w:sz="4" w:space="0"/>
              <w:left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100</w:t>
            </w:r>
            <w:r>
              <w:rPr>
                <w:rFonts w:hint="eastAsia" w:ascii="仿宋_GB2312" w:hAnsi="仿宋_GB2312" w:eastAsia="仿宋_GB2312" w:cs="仿宋_GB2312"/>
                <w:color w:val="000000"/>
                <w:sz w:val="21"/>
                <w:szCs w:val="21"/>
                <w:highlight w:val="none"/>
                <w:lang w:val="en-US" w:eastAsia="zh-CN"/>
              </w:rPr>
              <w:t>,</w:t>
            </w:r>
            <w:r>
              <w:rPr>
                <w:rFonts w:hint="eastAsia" w:ascii="仿宋_GB2312" w:hAnsi="仿宋_GB2312" w:eastAsia="仿宋_GB2312" w:cs="仿宋_GB2312"/>
                <w:color w:val="000000"/>
                <w:sz w:val="21"/>
                <w:szCs w:val="21"/>
                <w:highlight w:val="none"/>
              </w:rPr>
              <w:t>000</w:t>
            </w:r>
            <w:r>
              <w:rPr>
                <w:rFonts w:hint="eastAsia" w:ascii="仿宋_GB2312" w:hAnsi="仿宋_GB2312" w:eastAsia="仿宋_GB2312" w:cs="仿宋_GB2312"/>
                <w:color w:val="000000"/>
                <w:sz w:val="21"/>
                <w:szCs w:val="21"/>
                <w:highlight w:val="none"/>
                <w:lang w:val="en-US" w:eastAsia="zh-CN"/>
              </w:rPr>
              <w:t>.00</w:t>
            </w:r>
          </w:p>
        </w:tc>
        <w:tc>
          <w:tcPr>
            <w:tcW w:w="9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75,000.00</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74,518.30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99.36%</w:t>
            </w:r>
          </w:p>
        </w:tc>
      </w:tr>
      <w:tr>
        <w:tblPrEx>
          <w:tblCellMar>
            <w:top w:w="0" w:type="dxa"/>
            <w:left w:w="108" w:type="dxa"/>
            <w:bottom w:w="0" w:type="dxa"/>
            <w:right w:w="108" w:type="dxa"/>
          </w:tblCellMar>
        </w:tblPrEx>
        <w:trPr>
          <w:trHeight w:val="507" w:hRule="atLeast"/>
          <w:jc w:val="center"/>
        </w:trPr>
        <w:tc>
          <w:tcPr>
            <w:tcW w:w="16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lang w:bidi="ar"/>
              </w:rPr>
              <w:t>合计</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100,000.00</w:t>
            </w:r>
          </w:p>
        </w:tc>
        <w:tc>
          <w:tcPr>
            <w:tcW w:w="9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75,000.00</w:t>
            </w:r>
          </w:p>
        </w:tc>
        <w:tc>
          <w:tcPr>
            <w:tcW w:w="7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74,518.30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99.36%</w:t>
            </w:r>
          </w:p>
        </w:tc>
      </w:tr>
    </w:tbl>
    <w:p>
      <w:pPr>
        <w:pStyle w:val="4"/>
        <w:numPr>
          <w:ilvl w:val="1"/>
          <w:numId w:val="0"/>
        </w:numPr>
        <w:spacing w:before="0" w:after="0" w:line="600" w:lineRule="exact"/>
        <w:ind w:firstLine="640" w:firstLineChars="200"/>
        <w:rPr>
          <w:rFonts w:ascii="仿宋_GB2312" w:hAnsi="仿宋_GB2312" w:eastAsia="仿宋_GB2312" w:cs="仿宋_GB2312"/>
          <w:sz w:val="32"/>
          <w:szCs w:val="32"/>
          <w:highlight w:val="none"/>
        </w:rPr>
      </w:pPr>
      <w:bookmarkStart w:id="6" w:name="_Toc7367"/>
      <w:r>
        <w:rPr>
          <w:rFonts w:hint="eastAsia" w:ascii="仿宋_GB2312" w:hAnsi="仿宋_GB2312" w:eastAsia="仿宋_GB2312" w:cs="仿宋_GB2312"/>
          <w:sz w:val="32"/>
          <w:szCs w:val="32"/>
          <w:highlight w:val="none"/>
        </w:rPr>
        <w:t>（二）项目绩效目标</w:t>
      </w:r>
      <w:bookmarkEnd w:id="6"/>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总目标：1、完成韩家墅项目区农民安置用房建设项目包括农民安置用房建设、配套基础设施建设、拆迁平整土地等。2、完成李家房子项目区农民安置用房建设项目包括农民安置用房建设、配套基础设施建设、拆迁平整土地等。</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体目标：数量指标为建筑面积及配套指标；质量指标为招投标规范性、质量达标率；时效指标为项目完成时间；成本指标为项目总成本；经济效益指标为单位造价合理性；社会效益指标为受益人数；生态效益指标为绿化覆盖率；可持续影响指标为生态环境宜居社区个数；服务对象满意度指标</w:t>
      </w:r>
      <w:r>
        <w:rPr>
          <w:rFonts w:hint="eastAsia" w:ascii="仿宋_GB2312" w:hAnsi="仿宋_GB2312" w:eastAsia="仿宋_GB2312" w:cs="仿宋_GB2312"/>
          <w:sz w:val="32"/>
          <w:szCs w:val="32"/>
          <w:highlight w:val="none"/>
        </w:rPr>
        <w:t>≥85%</w:t>
      </w:r>
      <w:r>
        <w:rPr>
          <w:rFonts w:hint="eastAsia" w:ascii="仿宋_GB2312" w:hAnsi="仿宋_GB2312" w:eastAsia="仿宋_GB2312" w:cs="仿宋_GB2312"/>
          <w:sz w:val="32"/>
          <w:szCs w:val="32"/>
          <w:highlight w:val="none"/>
        </w:rPr>
        <w:t>。</w:t>
      </w:r>
      <w:bookmarkStart w:id="7" w:name="_Hlk54878842"/>
    </w:p>
    <w:p>
      <w:pPr>
        <w:spacing w:line="600" w:lineRule="exact"/>
        <w:ind w:firstLine="640" w:firstLineChars="200"/>
        <w:outlineLvl w:val="0"/>
        <w:rPr>
          <w:rFonts w:ascii="黑体" w:hAnsi="黑体" w:eastAsia="黑体" w:cs="黑体"/>
          <w:sz w:val="32"/>
          <w:szCs w:val="32"/>
          <w:highlight w:val="none"/>
        </w:rPr>
      </w:pPr>
      <w:bookmarkStart w:id="8" w:name="_Toc60"/>
      <w:r>
        <w:rPr>
          <w:rFonts w:hint="eastAsia" w:ascii="黑体" w:hAnsi="黑体" w:eastAsia="黑体" w:cs="黑体"/>
          <w:sz w:val="32"/>
          <w:szCs w:val="32"/>
          <w:highlight w:val="none"/>
        </w:rPr>
        <w:t>二、绩效评价工作开展情况</w:t>
      </w:r>
      <w:bookmarkEnd w:id="8"/>
    </w:p>
    <w:bookmarkEnd w:id="7"/>
    <w:p>
      <w:pPr>
        <w:spacing w:line="600" w:lineRule="exact"/>
        <w:ind w:firstLine="640" w:firstLineChars="200"/>
        <w:outlineLvl w:val="1"/>
        <w:rPr>
          <w:rFonts w:ascii="仿宋_GB2312" w:hAnsi="仿宋_GB2312" w:eastAsia="仿宋_GB2312" w:cs="仿宋_GB2312"/>
          <w:sz w:val="32"/>
          <w:szCs w:val="32"/>
          <w:highlight w:val="none"/>
        </w:rPr>
      </w:pPr>
      <w:bookmarkStart w:id="9" w:name="_Toc7060"/>
      <w:r>
        <w:rPr>
          <w:rFonts w:hint="eastAsia" w:ascii="仿宋_GB2312" w:hAnsi="仿宋_GB2312" w:eastAsia="仿宋_GB2312" w:cs="仿宋_GB2312"/>
          <w:sz w:val="32"/>
          <w:szCs w:val="32"/>
          <w:highlight w:val="none"/>
        </w:rPr>
        <w:t>（一）绩效评价目的、对象和范围</w:t>
      </w:r>
      <w:bookmarkEnd w:id="9"/>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1.绩效评价目的</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财政支出绩效评价重点评价立项依据和立项程序情况、绩效目标和指标设定情况、预算编制和资金分配情况、资金管理和使用情况、相关制度办法的健全性及执行情况、实现的产出情况、取得的效益情况，制定评价指标体系，形成评价报告，推进全面实施预算绩效管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（1）加强和规范对项目支出财政专项资金的监管，通过对专项资金补助的使用、管理和产出效益等情况的评价，提高财政资金使用效益。</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加强预算绩效管理，强化支出责任，建立科学、合理的财政支出绩效评价管理体系，提高财政资金使用效益，同时进一步提高财政支出管理水平，检验财政支出预期目标实现程度，考核财政支出效率和综合效果。</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2.绩效评价对象和范围</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本次评价对象为</w:t>
      </w:r>
      <w:r>
        <w:rPr>
          <w:rFonts w:hint="eastAsia" w:ascii="仿宋_GB2312" w:hAnsi="仿宋_GB2312" w:eastAsia="仿宋_GB2312" w:cs="仿宋_GB2312"/>
          <w:sz w:val="32"/>
          <w:szCs w:val="32"/>
          <w:highlight w:val="none"/>
          <w:lang w:eastAsia="zh-CN"/>
        </w:rPr>
        <w:t>区发展改革委</w:t>
      </w:r>
      <w:r>
        <w:rPr>
          <w:rFonts w:hint="eastAsia" w:ascii="仿宋_GB2312" w:hAnsi="仿宋_GB2312" w:eastAsia="仿宋_GB2312" w:cs="仿宋_GB2312"/>
          <w:sz w:val="32"/>
          <w:szCs w:val="32"/>
          <w:highlight w:val="none"/>
        </w:rPr>
        <w:t>京津冀青光镇新型城镇化建设项目，该项目预算金额为100,000.00</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rPr>
        <w:t>，财政拨款金额为75,000.00</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rPr>
        <w:t>，执行金额为74,518.30</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rPr>
        <w:t>。</w:t>
      </w:r>
    </w:p>
    <w:p>
      <w:pPr>
        <w:spacing w:line="600" w:lineRule="exact"/>
        <w:ind w:firstLine="640" w:firstLineChars="200"/>
        <w:outlineLvl w:val="1"/>
        <w:rPr>
          <w:rFonts w:ascii="仿宋_GB2312" w:hAnsi="仿宋_GB2312" w:eastAsia="仿宋_GB2312" w:cs="仿宋_GB2312"/>
          <w:sz w:val="32"/>
          <w:szCs w:val="32"/>
          <w:highlight w:val="none"/>
        </w:rPr>
      </w:pPr>
      <w:bookmarkStart w:id="10" w:name="_Toc7895"/>
      <w:r>
        <w:rPr>
          <w:rFonts w:hint="eastAsia" w:ascii="仿宋_GB2312" w:hAnsi="仿宋_GB2312" w:eastAsia="仿宋_GB2312" w:cs="仿宋_GB2312"/>
          <w:sz w:val="32"/>
          <w:szCs w:val="32"/>
          <w:highlight w:val="none"/>
        </w:rPr>
        <w:t>（二）绩效评价原则、绩效评价指标体系、评价方法和评价标准</w:t>
      </w:r>
      <w:bookmarkEnd w:id="10"/>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1.绩效评价的基本原则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（1）科学规范原则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绩效评价按照规范的程序、科学可行的要求，采用定量与定性分析相结合的方法实施。</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（2）公正公开原则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绩效评价符合真实、客观、公平、公正的要求，依法公开并接受监督。</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（3）分级分类原则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绩效评价财政部门和各预算单位主管部门根据评价对象的特点分类组织实施。</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（4）绩效相关原则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绩效评价针对具体支出及其产出效果进行，评价结果要清晰反映两者之间紧密对应关系。</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2.绩效评价的主要依据</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（1）《中共中央国务院关于全面实施预算绩效管理的意见》（中发〔2018〕34号）；</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（2）财政部《预算绩效评价共性指标体系框架》（财预〔2013〕53号）；</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（3）财政部《项目支出绩效评价管理办法》（财预〔2020〕10号）； </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（4）《中共天津市委 天津市人民政府&lt;关于全面推进预算绩效管理的实施方案&gt;的通知》（津党发〔2019〕25号）；</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（5）市政府办公厅《关于推进我市预算绩效管理工作的指导意见》（津政办发〔2011〕109号）；</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（6）《天津市市级部门（单位）整体支出绩效目标管理办法（试行）》（津财预〔2015〕102号）；</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（7）《天津市财政项目支出绩效评价共性指标体系》（津财预〔2016〕73号）； </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（8）《天津市市级财政项目支出绩效评价管理办法》（津财绩效〔2020〕12号）； </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（9）《天津市市级部门预算绩效管理办法》（津财绩效〔2020〕14号）；</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（10）《天津市市级部门预算绩效目标管理办法》（津财绩效〔2020〕16号）。</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3.指标构建原则及思路</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绩效指标评价体系设计遵循经济性、相关性、重要性、可比性、定量为主原则，结合“京津冀青光镇新型城镇化建设项目”项目实施的产出及效果情况，制定绩效指标体系，具体如下：</w:t>
      </w:r>
    </w:p>
    <w:p>
      <w:pPr>
        <w:spacing w:line="60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表3：绩效指标评价得分体系</w:t>
      </w:r>
    </w:p>
    <w:tbl>
      <w:tblPr>
        <w:tblStyle w:val="13"/>
        <w:tblW w:w="0" w:type="auto"/>
        <w:tblInd w:w="93" w:type="dxa"/>
        <w:tblLayout w:type="fixed"/>
        <w:tblCellMar>
          <w:top w:w="0" w:type="dxa"/>
          <w:left w:w="108" w:type="dxa"/>
          <w:bottom w:w="0" w:type="dxa"/>
          <w:right w:w="108" w:type="dxa"/>
        </w:tblCellMar>
      </w:tblPr>
      <w:tblGrid>
        <w:gridCol w:w="954"/>
        <w:gridCol w:w="932"/>
        <w:gridCol w:w="1125"/>
        <w:gridCol w:w="4571"/>
        <w:gridCol w:w="736"/>
      </w:tblGrid>
      <w:tr>
        <w:tblPrEx>
          <w:tblCellMar>
            <w:top w:w="0" w:type="dxa"/>
            <w:left w:w="108" w:type="dxa"/>
            <w:bottom w:w="0" w:type="dxa"/>
            <w:right w:w="108" w:type="dxa"/>
          </w:tblCellMar>
        </w:tblPrEx>
        <w:trPr>
          <w:trHeight w:val="725" w:hRule="atLeast"/>
          <w:tblHeader/>
        </w:trPr>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一级评分项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二级评分项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三级评分项</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评价要点</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分值</w:t>
            </w:r>
          </w:p>
        </w:tc>
      </w:tr>
      <w:tr>
        <w:tblPrEx>
          <w:tblCellMar>
            <w:top w:w="0" w:type="dxa"/>
            <w:left w:w="108" w:type="dxa"/>
            <w:bottom w:w="0" w:type="dxa"/>
            <w:right w:w="108" w:type="dxa"/>
          </w:tblCellMar>
        </w:tblPrEx>
        <w:trPr>
          <w:trHeight w:val="2798"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决策（20分）</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项目立项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立项依据</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充分性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①项目立项是否符合国家法律法规、国民经济发展规划和相关政策；</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②项目立项是否符合行业发展规划和政策要求；</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③项目立项是否与部门职责范围相符，属于部门履职所需；</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④项目是否属于公共财政支持范围，是否符合中央、地方事权支出责任划分原则；</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⑤项目是否与相关部门同类项目或部门内部相关项目重复。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4</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立项程序</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规范性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①项目是否按照规定的程序申请设立；</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②审批文件、材料是否符合相关要求；</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③事前是否已经过必要的可行性研究、专家论证、风险评估、绩效评估、集体决策。</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4</w:t>
            </w:r>
          </w:p>
        </w:tc>
      </w:tr>
      <w:tr>
        <w:tblPrEx>
          <w:tblCellMar>
            <w:top w:w="0" w:type="dxa"/>
            <w:left w:w="108" w:type="dxa"/>
            <w:bottom w:w="0" w:type="dxa"/>
            <w:right w:w="108" w:type="dxa"/>
          </w:tblCellMar>
        </w:tblPrEx>
        <w:trPr>
          <w:trHeight w:val="217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绩效目标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绩效目标</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合理性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①项目是否有绩效目标；</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②项目绩效目标与实际工作内容是否具有相关性；</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③项目预期产出效益和效果是否符合正常的业绩水平；</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④是否与预算确定的项目投资额或资金量相匹配。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3</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绩效目标</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明确性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①是否将项目绩效目标细化分解为具体的绩效指标；</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②是否通过清晰、可衡量的指标值予以体现；</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③是否与项目目标任务数或计划数相对应。</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3</w:t>
            </w:r>
          </w:p>
        </w:tc>
      </w:tr>
      <w:tr>
        <w:tblPrEx>
          <w:tblCellMar>
            <w:top w:w="0" w:type="dxa"/>
            <w:left w:w="108" w:type="dxa"/>
            <w:bottom w:w="0" w:type="dxa"/>
            <w:right w:w="108" w:type="dxa"/>
          </w:tblCellMar>
        </w:tblPrEx>
        <w:trPr>
          <w:trHeight w:val="186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资金投入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预算编制</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科学性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①预算编制是否经过科学论证；</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②预算内容与项目内容是否匹配；</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③预算额度测算依据是否充分，是否按照标准编制；</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④预算确定的项目投资额或资金量是否与工作任务相匹配。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3</w:t>
            </w:r>
          </w:p>
        </w:tc>
      </w:tr>
      <w:tr>
        <w:tblPrEx>
          <w:tblCellMar>
            <w:top w:w="0" w:type="dxa"/>
            <w:left w:w="108" w:type="dxa"/>
            <w:bottom w:w="0" w:type="dxa"/>
            <w:right w:w="108" w:type="dxa"/>
          </w:tblCellMar>
        </w:tblPrEx>
        <w:trPr>
          <w:trHeight w:val="946"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资金分配</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合理性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①预算资金分配依据是否充分；</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②资金分配额度是否合理，与项目单位或地方实际是否相适应。</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3</w:t>
            </w:r>
          </w:p>
        </w:tc>
      </w:tr>
      <w:tr>
        <w:tblPrEx>
          <w:tblCellMar>
            <w:top w:w="0" w:type="dxa"/>
            <w:left w:w="108" w:type="dxa"/>
            <w:bottom w:w="0" w:type="dxa"/>
            <w:right w:w="108" w:type="dxa"/>
          </w:tblCellMar>
        </w:tblPrEx>
        <w:trPr>
          <w:trHeight w:val="1559" w:hRule="atLeast"/>
        </w:trPr>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过程（25分）</w:t>
            </w:r>
          </w:p>
        </w:tc>
        <w:tc>
          <w:tcPr>
            <w:tcW w:w="932"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资金管理</w:t>
            </w:r>
          </w:p>
        </w:tc>
        <w:tc>
          <w:tcPr>
            <w:tcW w:w="112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资金到位率</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资金到位率=(实际到位资金/预算资金)×lOO%。</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实际到位资金：一定时期（本年度或项目期）内落实到具体项目的资金。</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预算资金：一定时期（本年度或项目期）内预算安排到具体项目的资金。</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5</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 w:val="21"/>
                <w:szCs w:val="21"/>
                <w:highlight w:val="none"/>
              </w:rPr>
            </w:pPr>
          </w:p>
        </w:tc>
        <w:tc>
          <w:tcPr>
            <w:tcW w:w="932" w:type="dxa"/>
            <w:vMerge w:val="continue"/>
            <w:tcBorders>
              <w:left w:val="single" w:color="auto"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1125"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预算执行率</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预算执行率=（实际支出资金/实际到位资金)×100%。</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实际支出资金：一定时期（本年度或项目期）内项目实际拨付的资金。</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5</w:t>
            </w:r>
          </w:p>
        </w:tc>
      </w:tr>
      <w:tr>
        <w:tblPrEx>
          <w:tblCellMar>
            <w:top w:w="0" w:type="dxa"/>
            <w:left w:w="108" w:type="dxa"/>
            <w:bottom w:w="0" w:type="dxa"/>
            <w:right w:w="108" w:type="dxa"/>
          </w:tblCellMar>
        </w:tblPrEx>
        <w:trPr>
          <w:trHeight w:val="1559" w:hRule="atLeast"/>
        </w:trPr>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 w:val="21"/>
                <w:szCs w:val="21"/>
                <w:highlight w:val="none"/>
              </w:rPr>
            </w:pPr>
          </w:p>
        </w:tc>
        <w:tc>
          <w:tcPr>
            <w:tcW w:w="93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p>
        </w:tc>
        <w:tc>
          <w:tcPr>
            <w:tcW w:w="1125"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资金使用</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合规性</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①是否符合国家财经法规和财务管理制度以及有关专项资金管理办法的规定；</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②资金的拨付是否有完整的审批程序和手续；</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③是否符合项目预算批复或合同规定的用途；</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④是否存在截留、挤占、挪用、虚列支出等情况。</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5</w:t>
            </w:r>
          </w:p>
        </w:tc>
      </w:tr>
      <w:tr>
        <w:tblPrEx>
          <w:tblCellMar>
            <w:top w:w="0" w:type="dxa"/>
            <w:left w:w="108" w:type="dxa"/>
            <w:bottom w:w="0" w:type="dxa"/>
            <w:right w:w="108" w:type="dxa"/>
          </w:tblCellMar>
        </w:tblPrEx>
        <w:trPr>
          <w:trHeight w:val="94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组织实施</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管理制度</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健全性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①是否已制定或具有相应的财务和业务管理制度；</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②财务和业务管理制度是否合法、合规、完整。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5</w:t>
            </w:r>
          </w:p>
        </w:tc>
      </w:tr>
      <w:tr>
        <w:tblPrEx>
          <w:tblCellMar>
            <w:top w:w="0" w:type="dxa"/>
            <w:left w:w="108" w:type="dxa"/>
            <w:bottom w:w="0" w:type="dxa"/>
            <w:right w:w="108" w:type="dxa"/>
          </w:tblCellMar>
        </w:tblPrEx>
        <w:trPr>
          <w:trHeight w:val="186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制度执行</w:t>
            </w:r>
            <w:r>
              <w:rPr>
                <w:rFonts w:hint="eastAsia" w:ascii="宋体" w:hAnsi="宋体" w:cs="宋体"/>
                <w:color w:val="000000"/>
                <w:kern w:val="0"/>
                <w:sz w:val="21"/>
                <w:szCs w:val="21"/>
                <w:highlight w:val="none"/>
                <w:lang w:bidi="ar"/>
              </w:rPr>
              <w:br w:type="textWrapping"/>
            </w:r>
            <w:r>
              <w:rPr>
                <w:rFonts w:hint="eastAsia" w:ascii="宋体" w:hAnsi="宋体" w:cs="宋体"/>
                <w:color w:val="000000"/>
                <w:kern w:val="0"/>
                <w:sz w:val="21"/>
                <w:szCs w:val="21"/>
                <w:highlight w:val="none"/>
                <w:lang w:bidi="ar"/>
              </w:rPr>
              <w:t>有效性</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①是否遵守相关法律法规和相关管理规定；</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②项目调整及支出调整手续是否完备；</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③项目合同书、验收报告、技术鉴定等资料是否齐全并及时归档；</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④项目实施的人员条件、场地设备、信息支撑等是否落实到位。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5</w:t>
            </w:r>
          </w:p>
        </w:tc>
      </w:tr>
      <w:tr>
        <w:tblPrEx>
          <w:tblCellMar>
            <w:top w:w="0" w:type="dxa"/>
            <w:left w:w="108" w:type="dxa"/>
            <w:bottom w:w="0" w:type="dxa"/>
            <w:right w:w="108" w:type="dxa"/>
          </w:tblCellMar>
        </w:tblPrEx>
        <w:trPr>
          <w:trHeight w:val="1869"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产出（30分）</w:t>
            </w:r>
          </w:p>
        </w:tc>
        <w:tc>
          <w:tcPr>
            <w:tcW w:w="9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产出数量</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sz w:val="21"/>
                <w:szCs w:val="21"/>
                <w:highlight w:val="none"/>
              </w:rPr>
              <w:t>实际完成率</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实际完成率=（实际产出数/计划产出数）×100%。</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实际产出数：一定时期（本年度或项目期）内项目实际产出的产品或提供的服务数量。</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计划产出数：项目绩效目标确定的在一定时期（本年度或项目期）内计划产出的产品或提供的服务数量。</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10</w:t>
            </w:r>
          </w:p>
        </w:tc>
      </w:tr>
      <w:tr>
        <w:trPr>
          <w:trHeight w:val="2179" w:hRule="atLeast"/>
        </w:trPr>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000000"/>
                <w:sz w:val="21"/>
                <w:szCs w:val="21"/>
                <w:highlight w:val="none"/>
              </w:rPr>
            </w:pPr>
          </w:p>
        </w:tc>
        <w:tc>
          <w:tcPr>
            <w:tcW w:w="93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产出质量</w:t>
            </w:r>
          </w:p>
        </w:tc>
        <w:tc>
          <w:tcPr>
            <w:tcW w:w="112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质量达标率</w:t>
            </w:r>
          </w:p>
        </w:tc>
        <w:tc>
          <w:tcPr>
            <w:tcW w:w="4571" w:type="dxa"/>
            <w:tcBorders>
              <w:top w:val="single" w:color="000000" w:sz="4" w:space="0"/>
              <w:left w:val="single" w:color="auto"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质量达标率=（质量达标产出数/实际产出数）×100%。</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10</w:t>
            </w:r>
          </w:p>
        </w:tc>
      </w:tr>
      <w:tr>
        <w:tblPrEx>
          <w:tblCellMar>
            <w:top w:w="0" w:type="dxa"/>
            <w:left w:w="108" w:type="dxa"/>
            <w:bottom w:w="0" w:type="dxa"/>
            <w:right w:w="108" w:type="dxa"/>
          </w:tblCellMar>
        </w:tblPrEx>
        <w:trPr>
          <w:trHeight w:val="1274"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产出时效</w:t>
            </w:r>
          </w:p>
        </w:tc>
        <w:tc>
          <w:tcPr>
            <w:tcW w:w="1125" w:type="dxa"/>
            <w:tcBorders>
              <w:top w:val="single" w:color="auto"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完成及时率</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实际完成时间：项目实施单位完成该项目实际所耗用的时间。</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计划完成时间：按照项目实施计划或相关规定完成该项目所需的时间。</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5</w:t>
            </w:r>
          </w:p>
        </w:tc>
      </w:tr>
      <w:tr>
        <w:tblPrEx>
          <w:tblCellMar>
            <w:top w:w="0" w:type="dxa"/>
            <w:left w:w="108" w:type="dxa"/>
            <w:bottom w:w="0" w:type="dxa"/>
            <w:right w:w="108" w:type="dxa"/>
          </w:tblCellMar>
        </w:tblPrEx>
        <w:trPr>
          <w:trHeight w:val="186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产出成本</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成本节约率</w:t>
            </w:r>
          </w:p>
        </w:tc>
        <w:tc>
          <w:tcPr>
            <w:tcW w:w="45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成本节约率=［（计划成本-实际成本）/计划成本］×100%。</w:t>
            </w:r>
          </w:p>
          <w:p>
            <w:pPr>
              <w:widowControl/>
              <w:jc w:val="left"/>
              <w:textAlignment w:val="center"/>
              <w:rPr>
                <w:rFonts w:ascii="宋体" w:hAnsi="宋体" w:cs="宋体"/>
                <w:sz w:val="21"/>
                <w:szCs w:val="21"/>
                <w:highlight w:val="none"/>
              </w:rPr>
            </w:pPr>
            <w:r>
              <w:rPr>
                <w:rFonts w:hint="eastAsia" w:ascii="宋体" w:hAnsi="宋体" w:cs="宋体"/>
                <w:sz w:val="21"/>
                <w:szCs w:val="21"/>
                <w:highlight w:val="none"/>
              </w:rPr>
              <w:t>实际成本：项目实施单位如期、保质、保量完成既定工作目标实际所耗费的支出。</w:t>
            </w:r>
          </w:p>
          <w:p>
            <w:pPr>
              <w:widowControl/>
              <w:jc w:val="left"/>
              <w:textAlignment w:val="center"/>
              <w:rPr>
                <w:rFonts w:ascii="宋体" w:hAnsi="宋体" w:cs="宋体"/>
                <w:color w:val="000000"/>
                <w:sz w:val="21"/>
                <w:szCs w:val="21"/>
                <w:highlight w:val="none"/>
              </w:rPr>
            </w:pPr>
            <w:r>
              <w:rPr>
                <w:rFonts w:hint="eastAsia" w:ascii="宋体" w:hAnsi="宋体" w:cs="宋体"/>
                <w:sz w:val="21"/>
                <w:szCs w:val="21"/>
                <w:highlight w:val="none"/>
              </w:rPr>
              <w:t>计划成本：项目实施单位为完成工作目标计划安排的支出，一般以项目预算为参考。</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5</w:t>
            </w:r>
          </w:p>
        </w:tc>
      </w:tr>
      <w:tr>
        <w:tblPrEx>
          <w:tblCellMar>
            <w:top w:w="0" w:type="dxa"/>
            <w:left w:w="108" w:type="dxa"/>
            <w:bottom w:w="0" w:type="dxa"/>
            <w:right w:w="108" w:type="dxa"/>
          </w:tblCellMar>
        </w:tblPrEx>
        <w:trPr>
          <w:trHeight w:val="940"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效益（25分）</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经济效益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收入回报率</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项目实施对经济发展所带来的直接或间接影响。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4</w:t>
            </w:r>
          </w:p>
        </w:tc>
      </w:tr>
      <w:tr>
        <w:tblPrEx>
          <w:tblCellMar>
            <w:top w:w="0" w:type="dxa"/>
            <w:left w:w="108" w:type="dxa"/>
            <w:bottom w:w="0" w:type="dxa"/>
            <w:right w:w="108" w:type="dxa"/>
          </w:tblCellMar>
        </w:tblPrEx>
        <w:trPr>
          <w:trHeight w:val="940" w:hRule="atLeast"/>
        </w:trPr>
        <w:tc>
          <w:tcPr>
            <w:tcW w:w="95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1"/>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社会效益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1"/>
                <w:szCs w:val="11"/>
                <w:highlight w:val="none"/>
                <w:lang w:bidi="ar"/>
              </w:rPr>
            </w:pPr>
            <w:r>
              <w:rPr>
                <w:rFonts w:hint="eastAsia" w:ascii="宋体" w:hAnsi="宋体" w:cs="宋体"/>
                <w:color w:val="000000"/>
                <w:kern w:val="0"/>
                <w:sz w:val="21"/>
                <w:szCs w:val="21"/>
                <w:highlight w:val="none"/>
                <w:lang w:bidi="ar"/>
              </w:rPr>
              <w:t>受益人数</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highlight w:val="none"/>
              </w:rPr>
            </w:pPr>
            <w:r>
              <w:rPr>
                <w:rFonts w:hint="eastAsia" w:ascii="宋体" w:hAnsi="宋体" w:cs="宋体"/>
                <w:sz w:val="21"/>
                <w:szCs w:val="21"/>
                <w:highlight w:val="none"/>
              </w:rPr>
              <w:t>项目实施所产生的社会效益，具体评价项目实施对安全意识的影响程度。</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4</w:t>
            </w:r>
          </w:p>
        </w:tc>
      </w:tr>
      <w:tr>
        <w:tblPrEx>
          <w:tblCellMar>
            <w:top w:w="0" w:type="dxa"/>
            <w:left w:w="108" w:type="dxa"/>
            <w:bottom w:w="0" w:type="dxa"/>
            <w:right w:w="108" w:type="dxa"/>
          </w:tblCellMar>
        </w:tblPrEx>
        <w:trPr>
          <w:trHeight w:val="940" w:hRule="atLeast"/>
        </w:trPr>
        <w:tc>
          <w:tcPr>
            <w:tcW w:w="95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1"/>
                <w:szCs w:val="21"/>
                <w:highlight w:val="none"/>
                <w:lang w:bidi="ar"/>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生态效益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6"/>
                <w:szCs w:val="16"/>
                <w:highlight w:val="none"/>
                <w:lang w:bidi="ar"/>
              </w:rPr>
            </w:pPr>
            <w:r>
              <w:rPr>
                <w:rFonts w:hint="eastAsia" w:ascii="宋体" w:hAnsi="宋体" w:cs="宋体"/>
                <w:color w:val="000000"/>
                <w:kern w:val="0"/>
                <w:sz w:val="21"/>
                <w:szCs w:val="21"/>
                <w:highlight w:val="none"/>
                <w:lang w:bidi="ar"/>
              </w:rPr>
              <w:t>绿化覆盖率</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sz w:val="21"/>
                <w:szCs w:val="21"/>
                <w:highlight w:val="none"/>
              </w:rPr>
            </w:pPr>
            <w:r>
              <w:rPr>
                <w:rFonts w:hint="eastAsia" w:ascii="宋体" w:hAnsi="宋体" w:cs="宋体"/>
                <w:sz w:val="21"/>
                <w:szCs w:val="21"/>
                <w:highlight w:val="none"/>
              </w:rPr>
              <w:t>项目实施所产生的生态效益，具体评价项目实施对绿化的影响程度。</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4</w:t>
            </w:r>
          </w:p>
        </w:tc>
      </w:tr>
      <w:tr>
        <w:tblPrEx>
          <w:tblCellMar>
            <w:top w:w="0" w:type="dxa"/>
            <w:left w:w="108" w:type="dxa"/>
            <w:bottom w:w="0" w:type="dxa"/>
            <w:right w:w="108" w:type="dxa"/>
          </w:tblCellMar>
        </w:tblPrEx>
        <w:trPr>
          <w:trHeight w:val="125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r>
              <w:rPr>
                <w:rFonts w:hint="eastAsia" w:ascii="宋体" w:hAnsi="宋体" w:cs="宋体"/>
                <w:color w:val="000000"/>
                <w:sz w:val="21"/>
                <w:szCs w:val="21"/>
                <w:highlight w:val="none"/>
              </w:rPr>
              <w:t>可持续影响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6"/>
                <w:szCs w:val="16"/>
                <w:highlight w:val="none"/>
                <w:lang w:bidi="ar"/>
              </w:rPr>
            </w:pPr>
            <w:r>
              <w:rPr>
                <w:rFonts w:hint="eastAsia"/>
                <w:sz w:val="21"/>
                <w:szCs w:val="21"/>
                <w:highlight w:val="none"/>
              </w:rPr>
              <w:t>生态环境宜居社区个数</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highlight w:val="none"/>
              </w:rPr>
            </w:pPr>
            <w:r>
              <w:rPr>
                <w:rFonts w:hint="eastAsia" w:ascii="宋体" w:hAnsi="宋体" w:cs="宋体"/>
                <w:sz w:val="21"/>
                <w:szCs w:val="21"/>
                <w:highlight w:val="none"/>
              </w:rPr>
              <w:t>项目实施所产生的可持续影响，具体评价项目实施对辖区内安全生产的可持续影响程度。</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4</w:t>
            </w:r>
          </w:p>
        </w:tc>
      </w:tr>
      <w:tr>
        <w:tblPrEx>
          <w:tblCellMar>
            <w:top w:w="0" w:type="dxa"/>
            <w:left w:w="108" w:type="dxa"/>
            <w:bottom w:w="0" w:type="dxa"/>
            <w:right w:w="108" w:type="dxa"/>
          </w:tblCellMar>
        </w:tblPrEx>
        <w:trPr>
          <w:trHeight w:val="114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1"/>
                <w:szCs w:val="21"/>
                <w:highlight w:val="none"/>
              </w:rPr>
            </w:pPr>
            <w:r>
              <w:rPr>
                <w:rFonts w:hint="eastAsia" w:ascii="宋体" w:hAnsi="宋体" w:cs="宋体"/>
                <w:color w:val="000000"/>
                <w:sz w:val="21"/>
                <w:szCs w:val="21"/>
                <w:highlight w:val="none"/>
              </w:rPr>
              <w:t>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6"/>
                <w:szCs w:val="16"/>
                <w:highlight w:val="none"/>
                <w:lang w:eastAsia="zh-CN" w:bidi="ar"/>
              </w:rPr>
            </w:pPr>
            <w:r>
              <w:rPr>
                <w:rFonts w:hint="eastAsia" w:ascii="宋体" w:hAnsi="宋体" w:cs="宋体"/>
                <w:color w:val="000000"/>
                <w:kern w:val="0"/>
                <w:sz w:val="21"/>
                <w:szCs w:val="21"/>
                <w:highlight w:val="none"/>
                <w:lang w:val="en-US" w:eastAsia="zh-CN" w:bidi="ar"/>
              </w:rPr>
              <w:t>居民满意度</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1"/>
                <w:szCs w:val="21"/>
                <w:highlight w:val="none"/>
              </w:rPr>
            </w:pPr>
            <w:r>
              <w:rPr>
                <w:rFonts w:hint="eastAsia" w:ascii="宋体" w:hAnsi="宋体" w:cs="宋体"/>
                <w:sz w:val="21"/>
                <w:szCs w:val="21"/>
                <w:highlight w:val="none"/>
              </w:rPr>
              <w:t>社会公众或服务对象是指因该项目实施而受到影响的部门（单位）、群体或个人。一般采取社会调查的方式。</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bidi="ar"/>
              </w:rPr>
              <w:t>9</w:t>
            </w:r>
          </w:p>
        </w:tc>
      </w:tr>
      <w:tr>
        <w:tblPrEx>
          <w:tblCellMar>
            <w:top w:w="0" w:type="dxa"/>
            <w:left w:w="108" w:type="dxa"/>
            <w:bottom w:w="0" w:type="dxa"/>
            <w:right w:w="108" w:type="dxa"/>
          </w:tblCellMar>
        </w:tblPrEx>
        <w:trPr>
          <w:trHeight w:val="578" w:hRule="atLeast"/>
        </w:trPr>
        <w:tc>
          <w:tcPr>
            <w:tcW w:w="75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1"/>
                <w:szCs w:val="21"/>
                <w:highlight w:val="none"/>
              </w:rPr>
            </w:pPr>
            <w:r>
              <w:rPr>
                <w:rFonts w:hint="eastAsia" w:ascii="宋体" w:hAnsi="宋体" w:cs="宋体"/>
                <w:color w:val="000000"/>
                <w:kern w:val="0"/>
                <w:sz w:val="21"/>
                <w:szCs w:val="21"/>
                <w:highlight w:val="none"/>
                <w:lang w:bidi="ar"/>
              </w:rPr>
              <w:t>分值合计</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100</w:t>
            </w:r>
          </w:p>
        </w:tc>
      </w:tr>
    </w:tbl>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4.评价方法</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本次绩效评价主要采用以下三种方法：</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（1）成本效益分析法。将一定时期内的支出与效益进行对比分析，评价绩效目标实现程度。</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（2）比较法。通过对绩效目标与实施效果、历史与当期情况、不同部门和地区同类支出的比较，综合分析绩效目标实现程度。</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（3）公众评判法。通过专家评估、公众问卷及抽样调查等对财政支出效果进行评判，评价绩效目标实现程度。</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5.评价标准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绩效评价采用百分制，项目决策、项目过程、项目产出、项目绩效四大类一级指标共100分。其中项目决策指标20分，项目过程25分，项目产出30分，项目绩效25分。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6.评价结果等级</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为便于对评价结果的直接运用和判断，将专项资金的绩效评价分为四个等级：</w:t>
      </w:r>
    </w:p>
    <w:p>
      <w:pPr>
        <w:pStyle w:val="2"/>
      </w:pP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优：S≥90分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良：</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≤S＜90分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中：60≤S＜</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差：S＜60分</w:t>
      </w:r>
    </w:p>
    <w:p>
      <w:pPr>
        <w:spacing w:line="600" w:lineRule="exact"/>
        <w:ind w:firstLine="640" w:firstLineChars="200"/>
        <w:outlineLvl w:val="1"/>
        <w:rPr>
          <w:rFonts w:ascii="仿宋_GB2312" w:hAnsi="仿宋_GB2312" w:eastAsia="仿宋_GB2312" w:cs="仿宋_GB2312"/>
          <w:sz w:val="32"/>
          <w:szCs w:val="32"/>
          <w:highlight w:val="none"/>
        </w:rPr>
      </w:pPr>
      <w:bookmarkStart w:id="11" w:name="_Toc25052"/>
      <w:r>
        <w:rPr>
          <w:rFonts w:hint="eastAsia" w:ascii="仿宋_GB2312" w:hAnsi="仿宋_GB2312" w:eastAsia="仿宋_GB2312" w:cs="仿宋_GB2312"/>
          <w:sz w:val="32"/>
          <w:szCs w:val="32"/>
          <w:highlight w:val="none"/>
        </w:rPr>
        <w:t>（三）绩效评价工作过程</w:t>
      </w:r>
      <w:bookmarkEnd w:id="11"/>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1.绩效评价项目组的人员构成</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绩效评价项目组配备了具有丰富绩效评价工作经验的注册会计师及专业评价人员来承担项目。项目负责人具体负责绩效评价项目的内部和外部协调，并对整个项目的工作情况进行监督、管理和控制。</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2.绩效评价工作程序和进度</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按照区财政局的要求，在规定时间开始现场绩效评价工作，按时完成现场绩效评价工作，形成绩效评价报告。</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绩效评价工作分为准备阶段、实施阶段、报告阶段三个阶段。日程表如下：</w:t>
      </w:r>
    </w:p>
    <w:p>
      <w:pPr>
        <w:spacing w:line="60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表2：绩效评价工作日程表</w:t>
      </w:r>
    </w:p>
    <w:tbl>
      <w:tblPr>
        <w:tblStyle w:val="13"/>
        <w:tblW w:w="50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9"/>
        <w:gridCol w:w="1410"/>
        <w:gridCol w:w="5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blHeader/>
        </w:trPr>
        <w:tc>
          <w:tcPr>
            <w:tcW w:w="1246" w:type="dxa"/>
            <w:vAlign w:val="center"/>
          </w:tcPr>
          <w:p>
            <w:pPr>
              <w:spacing w:line="360" w:lineRule="auto"/>
              <w:jc w:val="center"/>
              <w:rPr>
                <w:rFonts w:ascii="黑体" w:hAnsi="黑体" w:eastAsia="黑体" w:cs="黑体"/>
                <w:bCs/>
                <w:sz w:val="21"/>
                <w:szCs w:val="21"/>
                <w:highlight w:val="none"/>
                <w:lang w:bidi="ar"/>
              </w:rPr>
            </w:pPr>
            <w:r>
              <w:rPr>
                <w:rFonts w:hint="eastAsia" w:ascii="黑体" w:hAnsi="黑体" w:eastAsia="黑体" w:cs="黑体"/>
                <w:bCs/>
                <w:sz w:val="21"/>
                <w:szCs w:val="21"/>
                <w:highlight w:val="none"/>
                <w:lang w:bidi="ar"/>
              </w:rPr>
              <w:t>工作阶段</w:t>
            </w:r>
          </w:p>
        </w:tc>
        <w:tc>
          <w:tcPr>
            <w:tcW w:w="1407" w:type="dxa"/>
            <w:tcMar>
              <w:top w:w="15" w:type="dxa"/>
              <w:left w:w="15" w:type="dxa"/>
              <w:bottom w:w="0" w:type="dxa"/>
              <w:right w:w="15" w:type="dxa"/>
            </w:tcMar>
            <w:vAlign w:val="center"/>
          </w:tcPr>
          <w:p>
            <w:pPr>
              <w:spacing w:line="360" w:lineRule="auto"/>
              <w:ind w:firstLine="210" w:firstLineChars="100"/>
              <w:jc w:val="center"/>
              <w:rPr>
                <w:rFonts w:ascii="黑体" w:hAnsi="黑体" w:eastAsia="黑体" w:cs="黑体"/>
                <w:bCs/>
                <w:sz w:val="21"/>
                <w:szCs w:val="21"/>
                <w:highlight w:val="none"/>
                <w:lang w:bidi="ar"/>
              </w:rPr>
            </w:pPr>
            <w:r>
              <w:rPr>
                <w:rFonts w:hint="eastAsia" w:ascii="黑体" w:hAnsi="黑体" w:eastAsia="黑体" w:cs="黑体"/>
                <w:bCs/>
                <w:sz w:val="21"/>
                <w:szCs w:val="21"/>
                <w:highlight w:val="none"/>
                <w:lang w:bidi="ar"/>
              </w:rPr>
              <w:t>工作时间</w:t>
            </w:r>
          </w:p>
        </w:tc>
        <w:tc>
          <w:tcPr>
            <w:tcW w:w="5713" w:type="dxa"/>
            <w:tcMar>
              <w:top w:w="15" w:type="dxa"/>
              <w:left w:w="15" w:type="dxa"/>
              <w:bottom w:w="0" w:type="dxa"/>
              <w:right w:w="15" w:type="dxa"/>
            </w:tcMar>
            <w:vAlign w:val="center"/>
          </w:tcPr>
          <w:p>
            <w:pPr>
              <w:spacing w:line="360" w:lineRule="auto"/>
              <w:jc w:val="center"/>
              <w:rPr>
                <w:rFonts w:ascii="黑体" w:hAnsi="黑体" w:eastAsia="黑体" w:cs="黑体"/>
                <w:bCs/>
                <w:sz w:val="21"/>
                <w:szCs w:val="21"/>
                <w:highlight w:val="none"/>
                <w:lang w:bidi="ar"/>
              </w:rPr>
            </w:pPr>
            <w:r>
              <w:rPr>
                <w:rFonts w:hint="eastAsia" w:ascii="黑体" w:hAnsi="黑体" w:eastAsia="黑体" w:cs="黑体"/>
                <w:bCs/>
                <w:sz w:val="21"/>
                <w:szCs w:val="21"/>
                <w:highlight w:val="none"/>
                <w:lang w:bidi="ar"/>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246" w:type="dxa"/>
            <w:vAlign w:val="center"/>
          </w:tcPr>
          <w:p>
            <w:pPr>
              <w:spacing w:line="360" w:lineRule="auto"/>
              <w:jc w:val="center"/>
              <w:rPr>
                <w:rFonts w:ascii="宋体" w:hAnsi="宋体" w:cs="宋体"/>
                <w:bCs/>
                <w:sz w:val="21"/>
                <w:szCs w:val="21"/>
                <w:highlight w:val="none"/>
                <w:lang w:bidi="ar"/>
              </w:rPr>
            </w:pPr>
            <w:r>
              <w:rPr>
                <w:rFonts w:hint="eastAsia" w:ascii="宋体" w:hAnsi="宋体" w:cs="宋体"/>
                <w:bCs/>
                <w:sz w:val="21"/>
                <w:szCs w:val="21"/>
                <w:highlight w:val="none"/>
                <w:lang w:bidi="ar"/>
              </w:rPr>
              <w:t>准备阶段</w:t>
            </w:r>
          </w:p>
        </w:tc>
        <w:tc>
          <w:tcPr>
            <w:tcW w:w="1407" w:type="dxa"/>
            <w:tcMar>
              <w:top w:w="15" w:type="dxa"/>
              <w:left w:w="15" w:type="dxa"/>
              <w:bottom w:w="0" w:type="dxa"/>
              <w:right w:w="15" w:type="dxa"/>
            </w:tcMar>
            <w:vAlign w:val="center"/>
          </w:tcPr>
          <w:p>
            <w:pPr>
              <w:spacing w:line="360" w:lineRule="auto"/>
              <w:ind w:firstLine="210" w:firstLineChars="100"/>
              <w:rPr>
                <w:rFonts w:ascii="宋体" w:hAnsi="宋体" w:cs="宋体"/>
                <w:bCs/>
                <w:sz w:val="21"/>
                <w:szCs w:val="21"/>
                <w:highlight w:val="none"/>
                <w:lang w:bidi="ar"/>
              </w:rPr>
            </w:pPr>
            <w:r>
              <w:rPr>
                <w:rFonts w:hint="eastAsia" w:ascii="宋体" w:hAnsi="宋体" w:cs="宋体"/>
                <w:bCs/>
                <w:sz w:val="21"/>
                <w:szCs w:val="21"/>
                <w:highlight w:val="none"/>
                <w:lang w:bidi="ar"/>
              </w:rPr>
              <w:t>7工作日</w:t>
            </w:r>
          </w:p>
        </w:tc>
        <w:tc>
          <w:tcPr>
            <w:tcW w:w="5713" w:type="dxa"/>
            <w:tcMar>
              <w:top w:w="15" w:type="dxa"/>
              <w:left w:w="15" w:type="dxa"/>
              <w:bottom w:w="0" w:type="dxa"/>
              <w:right w:w="15" w:type="dxa"/>
            </w:tcMar>
            <w:vAlign w:val="center"/>
          </w:tcPr>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◇所内集中参与人员进行短期培训，分派任务，讲解要求，明确责任；</w:t>
            </w:r>
          </w:p>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◇开展审前调查，收集资料、了解基本情况；</w:t>
            </w:r>
          </w:p>
          <w:p>
            <w:pPr>
              <w:rPr>
                <w:rFonts w:ascii="宋体" w:hAnsi="宋体" w:cs="宋体"/>
                <w:bCs/>
                <w:sz w:val="21"/>
                <w:szCs w:val="21"/>
                <w:highlight w:val="none"/>
                <w:lang w:bidi="ar"/>
              </w:rPr>
            </w:pPr>
            <w:r>
              <w:rPr>
                <w:rFonts w:hint="eastAsia" w:ascii="宋体" w:hAnsi="宋体" w:cs="宋体"/>
                <w:bCs/>
                <w:sz w:val="21"/>
                <w:szCs w:val="21"/>
                <w:highlight w:val="none"/>
                <w:lang w:bidi="ar"/>
              </w:rPr>
              <w:t>◇进行政策梳理，编制相关工作底稿。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1246" w:type="dxa"/>
            <w:vAlign w:val="center"/>
          </w:tcPr>
          <w:p>
            <w:pPr>
              <w:spacing w:line="360" w:lineRule="auto"/>
              <w:jc w:val="center"/>
              <w:rPr>
                <w:rFonts w:ascii="宋体" w:hAnsi="宋体" w:cs="宋体"/>
                <w:bCs/>
                <w:sz w:val="21"/>
                <w:szCs w:val="21"/>
                <w:highlight w:val="none"/>
                <w:lang w:bidi="ar"/>
              </w:rPr>
            </w:pPr>
            <w:r>
              <w:rPr>
                <w:rFonts w:hint="eastAsia" w:ascii="宋体" w:hAnsi="宋体" w:cs="宋体"/>
                <w:bCs/>
                <w:sz w:val="21"/>
                <w:szCs w:val="21"/>
                <w:highlight w:val="none"/>
                <w:lang w:bidi="ar"/>
              </w:rPr>
              <w:t>实施阶段</w:t>
            </w:r>
          </w:p>
        </w:tc>
        <w:tc>
          <w:tcPr>
            <w:tcW w:w="1407" w:type="dxa"/>
            <w:tcMar>
              <w:top w:w="15" w:type="dxa"/>
              <w:left w:w="15" w:type="dxa"/>
              <w:bottom w:w="0" w:type="dxa"/>
              <w:right w:w="15" w:type="dxa"/>
            </w:tcMar>
            <w:vAlign w:val="center"/>
          </w:tcPr>
          <w:p>
            <w:pPr>
              <w:spacing w:line="360" w:lineRule="auto"/>
              <w:ind w:right="-134" w:rightChars="-56" w:firstLine="210" w:firstLineChars="100"/>
              <w:rPr>
                <w:rFonts w:ascii="宋体" w:hAnsi="宋体" w:cs="宋体"/>
                <w:bCs/>
                <w:sz w:val="21"/>
                <w:szCs w:val="21"/>
                <w:highlight w:val="none"/>
                <w:lang w:bidi="ar"/>
              </w:rPr>
            </w:pPr>
            <w:r>
              <w:rPr>
                <w:rFonts w:hint="eastAsia" w:ascii="宋体" w:hAnsi="宋体" w:cs="宋体"/>
                <w:bCs/>
                <w:sz w:val="21"/>
                <w:szCs w:val="21"/>
                <w:highlight w:val="none"/>
                <w:lang w:bidi="ar"/>
              </w:rPr>
              <w:t>28工作日</w:t>
            </w:r>
          </w:p>
        </w:tc>
        <w:tc>
          <w:tcPr>
            <w:tcW w:w="5713" w:type="dxa"/>
            <w:tcMar>
              <w:top w:w="15" w:type="dxa"/>
              <w:left w:w="15" w:type="dxa"/>
              <w:bottom w:w="0" w:type="dxa"/>
              <w:right w:w="15" w:type="dxa"/>
            </w:tcMar>
            <w:vAlign w:val="center"/>
          </w:tcPr>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◇首次入户，了解项目基本情况，沟通落实开展项目绩效评价工作的进度安排。收集项目首批资料，并反馈补充资料意见；</w:t>
            </w:r>
          </w:p>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 xml:space="preserve">◇收集项目补充资料；进行分类整理、归集，填写相应的工作底稿； </w:t>
            </w:r>
          </w:p>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◇定期向委托方汇报、沟通绩效评价中发现的问题；</w:t>
            </w:r>
          </w:p>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◇按照绩效评价工作内容编制工作底稿，整理工作资料证据，撰写工作总结；</w:t>
            </w:r>
          </w:p>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◇现场形成初步的复核工作总结，以备后续绩效评价报告的撰写奠定基础。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trPr>
        <w:tc>
          <w:tcPr>
            <w:tcW w:w="1246" w:type="dxa"/>
            <w:vAlign w:val="center"/>
          </w:tcPr>
          <w:p>
            <w:pPr>
              <w:spacing w:line="360" w:lineRule="auto"/>
              <w:jc w:val="center"/>
              <w:rPr>
                <w:rFonts w:ascii="宋体" w:hAnsi="宋体" w:cs="宋体"/>
                <w:bCs/>
                <w:sz w:val="21"/>
                <w:szCs w:val="21"/>
                <w:highlight w:val="none"/>
                <w:lang w:bidi="ar"/>
              </w:rPr>
            </w:pPr>
            <w:r>
              <w:rPr>
                <w:rFonts w:hint="eastAsia" w:ascii="宋体" w:hAnsi="宋体" w:cs="宋体"/>
                <w:bCs/>
                <w:sz w:val="21"/>
                <w:szCs w:val="21"/>
                <w:highlight w:val="none"/>
                <w:lang w:bidi="ar"/>
              </w:rPr>
              <w:t>报告阶段</w:t>
            </w:r>
          </w:p>
        </w:tc>
        <w:tc>
          <w:tcPr>
            <w:tcW w:w="1407" w:type="dxa"/>
            <w:tcMar>
              <w:top w:w="15" w:type="dxa"/>
              <w:left w:w="15" w:type="dxa"/>
              <w:bottom w:w="0" w:type="dxa"/>
              <w:right w:w="15" w:type="dxa"/>
            </w:tcMar>
            <w:vAlign w:val="center"/>
          </w:tcPr>
          <w:p>
            <w:pPr>
              <w:spacing w:line="360" w:lineRule="auto"/>
              <w:ind w:right="-134" w:rightChars="-56" w:firstLine="111" w:firstLineChars="53"/>
              <w:jc w:val="center"/>
              <w:rPr>
                <w:rFonts w:ascii="宋体" w:hAnsi="宋体" w:cs="宋体"/>
                <w:bCs/>
                <w:sz w:val="21"/>
                <w:szCs w:val="21"/>
                <w:highlight w:val="none"/>
                <w:lang w:bidi="ar"/>
              </w:rPr>
            </w:pPr>
            <w:r>
              <w:rPr>
                <w:rFonts w:hint="eastAsia" w:ascii="宋体" w:hAnsi="宋体" w:cs="宋体"/>
                <w:bCs/>
                <w:sz w:val="21"/>
                <w:szCs w:val="21"/>
                <w:highlight w:val="none"/>
                <w:lang w:bidi="ar"/>
              </w:rPr>
              <w:t>10工作日</w:t>
            </w:r>
          </w:p>
        </w:tc>
        <w:tc>
          <w:tcPr>
            <w:tcW w:w="5713" w:type="dxa"/>
            <w:tcMar>
              <w:top w:w="15" w:type="dxa"/>
              <w:left w:w="15" w:type="dxa"/>
              <w:bottom w:w="0" w:type="dxa"/>
              <w:right w:w="15" w:type="dxa"/>
            </w:tcMar>
            <w:vAlign w:val="center"/>
          </w:tcPr>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◇编制绩效评价报告初稿并先征求区财政局的意见；</w:t>
            </w:r>
          </w:p>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◇根据沟通结果或补充提供的相关证据资料，修改绩效评价报告初稿；</w:t>
            </w:r>
          </w:p>
          <w:p>
            <w:pPr>
              <w:pStyle w:val="6"/>
              <w:spacing w:before="0" w:after="0" w:line="360" w:lineRule="auto"/>
              <w:ind w:left="0"/>
              <w:rPr>
                <w:rFonts w:ascii="宋体" w:hAnsi="宋体" w:cs="宋体"/>
                <w:bCs/>
                <w:sz w:val="21"/>
                <w:szCs w:val="21"/>
                <w:highlight w:val="none"/>
                <w:lang w:bidi="ar"/>
              </w:rPr>
            </w:pPr>
            <w:r>
              <w:rPr>
                <w:rFonts w:hint="eastAsia" w:ascii="宋体" w:hAnsi="宋体" w:cs="宋体"/>
                <w:bCs/>
                <w:sz w:val="21"/>
                <w:szCs w:val="21"/>
                <w:highlight w:val="none"/>
                <w:lang w:bidi="ar"/>
              </w:rPr>
              <w:t>◇履行事务所内部三级复核制度，正式出具并提交绩效评价报告。</w:t>
            </w:r>
          </w:p>
        </w:tc>
      </w:tr>
    </w:tbl>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（1）准备阶段</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针对本次项目要求的工作时间紧、工作任务重等特点，提前完成事务所内部的审计团队短期培训、人员分工、资料收集，以及总体策略、具体计划等工作。</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（2）实施阶段</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阶段包括完成项目的资料准备指导、资料收集、现场沟通等工作。项目组人员在充分了解项目情况基础上开展绩效评价，并形成绩效评价报告。定期向委托人汇报、沟通绩效评价过程中发现问题，解决绩效评价过程中存在的问题。</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（3）报告阶段</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将评价过程中发现的问题进行汇总、整理、分析，并此基础上编制绩效评价报告初稿，及时向区财政局进行沟通、汇报。</w:t>
      </w:r>
    </w:p>
    <w:p>
      <w:pPr>
        <w:spacing w:line="600" w:lineRule="exact"/>
        <w:ind w:firstLine="640" w:firstLineChars="200"/>
        <w:outlineLvl w:val="0"/>
        <w:rPr>
          <w:rFonts w:ascii="黑体" w:hAnsi="黑体" w:eastAsia="黑体" w:cs="黑体"/>
          <w:sz w:val="32"/>
          <w:szCs w:val="32"/>
          <w:highlight w:val="none"/>
        </w:rPr>
      </w:pPr>
      <w:bookmarkStart w:id="12" w:name="_Toc3156"/>
      <w:r>
        <w:rPr>
          <w:rFonts w:hint="eastAsia" w:ascii="黑体" w:hAnsi="黑体" w:eastAsia="黑体" w:cs="黑体"/>
          <w:sz w:val="32"/>
          <w:szCs w:val="32"/>
          <w:highlight w:val="none"/>
        </w:rPr>
        <w:t>三、综合评价情况及评价结论</w:t>
      </w:r>
      <w:bookmarkEnd w:id="12"/>
    </w:p>
    <w:p>
      <w:pPr>
        <w:spacing w:line="600" w:lineRule="exact"/>
        <w:ind w:firstLine="640" w:firstLineChars="200"/>
        <w:outlineLvl w:val="1"/>
        <w:rPr>
          <w:rFonts w:ascii="仿宋_GB2312" w:hAnsi="仿宋_GB2312" w:eastAsia="仿宋_GB2312" w:cs="仿宋_GB2312"/>
          <w:sz w:val="32"/>
          <w:szCs w:val="32"/>
          <w:highlight w:val="none"/>
        </w:rPr>
      </w:pPr>
      <w:bookmarkStart w:id="13" w:name="_Toc25734"/>
      <w:r>
        <w:rPr>
          <w:rFonts w:hint="eastAsia" w:ascii="仿宋_GB2312" w:hAnsi="仿宋_GB2312" w:eastAsia="仿宋_GB2312" w:cs="仿宋_GB2312"/>
          <w:sz w:val="32"/>
          <w:szCs w:val="32"/>
          <w:highlight w:val="none"/>
        </w:rPr>
        <w:t>（一）评价得分情况</w:t>
      </w:r>
      <w:bookmarkEnd w:id="13"/>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经综合评价，京津冀青光镇新型城镇化建设项目评价综合得分为</w:t>
      </w:r>
      <w:r>
        <w:rPr>
          <w:rFonts w:hint="eastAsia" w:ascii="仿宋_GB2312" w:hAnsi="仿宋_GB2312" w:eastAsia="仿宋_GB2312" w:cs="仿宋_GB2312"/>
          <w:sz w:val="32"/>
          <w:szCs w:val="32"/>
          <w:highlight w:val="none"/>
          <w:lang w:val="en-US" w:eastAsia="zh-CN"/>
        </w:rPr>
        <w:t>82</w:t>
      </w:r>
      <w:r>
        <w:rPr>
          <w:rFonts w:hint="eastAsia" w:ascii="仿宋_GB2312" w:hAnsi="仿宋_GB2312" w:eastAsia="仿宋_GB2312" w:cs="仿宋_GB2312"/>
          <w:sz w:val="32"/>
          <w:szCs w:val="32"/>
          <w:highlight w:val="none"/>
        </w:rPr>
        <w:t>分，等级为良</w:t>
      </w:r>
      <w:r>
        <w:rPr>
          <w:rFonts w:hint="eastAsia" w:ascii="仿宋_GB2312" w:hAnsi="仿宋_GB2312" w:eastAsia="仿宋_GB2312" w:cs="仿宋_GB2312"/>
          <w:sz w:val="32"/>
          <w:szCs w:val="32"/>
          <w:highlight w:val="none"/>
        </w:rPr>
        <w:t>。具体指标评价分值如下表：</w:t>
      </w:r>
    </w:p>
    <w:p>
      <w:pPr>
        <w:spacing w:line="60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表4：绩效评价得分情况表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2119"/>
        <w:gridCol w:w="2120"/>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ascii="黑体" w:hAnsi="黑体" w:eastAsia="黑体" w:cs="黑体"/>
                <w:sz w:val="21"/>
                <w:szCs w:val="21"/>
                <w:highlight w:val="none"/>
                <w:lang w:bidi="ar"/>
              </w:rPr>
            </w:pPr>
            <w:r>
              <w:rPr>
                <w:rFonts w:hint="eastAsia" w:ascii="黑体" w:hAnsi="黑体" w:eastAsia="黑体" w:cs="黑体"/>
                <w:sz w:val="21"/>
                <w:szCs w:val="21"/>
                <w:highlight w:val="none"/>
                <w:lang w:bidi="ar"/>
              </w:rPr>
              <w:t>指标</w:t>
            </w:r>
          </w:p>
        </w:tc>
        <w:tc>
          <w:tcPr>
            <w:tcW w:w="2119" w:type="dxa"/>
            <w:vAlign w:val="center"/>
          </w:tcPr>
          <w:p>
            <w:pPr>
              <w:spacing w:line="280" w:lineRule="exact"/>
              <w:jc w:val="center"/>
              <w:rPr>
                <w:rFonts w:ascii="黑体" w:hAnsi="黑体" w:eastAsia="黑体" w:cs="黑体"/>
                <w:sz w:val="21"/>
                <w:szCs w:val="21"/>
                <w:highlight w:val="none"/>
                <w:lang w:bidi="ar"/>
              </w:rPr>
            </w:pPr>
            <w:r>
              <w:rPr>
                <w:rFonts w:hint="eastAsia" w:ascii="黑体" w:hAnsi="黑体" w:eastAsia="黑体" w:cs="黑体"/>
                <w:sz w:val="21"/>
                <w:szCs w:val="21"/>
                <w:highlight w:val="none"/>
                <w:lang w:bidi="ar"/>
              </w:rPr>
              <w:t>分值</w:t>
            </w:r>
          </w:p>
        </w:tc>
        <w:tc>
          <w:tcPr>
            <w:tcW w:w="2120" w:type="dxa"/>
            <w:vAlign w:val="center"/>
          </w:tcPr>
          <w:p>
            <w:pPr>
              <w:spacing w:line="280" w:lineRule="exact"/>
              <w:jc w:val="center"/>
              <w:rPr>
                <w:rFonts w:ascii="黑体" w:hAnsi="黑体" w:eastAsia="黑体" w:cs="黑体"/>
                <w:sz w:val="21"/>
                <w:szCs w:val="21"/>
                <w:highlight w:val="none"/>
                <w:lang w:bidi="ar"/>
              </w:rPr>
            </w:pPr>
            <w:r>
              <w:rPr>
                <w:rFonts w:hint="eastAsia" w:ascii="黑体" w:hAnsi="黑体" w:eastAsia="黑体" w:cs="黑体"/>
                <w:sz w:val="21"/>
                <w:szCs w:val="21"/>
                <w:highlight w:val="none"/>
                <w:lang w:bidi="ar"/>
              </w:rPr>
              <w:t>评分</w:t>
            </w:r>
          </w:p>
        </w:tc>
        <w:tc>
          <w:tcPr>
            <w:tcW w:w="2120" w:type="dxa"/>
            <w:vAlign w:val="center"/>
          </w:tcPr>
          <w:p>
            <w:pPr>
              <w:spacing w:line="280" w:lineRule="exact"/>
              <w:jc w:val="center"/>
              <w:rPr>
                <w:rFonts w:ascii="黑体" w:hAnsi="黑体" w:eastAsia="黑体" w:cs="黑体"/>
                <w:sz w:val="21"/>
                <w:szCs w:val="21"/>
                <w:highlight w:val="none"/>
                <w:lang w:bidi="ar"/>
              </w:rPr>
            </w:pPr>
            <w:r>
              <w:rPr>
                <w:rFonts w:hint="eastAsia" w:ascii="黑体" w:hAnsi="黑体" w:eastAsia="黑体" w:cs="黑体"/>
                <w:sz w:val="21"/>
                <w:szCs w:val="21"/>
                <w:highlight w:val="none"/>
                <w:lang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ascii="宋体" w:hAnsi="宋体" w:cs="宋体"/>
                <w:sz w:val="21"/>
                <w:szCs w:val="21"/>
                <w:highlight w:val="none"/>
                <w:lang w:bidi="ar"/>
              </w:rPr>
            </w:pPr>
            <w:r>
              <w:rPr>
                <w:rFonts w:hint="eastAsia" w:ascii="宋体" w:hAnsi="宋体" w:cs="宋体"/>
                <w:sz w:val="21"/>
                <w:szCs w:val="21"/>
                <w:highlight w:val="none"/>
                <w:lang w:bidi="ar"/>
              </w:rPr>
              <w:t>项目决策</w:t>
            </w:r>
          </w:p>
        </w:tc>
        <w:tc>
          <w:tcPr>
            <w:tcW w:w="2119"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20.00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19.00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ascii="宋体" w:hAnsi="宋体" w:cs="宋体"/>
                <w:sz w:val="21"/>
                <w:szCs w:val="21"/>
                <w:highlight w:val="none"/>
                <w:lang w:bidi="ar"/>
              </w:rPr>
            </w:pPr>
            <w:r>
              <w:rPr>
                <w:rFonts w:hint="eastAsia" w:ascii="宋体" w:hAnsi="宋体" w:cs="宋体"/>
                <w:sz w:val="21"/>
                <w:szCs w:val="21"/>
                <w:highlight w:val="none"/>
                <w:lang w:bidi="ar"/>
              </w:rPr>
              <w:t>项目过程</w:t>
            </w:r>
          </w:p>
        </w:tc>
        <w:tc>
          <w:tcPr>
            <w:tcW w:w="2119"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25.00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19.00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ascii="宋体" w:hAnsi="宋体" w:cs="宋体"/>
                <w:sz w:val="21"/>
                <w:szCs w:val="21"/>
                <w:highlight w:val="none"/>
                <w:lang w:bidi="ar"/>
              </w:rPr>
            </w:pPr>
            <w:r>
              <w:rPr>
                <w:rFonts w:hint="eastAsia" w:ascii="宋体" w:hAnsi="宋体" w:cs="宋体"/>
                <w:sz w:val="21"/>
                <w:szCs w:val="21"/>
                <w:highlight w:val="none"/>
                <w:lang w:bidi="ar"/>
              </w:rPr>
              <w:t>项目产出</w:t>
            </w:r>
          </w:p>
        </w:tc>
        <w:tc>
          <w:tcPr>
            <w:tcW w:w="2119"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30.00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28.00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19" w:type="dxa"/>
            <w:vAlign w:val="center"/>
          </w:tcPr>
          <w:p>
            <w:pPr>
              <w:spacing w:line="280" w:lineRule="exact"/>
              <w:jc w:val="center"/>
              <w:rPr>
                <w:rFonts w:ascii="宋体" w:hAnsi="宋体" w:cs="宋体"/>
                <w:sz w:val="21"/>
                <w:szCs w:val="21"/>
                <w:highlight w:val="none"/>
                <w:lang w:bidi="ar"/>
              </w:rPr>
            </w:pPr>
            <w:r>
              <w:rPr>
                <w:rFonts w:hint="eastAsia" w:ascii="宋体" w:hAnsi="宋体" w:cs="宋体"/>
                <w:sz w:val="21"/>
                <w:szCs w:val="21"/>
                <w:highlight w:val="none"/>
                <w:lang w:bidi="ar"/>
              </w:rPr>
              <w:t>项目效益</w:t>
            </w:r>
          </w:p>
        </w:tc>
        <w:tc>
          <w:tcPr>
            <w:tcW w:w="2119"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25.00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16.00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19" w:type="dxa"/>
            <w:vAlign w:val="center"/>
          </w:tcPr>
          <w:p>
            <w:pPr>
              <w:spacing w:line="280" w:lineRule="exact"/>
              <w:jc w:val="center"/>
              <w:rPr>
                <w:rFonts w:ascii="宋体" w:hAnsi="宋体" w:cs="宋体"/>
                <w:sz w:val="21"/>
                <w:szCs w:val="21"/>
                <w:highlight w:val="none"/>
                <w:lang w:bidi="ar"/>
              </w:rPr>
            </w:pPr>
            <w:r>
              <w:rPr>
                <w:rFonts w:hint="eastAsia" w:ascii="宋体" w:hAnsi="宋体" w:cs="宋体"/>
                <w:sz w:val="21"/>
                <w:szCs w:val="21"/>
                <w:highlight w:val="none"/>
                <w:lang w:bidi="ar"/>
              </w:rPr>
              <w:t>合计</w:t>
            </w:r>
          </w:p>
        </w:tc>
        <w:tc>
          <w:tcPr>
            <w:tcW w:w="2119"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100.00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 xml:space="preserve">82.00 </w:t>
            </w:r>
          </w:p>
        </w:tc>
        <w:tc>
          <w:tcPr>
            <w:tcW w:w="2120" w:type="dxa"/>
            <w:vAlign w:val="center"/>
          </w:tcPr>
          <w:p>
            <w:pPr>
              <w:keepNext w:val="0"/>
              <w:keepLines w:val="0"/>
              <w:widowControl/>
              <w:suppressLineNumbers w:val="0"/>
              <w:jc w:val="center"/>
              <w:textAlignment w:val="center"/>
              <w:rPr>
                <w:rFonts w:ascii="宋体" w:hAnsi="宋体" w:cs="宋体"/>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82.00%</w:t>
            </w:r>
          </w:p>
        </w:tc>
      </w:tr>
    </w:tbl>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该项目在项目决策方面，立项依据充分、规范，</w:t>
      </w:r>
      <w:r>
        <w:rPr>
          <w:rFonts w:hint="eastAsia" w:ascii="仿宋_GB2312" w:hAnsi="仿宋_GB2312" w:eastAsia="仿宋_GB2312" w:cs="仿宋_GB2312"/>
          <w:sz w:val="32"/>
          <w:szCs w:val="32"/>
          <w:highlight w:val="none"/>
          <w:lang w:val="en-US" w:eastAsia="zh-CN"/>
        </w:rPr>
        <w:t>个别</w:t>
      </w:r>
      <w:r>
        <w:rPr>
          <w:rFonts w:hint="eastAsia" w:ascii="仿宋_GB2312" w:hAnsi="仿宋_GB2312" w:eastAsia="仿宋_GB2312" w:cs="仿宋_GB2312"/>
          <w:sz w:val="32"/>
          <w:szCs w:val="32"/>
          <w:highlight w:val="none"/>
        </w:rPr>
        <w:t>绩效目标合理性不足，资金投入预算编制科学、资金分配合理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在项目过程方面，资金管理到位，预算执行与计划相符，组织机构健全，资金使用合规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在项目产出方面，产出效果较为显著，完善韩家墅项目区、李家房子项目区农民安置用房建设项目包括农民安置用房建设、配套基础设施建设、拆迁平整土地等，</w:t>
      </w:r>
      <w:r>
        <w:rPr>
          <w:rFonts w:hint="eastAsia" w:ascii="仿宋_GB2312" w:hAnsi="仿宋_GB2312" w:eastAsia="仿宋_GB2312" w:cs="仿宋_GB2312"/>
          <w:sz w:val="32"/>
          <w:szCs w:val="32"/>
          <w:highlight w:val="none"/>
          <w:lang w:val="en-US" w:eastAsia="zh-CN"/>
        </w:rPr>
        <w:t>但应加强</w:t>
      </w:r>
      <w:r>
        <w:rPr>
          <w:rFonts w:hint="eastAsia" w:ascii="仿宋_GB2312" w:hAnsi="仿宋_GB2312" w:eastAsia="仿宋_GB2312" w:cs="仿宋_GB2312"/>
          <w:sz w:val="32"/>
          <w:szCs w:val="32"/>
          <w:highlight w:val="none"/>
        </w:rPr>
        <w:t>对绩效成果支撑资料的收集。</w:t>
      </w:r>
    </w:p>
    <w:p>
      <w:pPr>
        <w:spacing w:line="600" w:lineRule="exact"/>
        <w:ind w:firstLine="640" w:firstLineChars="200"/>
        <w:outlineLvl w:val="1"/>
        <w:rPr>
          <w:rFonts w:ascii="仿宋_GB2312" w:hAnsi="仿宋_GB2312" w:eastAsia="仿宋_GB2312" w:cs="仿宋_GB2312"/>
          <w:sz w:val="32"/>
          <w:szCs w:val="32"/>
          <w:highlight w:val="none"/>
        </w:rPr>
      </w:pPr>
      <w:bookmarkStart w:id="14" w:name="_Toc32398"/>
      <w:r>
        <w:rPr>
          <w:rFonts w:hint="eastAsia" w:ascii="仿宋_GB2312" w:hAnsi="仿宋_GB2312" w:eastAsia="仿宋_GB2312" w:cs="仿宋_GB2312"/>
          <w:sz w:val="32"/>
          <w:szCs w:val="32"/>
          <w:highlight w:val="none"/>
        </w:rPr>
        <w:t>（二）项目所实现的主要绩效</w:t>
      </w:r>
      <w:bookmarkEnd w:id="14"/>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天津市发展和改革委员会对项目建议书、可行性研究报告的批复，同意北辰区青光示范小城镇农民安置用房建设项目立项，同时项目获取了环评批复、建设工程规划许可证、建设用地规划许可证、建筑工程施工许可证、产权证等，项目的程序申请设立审批符合规定。通过项目的开展，</w:t>
      </w:r>
      <w:r>
        <w:rPr>
          <w:rFonts w:hint="eastAsia" w:ascii="仿宋_GB2312" w:hAnsi="仿宋_GB2312" w:eastAsia="仿宋_GB2312" w:cs="仿宋_GB2312"/>
          <w:sz w:val="32"/>
          <w:szCs w:val="32"/>
          <w:highlight w:val="none"/>
        </w:rPr>
        <w:t>逐步有序的完成对韩家墅项目区、李家房子项目区农民安置用房建设项目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具体</w:t>
      </w:r>
      <w:r>
        <w:rPr>
          <w:rFonts w:hint="eastAsia" w:ascii="仿宋_GB2312" w:hAnsi="仿宋_GB2312" w:eastAsia="仿宋_GB2312" w:cs="仿宋_GB2312"/>
          <w:sz w:val="32"/>
          <w:szCs w:val="32"/>
          <w:highlight w:val="none"/>
        </w:rPr>
        <w:t>包括</w:t>
      </w:r>
      <w:r>
        <w:rPr>
          <w:rFonts w:hint="eastAsia" w:ascii="仿宋_GB2312" w:hAnsi="仿宋_GB2312" w:eastAsia="仿宋_GB2312" w:cs="仿宋_GB2312"/>
          <w:sz w:val="32"/>
          <w:szCs w:val="32"/>
          <w:highlight w:val="none"/>
        </w:rPr>
        <w:t>农民安置用房建设、配套基础设施建设、拆迁平整土地等建设工作。</w:t>
      </w:r>
    </w:p>
    <w:p>
      <w:pPr>
        <w:pStyle w:val="2"/>
      </w:pPr>
    </w:p>
    <w:p>
      <w:pPr>
        <w:spacing w:line="600" w:lineRule="exact"/>
        <w:ind w:firstLine="640" w:firstLineChars="200"/>
        <w:outlineLvl w:val="0"/>
        <w:rPr>
          <w:rFonts w:ascii="黑体" w:hAnsi="黑体" w:eastAsia="黑体" w:cs="黑体"/>
          <w:sz w:val="32"/>
          <w:szCs w:val="32"/>
          <w:highlight w:val="none"/>
        </w:rPr>
      </w:pPr>
      <w:bookmarkStart w:id="15" w:name="_Toc3151"/>
      <w:r>
        <w:rPr>
          <w:rFonts w:hint="eastAsia" w:ascii="黑体" w:hAnsi="黑体" w:eastAsia="黑体" w:cs="黑体"/>
          <w:sz w:val="32"/>
          <w:szCs w:val="32"/>
          <w:highlight w:val="none"/>
        </w:rPr>
        <w:t>四、绩效评价指标分析</w:t>
      </w:r>
      <w:bookmarkEnd w:id="15"/>
    </w:p>
    <w:p>
      <w:pPr>
        <w:spacing w:line="600" w:lineRule="exact"/>
        <w:ind w:firstLine="640" w:firstLineChars="200"/>
        <w:outlineLvl w:val="1"/>
        <w:rPr>
          <w:rFonts w:ascii="仿宋_GB2312" w:hAnsi="仿宋_GB2312" w:eastAsia="仿宋_GB2312" w:cs="仿宋_GB2312"/>
          <w:sz w:val="32"/>
          <w:szCs w:val="32"/>
          <w:highlight w:val="none"/>
        </w:rPr>
      </w:pPr>
      <w:bookmarkStart w:id="16" w:name="_Toc17522"/>
      <w:r>
        <w:rPr>
          <w:rFonts w:hint="eastAsia" w:ascii="仿宋_GB2312" w:hAnsi="仿宋_GB2312" w:eastAsia="仿宋_GB2312" w:cs="仿宋_GB2312"/>
          <w:sz w:val="32"/>
          <w:szCs w:val="32"/>
          <w:highlight w:val="none"/>
        </w:rPr>
        <w:t>（一）项目决策情况</w:t>
      </w:r>
      <w:bookmarkEnd w:id="16"/>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项目决策下设项目立项、绩效目标、资金投入三大类二级指标，设计总分20分；经评价该项总计得分1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分，具体评价过程和理由分述如下：</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1.项目立项</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（1）立项依据充分性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关于北辰区青光示范小城镇农民安置用房建设项目建议书的批复》（津发改城镇〔2012〕37号）、《关于北辰区青光示范小城镇韩家墅项目区农民安置用房建设项目可行性研究报告的批复》（津发改城镇〔2012〕465号）和《市发展改革委关于北辰区青光示范小城镇李家房子和青光项目区农民安置用房建设项目可行性研究报告的批复》（津发改城镇〔2015〕365号）显示，</w:t>
      </w:r>
      <w:r>
        <w:rPr>
          <w:rFonts w:hint="eastAsia" w:ascii="仿宋_GB2312" w:hAnsi="仿宋_GB2312" w:eastAsia="仿宋_GB2312" w:cs="仿宋_GB2312"/>
          <w:sz w:val="32"/>
          <w:szCs w:val="32"/>
          <w:highlight w:val="none"/>
          <w:lang w:val="en-US" w:eastAsia="zh-CN"/>
        </w:rPr>
        <w:t>该</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取得了</w:t>
      </w:r>
      <w:r>
        <w:rPr>
          <w:rFonts w:hint="eastAsia" w:ascii="仿宋_GB2312" w:hAnsi="仿宋_GB2312" w:eastAsia="仿宋_GB2312" w:cs="仿宋_GB2312"/>
          <w:sz w:val="32"/>
          <w:szCs w:val="32"/>
          <w:highlight w:val="none"/>
        </w:rPr>
        <w:t>立项的有关手续</w:t>
      </w:r>
      <w:r>
        <w:rPr>
          <w:rFonts w:hint="eastAsia" w:ascii="仿宋_GB2312" w:hAnsi="仿宋_GB2312" w:eastAsia="仿宋_GB2312" w:cs="仿宋_GB2312"/>
          <w:sz w:val="32"/>
          <w:szCs w:val="32"/>
          <w:highlight w:val="none"/>
        </w:rPr>
        <w:t>，符合国务院的有关规定。立项依据明确，符合天津市及上级主管部门的文件要求。计4分。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（2）立项程序规范性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按照天津市发展和改革委员会对项目建议书、可行性研究报告的批复，同意北辰区青光示范小城镇农民安置用房建设项目立项。</w:t>
      </w:r>
      <w:r>
        <w:rPr>
          <w:rFonts w:hint="eastAsia" w:ascii="仿宋_GB2312" w:hAnsi="仿宋_GB2312" w:eastAsia="仿宋_GB2312" w:cs="仿宋_GB2312"/>
          <w:sz w:val="32"/>
          <w:szCs w:val="32"/>
          <w:highlight w:val="none"/>
          <w:lang w:val="en-US" w:eastAsia="zh-CN"/>
        </w:rPr>
        <w:t>项目建设单位</w:t>
      </w:r>
      <w:r>
        <w:rPr>
          <w:rFonts w:hint="eastAsia" w:ascii="仿宋_GB2312" w:hAnsi="仿宋_GB2312" w:eastAsia="仿宋_GB2312" w:cs="仿宋_GB2312"/>
          <w:sz w:val="32"/>
          <w:szCs w:val="32"/>
          <w:highlight w:val="none"/>
        </w:rPr>
        <w:t>取</w:t>
      </w:r>
      <w:r>
        <w:rPr>
          <w:rFonts w:hint="eastAsia" w:ascii="仿宋_GB2312" w:hAnsi="仿宋_GB2312" w:eastAsia="仿宋_GB2312" w:cs="仿宋_GB2312"/>
          <w:sz w:val="32"/>
          <w:szCs w:val="32"/>
          <w:highlight w:val="none"/>
          <w:lang w:val="en-US" w:eastAsia="zh-CN"/>
        </w:rPr>
        <w:t>得</w:t>
      </w:r>
      <w:r>
        <w:rPr>
          <w:rFonts w:hint="eastAsia" w:ascii="仿宋_GB2312" w:hAnsi="仿宋_GB2312" w:eastAsia="仿宋_GB2312" w:cs="仿宋_GB2312"/>
          <w:sz w:val="32"/>
          <w:szCs w:val="32"/>
          <w:highlight w:val="none"/>
        </w:rPr>
        <w:t>了环评批复、建设工程规划许可证、建设用地规划许可证、建筑工程施工许可证、产权证等，</w:t>
      </w:r>
      <w:r>
        <w:rPr>
          <w:rFonts w:hint="eastAsia" w:ascii="仿宋_GB2312" w:hAnsi="仿宋_GB2312" w:eastAsia="仿宋_GB2312" w:cs="仿宋_GB2312"/>
          <w:sz w:val="32"/>
          <w:szCs w:val="32"/>
          <w:highlight w:val="none"/>
          <w:lang w:val="en-US" w:eastAsia="zh-CN"/>
        </w:rPr>
        <w:t>立项</w:t>
      </w:r>
      <w:r>
        <w:rPr>
          <w:rFonts w:hint="eastAsia" w:ascii="仿宋_GB2312" w:hAnsi="仿宋_GB2312" w:eastAsia="仿宋_GB2312" w:cs="仿宋_GB2312"/>
          <w:sz w:val="32"/>
          <w:szCs w:val="32"/>
          <w:highlight w:val="none"/>
        </w:rPr>
        <w:t>程序符合规定。计4分。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2.项目绩效</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（1）绩效目标合理性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针对京津冀青光镇新型城镇化建设内容</w:t>
      </w:r>
      <w:r>
        <w:rPr>
          <w:rFonts w:hint="eastAsia" w:ascii="仿宋_GB2312" w:hAnsi="仿宋_GB2312" w:eastAsia="仿宋_GB2312" w:cs="仿宋_GB2312"/>
          <w:sz w:val="32"/>
          <w:szCs w:val="32"/>
          <w:highlight w:val="none"/>
        </w:rPr>
        <w:t>设置了</w:t>
      </w:r>
      <w:r>
        <w:rPr>
          <w:rFonts w:hint="eastAsia" w:ascii="仿宋_GB2312" w:hAnsi="仿宋_GB2312" w:eastAsia="仿宋_GB2312" w:cs="仿宋_GB2312"/>
          <w:sz w:val="32"/>
          <w:szCs w:val="32"/>
          <w:highlight w:val="none"/>
          <w:lang w:val="en-US" w:eastAsia="zh-CN"/>
        </w:rPr>
        <w:t>总体</w:t>
      </w:r>
      <w:r>
        <w:rPr>
          <w:rFonts w:hint="eastAsia" w:ascii="仿宋_GB2312" w:hAnsi="仿宋_GB2312" w:eastAsia="仿宋_GB2312" w:cs="仿宋_GB2312"/>
          <w:sz w:val="32"/>
          <w:szCs w:val="32"/>
          <w:highlight w:val="none"/>
        </w:rPr>
        <w:t>绩效目标，</w:t>
      </w:r>
      <w:r>
        <w:rPr>
          <w:rFonts w:hint="eastAsia" w:ascii="仿宋_GB2312" w:hAnsi="仿宋_GB2312" w:eastAsia="仿宋_GB2312" w:cs="仿宋_GB2312"/>
          <w:sz w:val="32"/>
          <w:szCs w:val="32"/>
          <w:highlight w:val="none"/>
          <w:lang w:val="en-US" w:eastAsia="zh-CN"/>
        </w:rPr>
        <w:t>并细化分解了具体产出指标，总目标具备可衡量性，</w:t>
      </w:r>
      <w:r>
        <w:rPr>
          <w:rFonts w:hint="eastAsia" w:ascii="仿宋_GB2312" w:hAnsi="仿宋_GB2312" w:eastAsia="仿宋_GB2312" w:cs="仿宋_GB2312"/>
          <w:sz w:val="32"/>
          <w:szCs w:val="32"/>
          <w:highlight w:val="none"/>
        </w:rPr>
        <w:t>但存在个别指标</w:t>
      </w:r>
      <w:r>
        <w:rPr>
          <w:rFonts w:hint="eastAsia" w:ascii="仿宋_GB2312" w:hAnsi="仿宋_GB2312" w:eastAsia="仿宋_GB2312" w:cs="仿宋_GB2312"/>
          <w:sz w:val="32"/>
          <w:szCs w:val="32"/>
          <w:highlight w:val="none"/>
          <w:lang w:val="en-US" w:eastAsia="zh-CN"/>
        </w:rPr>
        <w:t>设置</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highlight w:val="none"/>
          <w:lang w:val="en-US" w:eastAsia="zh-CN"/>
        </w:rPr>
        <w:t>合理</w:t>
      </w:r>
      <w:r>
        <w:rPr>
          <w:rFonts w:hint="eastAsia" w:ascii="仿宋_GB2312" w:hAnsi="仿宋_GB2312" w:eastAsia="仿宋_GB2312" w:cs="仿宋_GB2312"/>
          <w:sz w:val="32"/>
          <w:szCs w:val="32"/>
          <w:highlight w:val="none"/>
          <w:lang w:eastAsia="zh-CN"/>
        </w:rPr>
        <w:t>。如经济效益指标</w:t>
      </w:r>
      <w:r>
        <w:rPr>
          <w:rFonts w:hint="eastAsia" w:ascii="仿宋_GB2312" w:hAnsi="仿宋_GB2312" w:eastAsia="仿宋_GB2312" w:cs="仿宋_GB2312"/>
          <w:sz w:val="32"/>
          <w:szCs w:val="32"/>
          <w:highlight w:val="none"/>
          <w:lang w:val="en-US" w:eastAsia="zh-CN"/>
        </w:rPr>
        <w:t>设置指标内容为单位造价合理性、指标值为是，原指标体现成本控制情况，未反映该项目实施后对经济发展所带来的影响，不符合经济效益指标的内容</w:t>
      </w:r>
      <w:r>
        <w:rPr>
          <w:rFonts w:hint="eastAsia" w:ascii="仿宋_GB2312" w:hAnsi="仿宋_GB2312" w:eastAsia="仿宋_GB2312" w:cs="仿宋_GB2312"/>
          <w:sz w:val="32"/>
          <w:szCs w:val="32"/>
          <w:highlight w:val="none"/>
        </w:rPr>
        <w:t>。扣1分，计2分。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（2）绩效目标明确性</w:t>
      </w:r>
    </w:p>
    <w:p>
      <w:pPr>
        <w:spacing w:line="60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总体绩效目标设置为</w:t>
      </w:r>
      <w:r>
        <w:rPr>
          <w:rFonts w:ascii="仿宋_GB2312" w:hAnsi="仿宋_GB2312" w:eastAsia="仿宋_GB2312" w:cs="仿宋_GB2312"/>
          <w:sz w:val="30"/>
          <w:szCs w:val="30"/>
          <w:highlight w:val="none"/>
        </w:rPr>
        <w:t>①</w:t>
      </w:r>
      <w:r>
        <w:rPr>
          <w:rFonts w:hint="eastAsia" w:ascii="仿宋_GB2312" w:hAnsi="仿宋_GB2312" w:eastAsia="仿宋_GB2312" w:cs="仿宋_GB2312"/>
          <w:sz w:val="30"/>
          <w:szCs w:val="30"/>
          <w:highlight w:val="none"/>
        </w:rPr>
        <w:t>完成韩家墅</w:t>
      </w:r>
      <w:r>
        <w:rPr>
          <w:rFonts w:hint="eastAsia" w:ascii="仿宋_GB2312" w:hAnsi="仿宋_GB2312" w:eastAsia="仿宋_GB2312" w:cs="仿宋_GB2312"/>
          <w:sz w:val="30"/>
          <w:szCs w:val="30"/>
          <w:highlight w:val="none"/>
        </w:rPr>
        <w:t>项目区农民安置用房建设项目</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包括农民安置用房建设、配套基础设施建设、拆迁平整土地等；</w:t>
      </w:r>
      <w:r>
        <w:rPr>
          <w:rFonts w:ascii="仿宋_GB2312" w:hAnsi="仿宋_GB2312" w:eastAsia="仿宋_GB2312" w:cs="仿宋_GB2312"/>
          <w:sz w:val="30"/>
          <w:szCs w:val="30"/>
          <w:highlight w:val="none"/>
        </w:rPr>
        <w:t>②</w:t>
      </w:r>
      <w:r>
        <w:rPr>
          <w:rFonts w:hint="eastAsia" w:ascii="仿宋_GB2312" w:hAnsi="仿宋_GB2312" w:eastAsia="仿宋_GB2312" w:cs="仿宋_GB2312"/>
          <w:sz w:val="30"/>
          <w:szCs w:val="30"/>
          <w:highlight w:val="none"/>
        </w:rPr>
        <w:t>完成李家房子项目区农民安置用房建设项目</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包括农民安置用房建设、配套基础设施建设、拆迁平整土地等。</w:t>
      </w:r>
      <w:r>
        <w:rPr>
          <w:rFonts w:hint="eastAsia" w:ascii="仿宋_GB2312" w:hAnsi="仿宋_GB2312" w:eastAsia="仿宋_GB2312" w:cs="仿宋_GB2312"/>
          <w:sz w:val="30"/>
          <w:szCs w:val="30"/>
          <w:highlight w:val="none"/>
        </w:rPr>
        <w:t>通过对绩效目标检查，指标设置</w:t>
      </w:r>
      <w:r>
        <w:rPr>
          <w:rFonts w:hint="eastAsia" w:ascii="仿宋_GB2312" w:hAnsi="仿宋_GB2312" w:eastAsia="仿宋_GB2312" w:cs="仿宋_GB2312"/>
          <w:sz w:val="30"/>
          <w:szCs w:val="30"/>
          <w:highlight w:val="none"/>
          <w:lang w:val="en-US" w:eastAsia="zh-CN"/>
        </w:rPr>
        <w:t>明确</w:t>
      </w:r>
      <w:r>
        <w:rPr>
          <w:rFonts w:hint="eastAsia" w:ascii="仿宋_GB2312" w:hAnsi="仿宋_GB2312" w:eastAsia="仿宋_GB2312" w:cs="仿宋_GB2312"/>
          <w:sz w:val="30"/>
          <w:szCs w:val="30"/>
          <w:highlight w:val="none"/>
        </w:rPr>
        <w:t>。计</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分。</w:t>
      </w:r>
    </w:p>
    <w:p>
      <w:pPr>
        <w:spacing w:line="60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3.资金投入</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（1）预算编制科学性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根据天津市发展和改革委员会对项目建议书、可行性研究报告的批复，拟定相应资金来源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该</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实施过程中形成了</w:t>
      </w:r>
      <w:r>
        <w:rPr>
          <w:rFonts w:hint="eastAsia" w:ascii="仿宋_GB2312" w:hAnsi="仿宋_GB2312" w:eastAsia="仿宋_GB2312" w:cs="仿宋_GB2312"/>
          <w:sz w:val="32"/>
          <w:szCs w:val="32"/>
          <w:highlight w:val="none"/>
        </w:rPr>
        <w:t>财务报告、法律意见书</w:t>
      </w:r>
      <w:r>
        <w:rPr>
          <w:rFonts w:hint="eastAsia" w:ascii="仿宋_GB2312" w:hAnsi="仿宋_GB2312" w:eastAsia="仿宋_GB2312" w:cs="仿宋_GB2312"/>
          <w:sz w:val="32"/>
          <w:szCs w:val="32"/>
          <w:highlight w:val="none"/>
          <w:lang w:val="en-US" w:eastAsia="zh-CN"/>
        </w:rPr>
        <w:t>等资料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明确了预算</w:t>
      </w:r>
      <w:r>
        <w:rPr>
          <w:rFonts w:hint="eastAsia" w:ascii="仿宋_GB2312" w:hAnsi="仿宋_GB2312" w:eastAsia="仿宋_GB2312" w:cs="仿宋_GB2312"/>
          <w:sz w:val="32"/>
          <w:szCs w:val="32"/>
          <w:highlight w:val="none"/>
        </w:rPr>
        <w:t>资金</w:t>
      </w:r>
      <w:r>
        <w:rPr>
          <w:rFonts w:hint="eastAsia" w:ascii="仿宋_GB2312" w:hAnsi="仿宋_GB2312" w:eastAsia="仿宋_GB2312" w:cs="仿宋_GB2312"/>
          <w:sz w:val="32"/>
          <w:szCs w:val="32"/>
          <w:highlight w:val="none"/>
          <w:lang w:val="en-US" w:eastAsia="zh-CN"/>
        </w:rPr>
        <w:t>的构成及来源</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预算内容与项目实施内容匹配。计3分。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（2）资金分配合理性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根据天津市发展和改革委员会对项目建议书、可行性研究报告的批复，以及债券成功发行挂网公告，资金严格匹配发行计划。资金预算分配合理。计3分。</w:t>
      </w:r>
    </w:p>
    <w:p>
      <w:pPr>
        <w:spacing w:line="600" w:lineRule="exact"/>
        <w:ind w:firstLine="640" w:firstLineChars="200"/>
        <w:outlineLvl w:val="1"/>
        <w:rPr>
          <w:rFonts w:ascii="仿宋_GB2312" w:hAnsi="仿宋_GB2312" w:eastAsia="仿宋_GB2312" w:cs="仿宋_GB2312"/>
          <w:sz w:val="32"/>
          <w:szCs w:val="32"/>
          <w:highlight w:val="none"/>
        </w:rPr>
      </w:pPr>
      <w:bookmarkStart w:id="17" w:name="_Toc22789"/>
      <w:r>
        <w:rPr>
          <w:rFonts w:hint="eastAsia" w:ascii="仿宋_GB2312" w:hAnsi="仿宋_GB2312" w:eastAsia="仿宋_GB2312" w:cs="仿宋_GB2312"/>
          <w:sz w:val="32"/>
          <w:szCs w:val="32"/>
          <w:highlight w:val="none"/>
        </w:rPr>
        <w:t>（二）项目过程情况</w:t>
      </w:r>
      <w:bookmarkEnd w:id="17"/>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项目过程下设资金管理、组织实施两大类二级指标，设计总分25分；经评价，该项总计得分</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分，具体评价过程和理由分述如下：</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1.资金管理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（1）资金到位率</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项目预计发行政府债券资金</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,000.00万元，该项目实际收到政府债券资金75,000.00万元，资金到位率为75%。</w:t>
      </w:r>
      <w:r>
        <w:rPr>
          <w:rFonts w:hint="eastAsia" w:ascii="仿宋_GB2312" w:hAnsi="仿宋_GB2312" w:eastAsia="仿宋_GB2312" w:cs="仿宋_GB2312"/>
          <w:sz w:val="32"/>
          <w:szCs w:val="32"/>
          <w:highlight w:val="none"/>
        </w:rPr>
        <w:t>扣2分，计3分。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（2）项目预算执行率</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截至2021年12月31日，项目实际到位资金为75,000.00万元，实际支付金额为74,518.30万元，预算执行率99.36%。计5分。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（3）资金使用合规性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经检查</w:t>
      </w:r>
      <w:r>
        <w:rPr>
          <w:rFonts w:hint="eastAsia" w:ascii="仿宋_GB2312" w:hAnsi="仿宋_GB2312" w:eastAsia="仿宋_GB2312" w:cs="仿宋_GB2312"/>
          <w:sz w:val="32"/>
          <w:szCs w:val="32"/>
          <w:highlight w:val="none"/>
        </w:rPr>
        <w:t>项目工程施工中标通知书、项目支出财务明细账、记账凭证等资料，项目的实际支出符合国家财经法规和财务管理制度，未</w:t>
      </w:r>
      <w:r>
        <w:rPr>
          <w:rFonts w:hint="eastAsia" w:ascii="仿宋_GB2312" w:hAnsi="仿宋_GB2312" w:eastAsia="仿宋_GB2312" w:cs="仿宋_GB2312"/>
          <w:sz w:val="32"/>
          <w:szCs w:val="32"/>
          <w:highlight w:val="none"/>
          <w:lang w:val="en-US" w:eastAsia="zh-CN"/>
        </w:rPr>
        <w:t>发</w:t>
      </w:r>
      <w:r>
        <w:rPr>
          <w:rFonts w:hint="eastAsia" w:ascii="仿宋_GB2312" w:hAnsi="仿宋_GB2312" w:eastAsia="仿宋_GB2312" w:cs="仿宋_GB2312"/>
          <w:sz w:val="32"/>
          <w:szCs w:val="32"/>
          <w:highlight w:val="none"/>
        </w:rPr>
        <w:t>现违规挤占、挪用补助资金的情况，资金使用合规。计5分。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2.组织实施</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（1）管理制度的健全性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该项目公开招标、资金管理、费用支出等事项均按照单位内控要求执行，</w:t>
      </w:r>
      <w:r>
        <w:rPr>
          <w:rFonts w:hint="eastAsia" w:ascii="仿宋_GB2312" w:hAnsi="仿宋_GB2312" w:eastAsia="仿宋_GB2312" w:cs="仿宋_GB2312"/>
          <w:sz w:val="32"/>
          <w:szCs w:val="32"/>
          <w:highlight w:val="none"/>
          <w:lang w:val="en-US" w:eastAsia="zh-CN"/>
        </w:rPr>
        <w:t>仅提供财务管理制度，缺少有关项目建设管理、合同管理、资</w:t>
      </w:r>
      <w:r>
        <w:rPr>
          <w:rFonts w:hint="eastAsia" w:ascii="仿宋_GB2312" w:hAnsi="仿宋_GB2312" w:eastAsia="仿宋_GB2312" w:cs="仿宋_GB2312"/>
          <w:sz w:val="32"/>
          <w:szCs w:val="32"/>
          <w:highlight w:val="none"/>
          <w:lang w:val="en-US" w:eastAsia="zh-CN"/>
        </w:rPr>
        <w:t>产管理等方面的管理制度</w:t>
      </w:r>
      <w:r>
        <w:rPr>
          <w:rFonts w:hint="eastAsia" w:ascii="仿宋_GB2312" w:hAnsi="仿宋_GB2312" w:eastAsia="仿宋_GB2312" w:cs="仿宋_GB2312"/>
          <w:sz w:val="32"/>
          <w:szCs w:val="32"/>
          <w:highlight w:val="none"/>
        </w:rPr>
        <w:t>，影响对制度健全性的评价。扣</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分，计</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（2）制度执行有效性</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通过公开招标购买服务的方式依托第三方技术</w:t>
      </w:r>
      <w:r>
        <w:rPr>
          <w:rFonts w:hint="eastAsia" w:ascii="仿宋_GB2312" w:hAnsi="仿宋_GB2312" w:eastAsia="仿宋_GB2312" w:cs="仿宋_GB2312"/>
          <w:sz w:val="32"/>
          <w:szCs w:val="32"/>
          <w:highlight w:val="none"/>
          <w:lang w:val="en-US" w:eastAsia="zh-CN"/>
        </w:rPr>
        <w:t>支持</w:t>
      </w:r>
      <w:r>
        <w:rPr>
          <w:rFonts w:hint="eastAsia" w:ascii="仿宋_GB2312" w:hAnsi="仿宋_GB2312" w:eastAsia="仿宋_GB2312" w:cs="仿宋_GB2312"/>
          <w:sz w:val="32"/>
          <w:szCs w:val="32"/>
          <w:highlight w:val="none"/>
        </w:rPr>
        <w:t>单位服务工作，该项目公开招标、资金管理、费用支出等事项均按照单位内控要求执行。</w:t>
      </w:r>
      <w:r>
        <w:rPr>
          <w:rFonts w:hint="eastAsia" w:ascii="仿宋_GB2312" w:hAnsi="仿宋_GB2312" w:eastAsia="仿宋_GB2312" w:cs="仿宋_GB2312"/>
          <w:sz w:val="32"/>
          <w:szCs w:val="32"/>
          <w:highlight w:val="none"/>
          <w:lang w:val="en-US" w:eastAsia="zh-CN"/>
        </w:rPr>
        <w:t>但由于缺少其他事项执行的相关依据制度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影响对制度执行有效性的评价。扣1分，计4分。</w:t>
      </w:r>
    </w:p>
    <w:p>
      <w:pPr>
        <w:spacing w:line="600" w:lineRule="exact"/>
        <w:ind w:firstLine="640" w:firstLineChars="200"/>
        <w:outlineLvl w:val="1"/>
        <w:rPr>
          <w:rFonts w:ascii="仿宋_GB2312" w:hAnsi="仿宋_GB2312" w:eastAsia="仿宋_GB2312" w:cs="仿宋_GB2312"/>
          <w:sz w:val="32"/>
          <w:szCs w:val="32"/>
          <w:highlight w:val="none"/>
        </w:rPr>
      </w:pPr>
      <w:bookmarkStart w:id="18" w:name="_Toc198"/>
      <w:r>
        <w:rPr>
          <w:rFonts w:hint="eastAsia" w:ascii="仿宋_GB2312" w:hAnsi="仿宋_GB2312" w:eastAsia="仿宋_GB2312" w:cs="仿宋_GB2312"/>
          <w:sz w:val="32"/>
          <w:szCs w:val="32"/>
          <w:highlight w:val="none"/>
        </w:rPr>
        <w:t>（三）项目产出情况</w:t>
      </w:r>
      <w:bookmarkEnd w:id="18"/>
    </w:p>
    <w:p>
      <w:pPr>
        <w:spacing w:line="600" w:lineRule="exact"/>
        <w:ind w:firstLine="640" w:firstLineChars="200"/>
        <w:rPr>
          <w:rFonts w:ascii="仿宋_GB2312" w:hAnsi="仿宋_GB2312" w:eastAsia="仿宋_GB2312" w:cs="仿宋_GB2312"/>
          <w:sz w:val="32"/>
          <w:szCs w:val="32"/>
          <w:highlight w:val="none"/>
        </w:rPr>
      </w:pPr>
      <w:bookmarkStart w:id="19" w:name="OLE_LINK48"/>
      <w:r>
        <w:rPr>
          <w:rFonts w:hint="eastAsia" w:ascii="仿宋_GB2312" w:hAnsi="仿宋_GB2312" w:eastAsia="仿宋_GB2312" w:cs="仿宋_GB2312"/>
          <w:sz w:val="32"/>
          <w:szCs w:val="32"/>
          <w:highlight w:val="none"/>
        </w:rPr>
        <w:t>项目产出下设产出数量、产出质量、产出时效、产出成本四大类二级指标，设计总分30分；经评价，该项总计得分2</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分，具体评价过程和理由分述如下：</w:t>
      </w:r>
      <w:bookmarkEnd w:id="19"/>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1.产出数量</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项目可行性研究报告以及项目正式发行的实施方案显示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韩家墅项目总建筑规模为375,587平方米，李家房子项目区和青光项目总建筑面积657,975平方米，</w:t>
      </w:r>
      <w:r>
        <w:rPr>
          <w:rFonts w:hint="eastAsia" w:ascii="仿宋_GB2312" w:hAnsi="仿宋_GB2312" w:eastAsia="仿宋_GB2312" w:cs="仿宋_GB2312"/>
          <w:sz w:val="32"/>
          <w:szCs w:val="32"/>
          <w:highlight w:val="none"/>
          <w:lang w:val="en-US" w:eastAsia="zh-CN"/>
        </w:rPr>
        <w:t>同时查看了提供的项目相关四证及环评报告，</w:t>
      </w:r>
      <w:r>
        <w:rPr>
          <w:rFonts w:hint="eastAsia" w:ascii="仿宋_GB2312" w:hAnsi="仿宋_GB2312" w:eastAsia="仿宋_GB2312" w:cs="仿宋_GB2312"/>
          <w:sz w:val="32"/>
          <w:szCs w:val="32"/>
          <w:highlight w:val="none"/>
        </w:rPr>
        <w:t>满足指标要求的韩家墅3号地、4号地建筑面积及配套≥33.8</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rPr>
        <w:t>平方米，李家房子建筑面积及配套≥18.51</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rPr>
        <w:t>平方米，项目建筑面积及配套覆盖率100%。计10分。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2.产出质量</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依据该项目提供的</w:t>
      </w:r>
      <w:r>
        <w:rPr>
          <w:rFonts w:hint="eastAsia" w:ascii="仿宋_GB2312" w:hAnsi="仿宋_GB2312" w:eastAsia="仿宋_GB2312" w:cs="仿宋_GB2312"/>
          <w:sz w:val="32"/>
          <w:szCs w:val="32"/>
          <w:highlight w:val="none"/>
        </w:rPr>
        <w:t>工程施工中标通知书，</w:t>
      </w:r>
      <w:r>
        <w:rPr>
          <w:rFonts w:hint="eastAsia" w:ascii="仿宋_GB2312" w:hAnsi="仿宋_GB2312" w:eastAsia="仿宋_GB2312" w:cs="仿宋_GB2312"/>
          <w:sz w:val="32"/>
          <w:szCs w:val="32"/>
          <w:highlight w:val="none"/>
          <w:lang w:val="en-US" w:eastAsia="zh-CN"/>
        </w:rPr>
        <w:t>该</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实施过程中</w:t>
      </w:r>
      <w:r>
        <w:rPr>
          <w:rFonts w:hint="eastAsia" w:ascii="仿宋_GB2312" w:hAnsi="仿宋_GB2312" w:eastAsia="仿宋_GB2312" w:cs="仿宋_GB2312"/>
          <w:sz w:val="32"/>
          <w:szCs w:val="32"/>
          <w:highlight w:val="none"/>
        </w:rPr>
        <w:t>履行</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招投标手续，审查招标公告、评标报告，中标通知书等，有相应资料支撑，招投标规范性100%。计10分。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3.产出时效</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依据可行性研究报告和项目实施方案显示，该项目原计划于2012年开工，2013年12月完工，由于规划调整，</w:t>
      </w:r>
      <w:r>
        <w:rPr>
          <w:rFonts w:hint="eastAsia" w:ascii="仿宋_GB2312" w:hAnsi="仿宋_GB2312" w:eastAsia="仿宋_GB2312" w:cs="仿宋_GB2312"/>
          <w:sz w:val="32"/>
          <w:szCs w:val="32"/>
          <w:highlight w:val="none"/>
        </w:rPr>
        <w:t>于2019年启动建设，计划到2021年全部完成。</w:t>
      </w:r>
      <w:r>
        <w:rPr>
          <w:rFonts w:hint="eastAsia" w:ascii="仿宋_GB2312" w:hAnsi="仿宋_GB2312" w:eastAsia="仿宋_GB2312" w:cs="仿宋_GB2312"/>
          <w:sz w:val="32"/>
          <w:szCs w:val="32"/>
          <w:highlight w:val="none"/>
          <w:lang w:val="en-US" w:eastAsia="zh-CN"/>
        </w:rPr>
        <w:t>区发展改革委</w:t>
      </w:r>
      <w:r>
        <w:rPr>
          <w:rFonts w:hint="eastAsia" w:ascii="仿宋_GB2312" w:hAnsi="仿宋_GB2312" w:eastAsia="仿宋_GB2312" w:cs="仿宋_GB2312"/>
          <w:sz w:val="32"/>
          <w:szCs w:val="32"/>
          <w:highlight w:val="none"/>
          <w:lang w:val="en-US" w:eastAsia="zh-CN"/>
        </w:rPr>
        <w:t>仅</w:t>
      </w:r>
      <w:r>
        <w:rPr>
          <w:rFonts w:hint="eastAsia" w:ascii="仿宋_GB2312" w:hAnsi="仿宋_GB2312" w:eastAsia="仿宋_GB2312" w:cs="仿宋_GB2312"/>
          <w:sz w:val="32"/>
          <w:szCs w:val="32"/>
          <w:highlight w:val="none"/>
        </w:rPr>
        <w:t>提供的</w:t>
      </w:r>
      <w:r>
        <w:rPr>
          <w:rFonts w:hint="eastAsia" w:ascii="仿宋_GB2312" w:hAnsi="仿宋_GB2312" w:eastAsia="仿宋_GB2312" w:cs="仿宋_GB2312"/>
          <w:sz w:val="32"/>
          <w:szCs w:val="32"/>
          <w:highlight w:val="none"/>
          <w:lang w:val="en-US" w:eastAsia="zh-CN"/>
        </w:rPr>
        <w:t>部分节能分部工程验收单，缺少</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整体性</w:t>
      </w:r>
      <w:r>
        <w:rPr>
          <w:rFonts w:hint="eastAsia" w:ascii="仿宋_GB2312" w:hAnsi="仿宋_GB2312" w:eastAsia="仿宋_GB2312" w:cs="仿宋_GB2312"/>
          <w:sz w:val="32"/>
          <w:szCs w:val="32"/>
          <w:highlight w:val="none"/>
        </w:rPr>
        <w:t>验收报告等</w:t>
      </w:r>
      <w:r>
        <w:rPr>
          <w:rFonts w:hint="eastAsia" w:ascii="仿宋_GB2312" w:hAnsi="仿宋_GB2312" w:eastAsia="仿宋_GB2312" w:cs="仿宋_GB2312"/>
          <w:sz w:val="32"/>
          <w:szCs w:val="32"/>
          <w:highlight w:val="none"/>
          <w:lang w:val="en-US" w:eastAsia="zh-CN"/>
        </w:rPr>
        <w:t>资料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扣2分，计3分。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4、产出成本</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截至2021年底京津冀青光镇新型城镇化建设项目实际支出金额为74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518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30</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highlight w:val="none"/>
        </w:rPr>
        <w:t>元，未发现超支、成本过高等情况。计5分。</w:t>
      </w:r>
    </w:p>
    <w:p>
      <w:pPr>
        <w:spacing w:line="600" w:lineRule="exact"/>
        <w:ind w:firstLine="640" w:firstLineChars="200"/>
        <w:outlineLvl w:val="1"/>
        <w:rPr>
          <w:rFonts w:ascii="仿宋_GB2312" w:hAnsi="仿宋_GB2312" w:eastAsia="仿宋_GB2312" w:cs="仿宋_GB2312"/>
          <w:sz w:val="32"/>
          <w:szCs w:val="32"/>
          <w:highlight w:val="none"/>
        </w:rPr>
      </w:pPr>
      <w:bookmarkStart w:id="20" w:name="_Toc17347"/>
      <w:r>
        <w:rPr>
          <w:rFonts w:hint="eastAsia" w:ascii="仿宋_GB2312" w:hAnsi="仿宋_GB2312" w:eastAsia="仿宋_GB2312" w:cs="仿宋_GB2312"/>
          <w:sz w:val="32"/>
          <w:szCs w:val="32"/>
          <w:highlight w:val="none"/>
        </w:rPr>
        <w:t>（四）项目绩效情况</w:t>
      </w:r>
      <w:bookmarkEnd w:id="20"/>
    </w:p>
    <w:p>
      <w:pPr>
        <w:spacing w:line="600" w:lineRule="exact"/>
        <w:ind w:firstLine="640" w:firstLineChars="200"/>
        <w:rPr>
          <w:rFonts w:ascii="仿宋_GB2312" w:hAnsi="仿宋_GB2312" w:eastAsia="仿宋_GB2312" w:cs="仿宋_GB2312"/>
          <w:sz w:val="32"/>
          <w:szCs w:val="32"/>
          <w:highlight w:val="none"/>
        </w:rPr>
      </w:pPr>
      <w:bookmarkStart w:id="21" w:name="OLE_LINK45"/>
      <w:bookmarkStart w:id="22" w:name="OLE_LINK52"/>
      <w:r>
        <w:rPr>
          <w:rFonts w:hint="eastAsia" w:ascii="仿宋_GB2312" w:hAnsi="仿宋_GB2312" w:eastAsia="仿宋_GB2312" w:cs="仿宋_GB2312"/>
          <w:sz w:val="32"/>
          <w:szCs w:val="32"/>
          <w:highlight w:val="none"/>
        </w:rPr>
        <w:t>项目绩效下设社会绩效、可持续影响指标、满意度三个二级指标，设计总分为25分，项目绩效评价得分16分，具体评价过程和理由分述如下：</w:t>
      </w:r>
    </w:p>
    <w:bookmarkEnd w:id="21"/>
    <w:bookmarkEnd w:id="22"/>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1.经济效益</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截至2021年底实际收到返还的出让土地成本25</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602</w:t>
      </w:r>
      <w:r>
        <w:rPr>
          <w:rFonts w:hint="eastAsia" w:ascii="仿宋_GB2312" w:hAnsi="仿宋_GB2312" w:eastAsia="仿宋_GB2312" w:cs="仿宋_GB2312"/>
          <w:sz w:val="32"/>
          <w:szCs w:val="32"/>
          <w:highlight w:val="none"/>
          <w:lang w:val="en-US" w:eastAsia="zh-CN"/>
        </w:rPr>
        <w:t>.80万</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val="en-US" w:eastAsia="zh-CN"/>
        </w:rPr>
        <w:t>项目实际支出金额为74,518.30万元，项目收入</w:t>
      </w:r>
      <w:r>
        <w:rPr>
          <w:rFonts w:hint="eastAsia" w:ascii="仿宋_GB2312" w:hAnsi="仿宋_GB2312" w:eastAsia="仿宋_GB2312" w:cs="仿宋_GB2312"/>
          <w:sz w:val="32"/>
          <w:szCs w:val="32"/>
          <w:highlight w:val="none"/>
        </w:rPr>
        <w:t>占项目实际支出金额的34</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rPr>
        <w:t>%。扣2分，计2分。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2.社会效益</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根据</w:t>
      </w:r>
      <w:r>
        <w:rPr>
          <w:rFonts w:hint="eastAsia" w:ascii="仿宋_GB2312" w:hAnsi="仿宋_GB2312" w:eastAsia="仿宋_GB2312" w:cs="仿宋_GB2312"/>
          <w:sz w:val="32"/>
          <w:szCs w:val="32"/>
          <w:highlight w:val="none"/>
        </w:rPr>
        <w:t>项目可行性研究报告以及项目正式发行的实施方案显示，韩家墅建设项目涉及5264人、2125户，李家房子项目区和青光项目共涉及7182人、2582户的安置工作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对目前</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rPr>
        <w:t>社会效益实现情况缺少资料支撑。</w:t>
      </w:r>
      <w:r>
        <w:rPr>
          <w:rFonts w:hint="eastAsia" w:ascii="仿宋_GB2312" w:hAnsi="仿宋_GB2312" w:eastAsia="仿宋_GB2312" w:cs="仿宋_GB2312"/>
          <w:sz w:val="32"/>
          <w:szCs w:val="32"/>
          <w:highlight w:val="none"/>
          <w:lang w:val="en-US" w:eastAsia="zh-CN"/>
        </w:rPr>
        <w:t>扣2分，</w:t>
      </w:r>
      <w:r>
        <w:rPr>
          <w:rFonts w:hint="eastAsia" w:ascii="仿宋_GB2312" w:hAnsi="仿宋_GB2312" w:eastAsia="仿宋_GB2312" w:cs="仿宋_GB2312"/>
          <w:sz w:val="32"/>
          <w:szCs w:val="32"/>
          <w:highlight w:val="none"/>
        </w:rPr>
        <w:t>计</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pStyle w:val="2"/>
      </w:pP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3.生态效益</w:t>
      </w:r>
    </w:p>
    <w:p>
      <w:pPr>
        <w:spacing w:line="60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val="en-US" w:eastAsia="zh-CN"/>
        </w:rPr>
        <w:t>前期</w:t>
      </w:r>
      <w:r>
        <w:rPr>
          <w:rFonts w:ascii="仿宋_GB2312" w:hAnsi="仿宋_GB2312" w:eastAsia="仿宋_GB2312" w:cs="仿宋_GB2312"/>
          <w:sz w:val="32"/>
          <w:szCs w:val="32"/>
          <w:highlight w:val="none"/>
        </w:rPr>
        <w:t>可行性研究报告显示，项目</w:t>
      </w:r>
      <w:r>
        <w:rPr>
          <w:rFonts w:hint="eastAsia" w:ascii="仿宋_GB2312" w:hAnsi="仿宋_GB2312" w:eastAsia="仿宋_GB2312" w:cs="仿宋_GB2312"/>
          <w:sz w:val="32"/>
          <w:szCs w:val="32"/>
          <w:highlight w:val="none"/>
          <w:lang w:val="en-US" w:eastAsia="zh-CN"/>
        </w:rPr>
        <w:t>建设内容包含</w:t>
      </w:r>
      <w:r>
        <w:rPr>
          <w:rFonts w:ascii="仿宋_GB2312" w:hAnsi="仿宋_GB2312" w:eastAsia="仿宋_GB2312" w:cs="仿宋_GB2312"/>
          <w:sz w:val="32"/>
          <w:szCs w:val="32"/>
          <w:highlight w:val="none"/>
        </w:rPr>
        <w:t>复垦工程以及绿化工程，但对</w:t>
      </w:r>
      <w:r>
        <w:rPr>
          <w:rFonts w:hint="eastAsia" w:ascii="仿宋_GB2312" w:hAnsi="仿宋_GB2312" w:eastAsia="仿宋_GB2312" w:cs="仿宋_GB2312"/>
          <w:sz w:val="32"/>
          <w:szCs w:val="32"/>
          <w:highlight w:val="none"/>
          <w:lang w:val="en-US" w:eastAsia="zh-CN"/>
        </w:rPr>
        <w:t>2021年度</w:t>
      </w:r>
      <w:r>
        <w:rPr>
          <w:rFonts w:ascii="仿宋_GB2312" w:hAnsi="仿宋_GB2312" w:eastAsia="仿宋_GB2312" w:cs="仿宋_GB2312"/>
          <w:sz w:val="32"/>
          <w:szCs w:val="32"/>
          <w:highlight w:val="none"/>
        </w:rPr>
        <w:t>绿化实现情况缺少资料支撑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扣</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分，计</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4.可持续影响指标</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通过项目实施，</w:t>
      </w:r>
      <w:r>
        <w:rPr>
          <w:rFonts w:hint="eastAsia" w:ascii="仿宋_GB2312" w:hAnsi="仿宋_GB2312" w:eastAsia="仿宋_GB2312" w:cs="仿宋_GB2312"/>
          <w:sz w:val="32"/>
          <w:szCs w:val="32"/>
          <w:highlight w:val="none"/>
          <w:lang w:val="en-US" w:eastAsia="zh-CN"/>
        </w:rPr>
        <w:t>完成</w:t>
      </w:r>
      <w:r>
        <w:rPr>
          <w:rFonts w:hint="eastAsia" w:ascii="仿宋_GB2312" w:hAnsi="仿宋_GB2312" w:eastAsia="仿宋_GB2312" w:cs="仿宋_GB2312"/>
          <w:sz w:val="32"/>
          <w:szCs w:val="32"/>
          <w:highlight w:val="none"/>
        </w:rPr>
        <w:t>对韩家墅项目区、李家房子及青光项目区进行还迁安置区、出让区和拆旧复垦区的建设工作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建设完成2个生态环境宜居社区</w:t>
      </w:r>
      <w:r>
        <w:rPr>
          <w:rFonts w:hint="eastAsia" w:ascii="仿宋_GB2312" w:hAnsi="仿宋_GB2312" w:eastAsia="仿宋_GB2312" w:cs="仿宋_GB2312"/>
          <w:sz w:val="32"/>
          <w:szCs w:val="32"/>
          <w:highlight w:val="none"/>
        </w:rPr>
        <w:t>。计4分。</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5.满意度</w:t>
      </w:r>
    </w:p>
    <w:p>
      <w:pPr>
        <w:spacing w:line="600" w:lineRule="exact"/>
        <w:ind w:firstLine="640" w:firstLineChars="200"/>
        <w:rPr>
          <w:rFonts w:ascii="宋体" w:hAnsi="宋体" w:cs="宋体"/>
          <w:highlight w:val="none"/>
        </w:rPr>
      </w:pPr>
      <w:r>
        <w:rPr>
          <w:rFonts w:hint="eastAsia" w:ascii="仿宋_GB2312" w:hAnsi="仿宋_GB2312" w:eastAsia="仿宋_GB2312" w:cs="仿宋_GB2312"/>
          <w:sz w:val="32"/>
          <w:szCs w:val="32"/>
          <w:highlight w:val="none"/>
          <w:lang w:val="en-US" w:eastAsia="zh-CN"/>
        </w:rPr>
        <w:t>通过开展</w:t>
      </w:r>
      <w:r>
        <w:rPr>
          <w:rFonts w:hint="eastAsia" w:ascii="仿宋_GB2312" w:hAnsi="仿宋_GB2312" w:eastAsia="仿宋_GB2312" w:cs="仿宋_GB2312"/>
          <w:sz w:val="32"/>
          <w:szCs w:val="32"/>
          <w:highlight w:val="none"/>
        </w:rPr>
        <w:t>农民安置用房建设、配套基础设施建设、拆迁平整土地等建设工作，进一步完善</w:t>
      </w:r>
      <w:r>
        <w:rPr>
          <w:rFonts w:hint="eastAsia" w:ascii="仿宋_GB2312" w:hAnsi="仿宋_GB2312" w:eastAsia="仿宋_GB2312" w:cs="仿宋_GB2312"/>
          <w:sz w:val="32"/>
          <w:szCs w:val="32"/>
          <w:highlight w:val="none"/>
          <w:lang w:val="en-US" w:eastAsia="zh-CN"/>
        </w:rPr>
        <w:t>了</w:t>
      </w:r>
      <w:r>
        <w:rPr>
          <w:rFonts w:hint="eastAsia" w:ascii="仿宋_GB2312" w:hAnsi="仿宋_GB2312" w:eastAsia="仿宋_GB2312" w:cs="仿宋_GB2312"/>
          <w:sz w:val="32"/>
          <w:szCs w:val="32"/>
          <w:highlight w:val="none"/>
        </w:rPr>
        <w:t>项目区域环境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但未针对居民开展满意度问卷调查，对满意度指标的实现情况缺少资料支撑。扣</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分，计</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分。</w:t>
      </w:r>
    </w:p>
    <w:p>
      <w:pPr>
        <w:spacing w:line="600" w:lineRule="exact"/>
        <w:ind w:firstLine="640" w:firstLineChars="200"/>
        <w:outlineLvl w:val="0"/>
        <w:rPr>
          <w:rFonts w:ascii="黑体" w:hAnsi="黑体" w:eastAsia="黑体" w:cs="黑体"/>
          <w:sz w:val="32"/>
          <w:szCs w:val="32"/>
          <w:highlight w:val="none"/>
        </w:rPr>
      </w:pPr>
      <w:bookmarkStart w:id="23" w:name="_Toc19454"/>
      <w:r>
        <w:rPr>
          <w:rFonts w:hint="eastAsia" w:ascii="黑体" w:hAnsi="黑体" w:eastAsia="黑体" w:cs="黑体"/>
          <w:sz w:val="32"/>
          <w:szCs w:val="32"/>
          <w:highlight w:val="none"/>
        </w:rPr>
        <w:t>五、存在问题</w:t>
      </w:r>
      <w:bookmarkEnd w:id="23"/>
    </w:p>
    <w:p>
      <w:pPr>
        <w:spacing w:line="600" w:lineRule="exact"/>
        <w:ind w:firstLine="640" w:firstLineChars="200"/>
        <w:outlineLvl w:val="1"/>
        <w:rPr>
          <w:rFonts w:ascii="仿宋_GB2312" w:hAnsi="仿宋_GB2312" w:eastAsia="仿宋_GB2312" w:cs="仿宋_GB2312"/>
          <w:sz w:val="32"/>
          <w:szCs w:val="32"/>
          <w:highlight w:val="none"/>
        </w:rPr>
      </w:pPr>
      <w:bookmarkStart w:id="24" w:name="_Toc10191"/>
      <w:bookmarkStart w:id="25" w:name="_Toc32743"/>
      <w:bookmarkStart w:id="26" w:name="_Toc19067"/>
      <w:r>
        <w:rPr>
          <w:rFonts w:hint="eastAsia" w:ascii="仿宋_GB2312" w:hAnsi="仿宋_GB2312" w:eastAsia="仿宋_GB2312" w:cs="仿宋_GB2312"/>
          <w:sz w:val="32"/>
          <w:szCs w:val="32"/>
          <w:highlight w:val="none"/>
        </w:rPr>
        <w:t>（一）绩效指标设置不够明确</w:t>
      </w:r>
      <w:bookmarkEnd w:id="24"/>
      <w:bookmarkEnd w:id="25"/>
      <w:bookmarkEnd w:id="26"/>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绩效目标表的设置不够明确、具体。根据《天津市北辰区青光镇示范小城镇安置区详细规划》，作为第四批“以宅基地换房”示范小城镇，在解决村民安居问题之上，更关注乐业问题，带动所在区逐步发展多种商业服务类型，提供多种就业机会。通过对绩效目标检查，发现存在个别指标设置不够完善，如经济效益指标，应考虑项目对当地居民就业与收入的影响，绩效目标设置不清晰，绩效指标有待进一步细化。</w:t>
      </w:r>
    </w:p>
    <w:p>
      <w:pPr>
        <w:spacing w:line="600" w:lineRule="exact"/>
        <w:ind w:firstLine="640" w:firstLineChars="200"/>
        <w:outlineLvl w:val="1"/>
        <w:rPr>
          <w:rFonts w:ascii="仿宋_GB2312" w:hAnsi="仿宋_GB2312" w:eastAsia="仿宋_GB2312" w:cs="仿宋_GB2312"/>
          <w:sz w:val="32"/>
          <w:szCs w:val="32"/>
          <w:highlight w:val="none"/>
        </w:rPr>
      </w:pPr>
      <w:bookmarkStart w:id="27" w:name="_Toc32209"/>
      <w:r>
        <w:rPr>
          <w:rFonts w:hint="eastAsia" w:ascii="仿宋_GB2312" w:hAnsi="仿宋_GB2312" w:eastAsia="仿宋_GB2312" w:cs="仿宋_GB2312"/>
          <w:sz w:val="32"/>
          <w:szCs w:val="32"/>
          <w:highlight w:val="none"/>
        </w:rPr>
        <w:t>（二）项目监管措施不够明确、具体</w:t>
      </w:r>
      <w:bookmarkEnd w:id="27"/>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京津冀青光镇新型城镇化建设项目，区发改委、区建设开发公司缺少有效的项目管理制度和项目监管措施。工程建设具有很强的专业性和技术要求，政府投资工程对工程的质量、工期、造价控制等要求较高，对项目开展过程中的管理的管理漏洞将直接导致项目实施风险，影响财政资金投入安全性及效益效果实现。</w:t>
      </w:r>
    </w:p>
    <w:p>
      <w:pPr>
        <w:spacing w:line="600" w:lineRule="exact"/>
        <w:ind w:firstLine="640" w:firstLineChars="200"/>
        <w:outlineLvl w:val="1"/>
        <w:rPr>
          <w:rFonts w:ascii="仿宋_GB2312" w:hAnsi="仿宋_GB2312" w:eastAsia="仿宋_GB2312" w:cs="仿宋_GB2312"/>
          <w:sz w:val="32"/>
          <w:szCs w:val="32"/>
          <w:highlight w:val="none"/>
        </w:rPr>
      </w:pPr>
      <w:bookmarkStart w:id="28" w:name="_Toc12894"/>
      <w:bookmarkStart w:id="29" w:name="_Toc30933"/>
      <w:bookmarkStart w:id="30" w:name="_Toc27031"/>
      <w:r>
        <w:rPr>
          <w:rFonts w:hint="eastAsia" w:ascii="仿宋_GB2312" w:hAnsi="仿宋_GB2312" w:eastAsia="仿宋_GB2312" w:cs="仿宋_GB2312"/>
          <w:sz w:val="32"/>
          <w:szCs w:val="32"/>
          <w:highlight w:val="none"/>
        </w:rPr>
        <w:t>（三）未针对服务对象开展满意度问卷调查</w:t>
      </w:r>
      <w:bookmarkEnd w:id="28"/>
      <w:bookmarkEnd w:id="29"/>
      <w:bookmarkEnd w:id="30"/>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未针对年度项目实施情况及时开展受益群体满意度问卷调查，对项目实施情况的满意度情况缺少资料支撑，对项目实施效果实现情况的支撑资料不完整，影响对项目实施效果的评价。</w:t>
      </w:r>
    </w:p>
    <w:p>
      <w:pPr>
        <w:spacing w:line="600" w:lineRule="exact"/>
        <w:ind w:firstLine="640" w:firstLineChars="200"/>
        <w:outlineLvl w:val="0"/>
        <w:rPr>
          <w:rFonts w:ascii="黑体" w:hAnsi="黑体" w:eastAsia="黑体" w:cs="黑体"/>
          <w:sz w:val="32"/>
          <w:szCs w:val="32"/>
          <w:highlight w:val="none"/>
        </w:rPr>
      </w:pPr>
      <w:bookmarkStart w:id="31" w:name="_Toc9330"/>
      <w:r>
        <w:rPr>
          <w:rFonts w:hint="eastAsia" w:ascii="黑体" w:hAnsi="黑体" w:eastAsia="黑体" w:cs="黑体"/>
          <w:sz w:val="32"/>
          <w:szCs w:val="32"/>
          <w:highlight w:val="none"/>
        </w:rPr>
        <w:t>六、相关建议</w:t>
      </w:r>
      <w:bookmarkEnd w:id="31"/>
    </w:p>
    <w:p>
      <w:pPr>
        <w:spacing w:line="600" w:lineRule="exact"/>
        <w:ind w:firstLine="640" w:firstLineChars="200"/>
        <w:outlineLvl w:val="1"/>
        <w:rPr>
          <w:rFonts w:ascii="仿宋_GB2312" w:hAnsi="仿宋_GB2312" w:eastAsia="仿宋_GB2312" w:cs="仿宋_GB2312"/>
          <w:sz w:val="32"/>
          <w:szCs w:val="32"/>
          <w:highlight w:val="none"/>
        </w:rPr>
      </w:pPr>
      <w:bookmarkStart w:id="32" w:name="_Toc21307"/>
      <w:bookmarkStart w:id="33" w:name="_Toc6860"/>
      <w:bookmarkStart w:id="34" w:name="_Toc13375"/>
      <w:r>
        <w:rPr>
          <w:rFonts w:hint="eastAsia" w:ascii="仿宋_GB2312" w:hAnsi="仿宋_GB2312" w:eastAsia="仿宋_GB2312" w:cs="仿宋_GB2312"/>
          <w:sz w:val="32"/>
          <w:szCs w:val="32"/>
          <w:highlight w:val="none"/>
        </w:rPr>
        <w:t>（一）进一步完善绩效目标</w:t>
      </w:r>
      <w:bookmarkEnd w:id="32"/>
      <w:bookmarkEnd w:id="33"/>
      <w:bookmarkEnd w:id="34"/>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结合项目实际情况，规范填制绩效目标表，明确年度维护服务内容及质量要求，进一步完善绩效目标表的设置。全面细化考虑指标影响，科学设置绩效目标表，提高指标的可考量性。</w:t>
      </w:r>
    </w:p>
    <w:p>
      <w:pPr>
        <w:spacing w:line="600" w:lineRule="exact"/>
        <w:ind w:firstLine="640" w:firstLineChars="200"/>
        <w:outlineLvl w:val="1"/>
        <w:rPr>
          <w:rFonts w:ascii="仿宋_GB2312" w:hAnsi="仿宋_GB2312" w:eastAsia="仿宋_GB2312" w:cs="仿宋_GB2312"/>
          <w:sz w:val="32"/>
          <w:szCs w:val="32"/>
          <w:highlight w:val="none"/>
        </w:rPr>
      </w:pPr>
      <w:bookmarkStart w:id="35" w:name="_Toc7834"/>
      <w:bookmarkStart w:id="36" w:name="_Toc6226"/>
      <w:bookmarkStart w:id="37" w:name="_Toc24202"/>
      <w:r>
        <w:rPr>
          <w:rFonts w:hint="eastAsia" w:ascii="仿宋_GB2312" w:hAnsi="仿宋_GB2312" w:eastAsia="仿宋_GB2312" w:cs="仿宋_GB2312"/>
          <w:sz w:val="32"/>
          <w:szCs w:val="32"/>
          <w:highlight w:val="none"/>
        </w:rPr>
        <w:t>（二）加强对项目开展过程监管</w:t>
      </w:r>
      <w:bookmarkEnd w:id="35"/>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针对项目建设特点及项目建设具体要求，在结合以往项目建设的基础上进一步建立健全项目管理制度，制定监管实施细则，明确监管措施，加强对项目开展的过程监督，加强项目规范性管理，降低项目执行风险。</w:t>
      </w:r>
    </w:p>
    <w:p>
      <w:pPr>
        <w:spacing w:line="600" w:lineRule="exact"/>
        <w:ind w:firstLine="640" w:firstLineChars="200"/>
        <w:outlineLvl w:val="1"/>
        <w:rPr>
          <w:rFonts w:ascii="仿宋_GB2312" w:hAnsi="仿宋_GB2312" w:eastAsia="仿宋_GB2312" w:cs="仿宋_GB2312"/>
          <w:sz w:val="32"/>
          <w:szCs w:val="32"/>
          <w:highlight w:val="none"/>
        </w:rPr>
      </w:pPr>
      <w:bookmarkStart w:id="38" w:name="_Toc10063"/>
      <w:r>
        <w:rPr>
          <w:rFonts w:hint="eastAsia" w:ascii="仿宋_GB2312" w:hAnsi="仿宋_GB2312" w:eastAsia="仿宋_GB2312" w:cs="仿宋_GB2312"/>
          <w:sz w:val="32"/>
          <w:szCs w:val="32"/>
          <w:highlight w:val="none"/>
        </w:rPr>
        <w:t>（三）加强对绩效成果支撑资料的收集</w:t>
      </w:r>
      <w:bookmarkEnd w:id="36"/>
      <w:bookmarkEnd w:id="37"/>
      <w:bookmarkEnd w:id="38"/>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通过京津冀青光镇新型城镇化建设项目实施，重点关注该项目的产出及效果的评价，在满意度问卷调查的基础上，进行数据统计分析，对项目的资金绩效进行评价分析，客观反映项目的效果。</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附件：京津冀青光镇新型城镇化建设项目绩效评价体系评分表</w:t>
      </w:r>
    </w:p>
    <w:p>
      <w:pPr>
        <w:rPr>
          <w:highlight w:val="none"/>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457E35-57BC-44C8-B32D-3C3D984D18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embedRegular r:id="rId2" w:fontKey="{DE1C770A-972C-441B-929F-214B4B813947}"/>
  </w:font>
  <w:font w:name="仿宋_GB2312">
    <w:panose1 w:val="02010609030101010101"/>
    <w:charset w:val="86"/>
    <w:family w:val="modern"/>
    <w:pitch w:val="default"/>
    <w:sig w:usb0="00000001" w:usb1="080E0000" w:usb2="00000000" w:usb3="00000000" w:csb0="00040000" w:csb1="00000000"/>
    <w:embedRegular r:id="rId3" w:fontKey="{5EC322A7-10A3-4363-9F4C-D0C12B2509B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05E20"/>
    <w:multiLevelType w:val="multilevel"/>
    <w:tmpl w:val="4EE05E20"/>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283" w:firstLine="0"/>
      </w:pPr>
      <w:rPr>
        <w:rFonts w:hint="eastAsia"/>
        <w:lang w:val="en-US"/>
      </w:rPr>
    </w:lvl>
    <w:lvl w:ilvl="2" w:tentative="0">
      <w:start w:val="1"/>
      <w:numFmt w:val="decimal"/>
      <w:suff w:val="nothing"/>
      <w:lvlText w:val="%3．"/>
      <w:lvlJc w:val="left"/>
      <w:pPr>
        <w:ind w:left="-40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5775C1B2"/>
    <w:multiLevelType w:val="singleLevel"/>
    <w:tmpl w:val="5775C1B2"/>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589A0162"/>
    <w:rsid w:val="00023648"/>
    <w:rsid w:val="00054CF6"/>
    <w:rsid w:val="00086618"/>
    <w:rsid w:val="00091E8E"/>
    <w:rsid w:val="00096391"/>
    <w:rsid w:val="000D6064"/>
    <w:rsid w:val="0011305B"/>
    <w:rsid w:val="001B0BE6"/>
    <w:rsid w:val="00201E82"/>
    <w:rsid w:val="0020366D"/>
    <w:rsid w:val="002C4AF5"/>
    <w:rsid w:val="002D3A7A"/>
    <w:rsid w:val="00322BD1"/>
    <w:rsid w:val="00385394"/>
    <w:rsid w:val="00385E9E"/>
    <w:rsid w:val="003B05BC"/>
    <w:rsid w:val="004B2FDB"/>
    <w:rsid w:val="004E7493"/>
    <w:rsid w:val="00547429"/>
    <w:rsid w:val="0058431C"/>
    <w:rsid w:val="005856F6"/>
    <w:rsid w:val="005B1106"/>
    <w:rsid w:val="005E3F95"/>
    <w:rsid w:val="006416E4"/>
    <w:rsid w:val="006E66CA"/>
    <w:rsid w:val="0070581B"/>
    <w:rsid w:val="00765167"/>
    <w:rsid w:val="00865FF5"/>
    <w:rsid w:val="00896326"/>
    <w:rsid w:val="008A15D8"/>
    <w:rsid w:val="008A4097"/>
    <w:rsid w:val="009C3B40"/>
    <w:rsid w:val="009F346A"/>
    <w:rsid w:val="00A166DC"/>
    <w:rsid w:val="00A27CC7"/>
    <w:rsid w:val="00A45AB9"/>
    <w:rsid w:val="00AE4CDB"/>
    <w:rsid w:val="00B27607"/>
    <w:rsid w:val="00B75C3F"/>
    <w:rsid w:val="00B867B2"/>
    <w:rsid w:val="00BA27F4"/>
    <w:rsid w:val="00BD006E"/>
    <w:rsid w:val="00BF4C13"/>
    <w:rsid w:val="00C06F8E"/>
    <w:rsid w:val="00CB372B"/>
    <w:rsid w:val="00CD1EF0"/>
    <w:rsid w:val="00D17DDC"/>
    <w:rsid w:val="00D445F0"/>
    <w:rsid w:val="00D505CA"/>
    <w:rsid w:val="00D710B8"/>
    <w:rsid w:val="00DA6E29"/>
    <w:rsid w:val="00DC3766"/>
    <w:rsid w:val="00DE1BE7"/>
    <w:rsid w:val="00DF446F"/>
    <w:rsid w:val="00E020A2"/>
    <w:rsid w:val="00E07FA0"/>
    <w:rsid w:val="00EB2229"/>
    <w:rsid w:val="00EC35D8"/>
    <w:rsid w:val="00EC40C2"/>
    <w:rsid w:val="00F20C5B"/>
    <w:rsid w:val="00FB077E"/>
    <w:rsid w:val="00FC33FA"/>
    <w:rsid w:val="00FD2B93"/>
    <w:rsid w:val="00FF5B49"/>
    <w:rsid w:val="00FF63C0"/>
    <w:rsid w:val="012270A9"/>
    <w:rsid w:val="01B85F94"/>
    <w:rsid w:val="0219304F"/>
    <w:rsid w:val="034877EC"/>
    <w:rsid w:val="04292D9A"/>
    <w:rsid w:val="043E096A"/>
    <w:rsid w:val="055661F0"/>
    <w:rsid w:val="067D59FE"/>
    <w:rsid w:val="06936FD0"/>
    <w:rsid w:val="06B75F20"/>
    <w:rsid w:val="070E336D"/>
    <w:rsid w:val="078F76C3"/>
    <w:rsid w:val="07B05960"/>
    <w:rsid w:val="0802440D"/>
    <w:rsid w:val="08624EAC"/>
    <w:rsid w:val="08BE7351"/>
    <w:rsid w:val="08E86503"/>
    <w:rsid w:val="08F17FDE"/>
    <w:rsid w:val="09AD03A9"/>
    <w:rsid w:val="09BE5717"/>
    <w:rsid w:val="09F3120E"/>
    <w:rsid w:val="0A3D532E"/>
    <w:rsid w:val="0B3F34C3"/>
    <w:rsid w:val="0BA36ACB"/>
    <w:rsid w:val="0BE45BD8"/>
    <w:rsid w:val="0CDF4D1D"/>
    <w:rsid w:val="0D004C93"/>
    <w:rsid w:val="0D1F47BD"/>
    <w:rsid w:val="0E532E33"/>
    <w:rsid w:val="0E55371B"/>
    <w:rsid w:val="0EE90860"/>
    <w:rsid w:val="0FCB77DB"/>
    <w:rsid w:val="11365128"/>
    <w:rsid w:val="120D5E88"/>
    <w:rsid w:val="131507D3"/>
    <w:rsid w:val="14881BDF"/>
    <w:rsid w:val="14885A24"/>
    <w:rsid w:val="155D7127"/>
    <w:rsid w:val="17D01087"/>
    <w:rsid w:val="196654C9"/>
    <w:rsid w:val="1C50124F"/>
    <w:rsid w:val="1C7A5BA8"/>
    <w:rsid w:val="1C940F54"/>
    <w:rsid w:val="1D790876"/>
    <w:rsid w:val="1E591858"/>
    <w:rsid w:val="1E74103D"/>
    <w:rsid w:val="1F06438B"/>
    <w:rsid w:val="1F8359DC"/>
    <w:rsid w:val="1F971487"/>
    <w:rsid w:val="1FD77AD6"/>
    <w:rsid w:val="20A87003"/>
    <w:rsid w:val="212636E3"/>
    <w:rsid w:val="21BF048F"/>
    <w:rsid w:val="233F6D50"/>
    <w:rsid w:val="23515DF1"/>
    <w:rsid w:val="23D700A4"/>
    <w:rsid w:val="24DA31A9"/>
    <w:rsid w:val="25B35BEF"/>
    <w:rsid w:val="26940053"/>
    <w:rsid w:val="27AC7A9A"/>
    <w:rsid w:val="27C93AF7"/>
    <w:rsid w:val="287C7261"/>
    <w:rsid w:val="2A8231FA"/>
    <w:rsid w:val="2AC450FA"/>
    <w:rsid w:val="2AE4125A"/>
    <w:rsid w:val="2B8C660A"/>
    <w:rsid w:val="2C5D5807"/>
    <w:rsid w:val="2E0E3F29"/>
    <w:rsid w:val="2E4B3B69"/>
    <w:rsid w:val="3094430E"/>
    <w:rsid w:val="30EB33E1"/>
    <w:rsid w:val="31AF2660"/>
    <w:rsid w:val="32281930"/>
    <w:rsid w:val="32EE3247"/>
    <w:rsid w:val="34086058"/>
    <w:rsid w:val="344D555F"/>
    <w:rsid w:val="34541D98"/>
    <w:rsid w:val="35A0699A"/>
    <w:rsid w:val="35D46B3A"/>
    <w:rsid w:val="35E06301"/>
    <w:rsid w:val="368470CC"/>
    <w:rsid w:val="36FF1A23"/>
    <w:rsid w:val="37AD13F0"/>
    <w:rsid w:val="38190D25"/>
    <w:rsid w:val="39C87740"/>
    <w:rsid w:val="3B761B92"/>
    <w:rsid w:val="3CC0099B"/>
    <w:rsid w:val="3DDA0A65"/>
    <w:rsid w:val="3DFB22A1"/>
    <w:rsid w:val="3EDE0BDC"/>
    <w:rsid w:val="3FA70E1B"/>
    <w:rsid w:val="40D93256"/>
    <w:rsid w:val="431C6B08"/>
    <w:rsid w:val="43BB4E95"/>
    <w:rsid w:val="44510327"/>
    <w:rsid w:val="44FE50CD"/>
    <w:rsid w:val="45965BB9"/>
    <w:rsid w:val="45C75D73"/>
    <w:rsid w:val="4646138E"/>
    <w:rsid w:val="46D342C3"/>
    <w:rsid w:val="4729393A"/>
    <w:rsid w:val="4778010D"/>
    <w:rsid w:val="47785789"/>
    <w:rsid w:val="47A9217D"/>
    <w:rsid w:val="47B40579"/>
    <w:rsid w:val="483A4518"/>
    <w:rsid w:val="484A6B90"/>
    <w:rsid w:val="48A5530E"/>
    <w:rsid w:val="49753D38"/>
    <w:rsid w:val="49E43AED"/>
    <w:rsid w:val="4A9D48C2"/>
    <w:rsid w:val="4C7810B2"/>
    <w:rsid w:val="4C9A1776"/>
    <w:rsid w:val="4E516B22"/>
    <w:rsid w:val="4E571C5E"/>
    <w:rsid w:val="509D11F0"/>
    <w:rsid w:val="50B545CE"/>
    <w:rsid w:val="515B2FCF"/>
    <w:rsid w:val="52766296"/>
    <w:rsid w:val="52770B21"/>
    <w:rsid w:val="52E02961"/>
    <w:rsid w:val="537D3F15"/>
    <w:rsid w:val="53BD2563"/>
    <w:rsid w:val="54297BF9"/>
    <w:rsid w:val="5569376F"/>
    <w:rsid w:val="572B1EDA"/>
    <w:rsid w:val="57623B4D"/>
    <w:rsid w:val="57646B6A"/>
    <w:rsid w:val="577E025B"/>
    <w:rsid w:val="58931AE5"/>
    <w:rsid w:val="589A0162"/>
    <w:rsid w:val="596C5357"/>
    <w:rsid w:val="5A083FCD"/>
    <w:rsid w:val="5B2C6268"/>
    <w:rsid w:val="5B6711EB"/>
    <w:rsid w:val="5B89229B"/>
    <w:rsid w:val="5BC123C2"/>
    <w:rsid w:val="5BE03867"/>
    <w:rsid w:val="5C554A86"/>
    <w:rsid w:val="5D8F71E4"/>
    <w:rsid w:val="5DD61A60"/>
    <w:rsid w:val="5F38241F"/>
    <w:rsid w:val="5FAC1DE4"/>
    <w:rsid w:val="6062696C"/>
    <w:rsid w:val="61377DF9"/>
    <w:rsid w:val="62E0626E"/>
    <w:rsid w:val="63584057"/>
    <w:rsid w:val="653603C7"/>
    <w:rsid w:val="65F12C05"/>
    <w:rsid w:val="668138C4"/>
    <w:rsid w:val="66F74423"/>
    <w:rsid w:val="677156E7"/>
    <w:rsid w:val="68713792"/>
    <w:rsid w:val="68D82413"/>
    <w:rsid w:val="695848F7"/>
    <w:rsid w:val="69B108F4"/>
    <w:rsid w:val="69B12E3A"/>
    <w:rsid w:val="69C200AB"/>
    <w:rsid w:val="6A3F7D1E"/>
    <w:rsid w:val="6AB45290"/>
    <w:rsid w:val="6B6E08BB"/>
    <w:rsid w:val="6BCC2D8C"/>
    <w:rsid w:val="6C184383"/>
    <w:rsid w:val="6C3F7B62"/>
    <w:rsid w:val="6D19068E"/>
    <w:rsid w:val="6DB620A5"/>
    <w:rsid w:val="6DD15131"/>
    <w:rsid w:val="6E113780"/>
    <w:rsid w:val="6E5D728A"/>
    <w:rsid w:val="6FD03B96"/>
    <w:rsid w:val="701904DB"/>
    <w:rsid w:val="71444C42"/>
    <w:rsid w:val="72186197"/>
    <w:rsid w:val="746C5BB4"/>
    <w:rsid w:val="75774810"/>
    <w:rsid w:val="7624098C"/>
    <w:rsid w:val="763A3FE7"/>
    <w:rsid w:val="76B15B00"/>
    <w:rsid w:val="76DB2A57"/>
    <w:rsid w:val="77452860"/>
    <w:rsid w:val="775724F2"/>
    <w:rsid w:val="77784870"/>
    <w:rsid w:val="79DC7338"/>
    <w:rsid w:val="7A383EA6"/>
    <w:rsid w:val="7B187E19"/>
    <w:rsid w:val="7B5B68D0"/>
    <w:rsid w:val="7BAC35DA"/>
    <w:rsid w:val="7DBE5814"/>
    <w:rsid w:val="7DC26844"/>
    <w:rsid w:val="7E157BBE"/>
    <w:rsid w:val="7E955D07"/>
    <w:rsid w:val="7E963396"/>
    <w:rsid w:val="7EC24845"/>
    <w:rsid w:val="7F961D37"/>
    <w:rsid w:val="7FF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b/>
      <w:kern w:val="44"/>
    </w:rPr>
  </w:style>
  <w:style w:type="paragraph" w:styleId="4">
    <w:name w:val="heading 2"/>
    <w:basedOn w:val="1"/>
    <w:next w:val="1"/>
    <w:unhideWhenUsed/>
    <w:qFormat/>
    <w:uiPriority w:val="0"/>
    <w:pPr>
      <w:keepNext/>
      <w:keepLines/>
      <w:numPr>
        <w:ilvl w:val="1"/>
        <w:numId w:val="1"/>
      </w:numPr>
      <w:tabs>
        <w:tab w:val="left" w:pos="0"/>
      </w:tabs>
      <w:spacing w:before="260" w:after="260" w:line="360" w:lineRule="auto"/>
      <w:outlineLvl w:val="1"/>
    </w:pPr>
    <w:rPr>
      <w:rFonts w:ascii="Arial" w:hAnsi="Arial" w:cs="Times New Roman"/>
      <w:szCs w:val="2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cs="Calibri"/>
      <w:szCs w:val="21"/>
    </w:rPr>
  </w:style>
  <w:style w:type="paragraph" w:styleId="5">
    <w:name w:val="annotation text"/>
    <w:basedOn w:val="1"/>
    <w:link w:val="25"/>
    <w:qFormat/>
    <w:uiPriority w:val="0"/>
    <w:pPr>
      <w:jc w:val="left"/>
    </w:pPr>
  </w:style>
  <w:style w:type="paragraph" w:styleId="6">
    <w:name w:val="Body Text Indent"/>
    <w:basedOn w:val="1"/>
    <w:qFormat/>
    <w:uiPriority w:val="0"/>
    <w:pPr>
      <w:snapToGrid w:val="0"/>
      <w:spacing w:before="60" w:after="60" w:line="300" w:lineRule="auto"/>
      <w:ind w:left="540"/>
    </w:pPr>
    <w:rPr>
      <w:rFonts w:ascii="Arial" w:hAnsi="Arial"/>
    </w:rPr>
  </w:style>
  <w:style w:type="paragraph" w:styleId="7">
    <w:name w:val="Balloon Text"/>
    <w:basedOn w:val="1"/>
    <w:link w:val="24"/>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annotation subject"/>
    <w:basedOn w:val="5"/>
    <w:next w:val="5"/>
    <w:link w:val="26"/>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qFormat/>
    <w:uiPriority w:val="0"/>
    <w:rPr>
      <w:sz w:val="21"/>
      <w:szCs w:val="21"/>
    </w:rPr>
  </w:style>
  <w:style w:type="character" w:customStyle="1" w:styleId="17">
    <w:name w:val="font41"/>
    <w:basedOn w:val="15"/>
    <w:qFormat/>
    <w:uiPriority w:val="0"/>
    <w:rPr>
      <w:rFonts w:hint="default" w:ascii="Times New Roman" w:hAnsi="Times New Roman" w:cs="Times New Roman"/>
      <w:color w:val="000000"/>
      <w:sz w:val="21"/>
      <w:szCs w:val="21"/>
      <w:u w:val="none"/>
    </w:rPr>
  </w:style>
  <w:style w:type="paragraph" w:customStyle="1" w:styleId="18">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9">
    <w:name w:val="font31"/>
    <w:basedOn w:val="15"/>
    <w:qFormat/>
    <w:uiPriority w:val="0"/>
    <w:rPr>
      <w:rFonts w:ascii="宋体" w:hAnsi="宋体" w:eastAsia="宋体" w:cs="宋体"/>
      <w:color w:val="000000"/>
      <w:sz w:val="28"/>
      <w:szCs w:val="28"/>
      <w:u w:val="none"/>
    </w:rPr>
  </w:style>
  <w:style w:type="character" w:customStyle="1" w:styleId="20">
    <w:name w:val="font11"/>
    <w:basedOn w:val="15"/>
    <w:qFormat/>
    <w:uiPriority w:val="0"/>
    <w:rPr>
      <w:rFonts w:hint="eastAsia" w:ascii="宋体" w:hAnsi="宋体" w:eastAsia="宋体" w:cs="宋体"/>
      <w:color w:val="000000"/>
      <w:sz w:val="28"/>
      <w:szCs w:val="28"/>
      <w:u w:val="none"/>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font21"/>
    <w:basedOn w:val="15"/>
    <w:qFormat/>
    <w:uiPriority w:val="0"/>
    <w:rPr>
      <w:rFonts w:ascii="宋体" w:hAnsi="宋体" w:eastAsia="宋体" w:cs="宋体"/>
      <w:color w:val="000000"/>
      <w:sz w:val="28"/>
      <w:szCs w:val="28"/>
      <w:u w:val="none"/>
    </w:rPr>
  </w:style>
  <w:style w:type="character" w:customStyle="1" w:styleId="24">
    <w:name w:val="批注框文本 Char"/>
    <w:basedOn w:val="15"/>
    <w:link w:val="7"/>
    <w:qFormat/>
    <w:uiPriority w:val="0"/>
    <w:rPr>
      <w:rFonts w:asciiTheme="minorHAnsi" w:hAnsiTheme="minorHAnsi" w:cstheme="minorBidi"/>
      <w:kern w:val="2"/>
      <w:sz w:val="18"/>
      <w:szCs w:val="18"/>
    </w:rPr>
  </w:style>
  <w:style w:type="character" w:customStyle="1" w:styleId="25">
    <w:name w:val="批注文字 Char"/>
    <w:basedOn w:val="15"/>
    <w:link w:val="5"/>
    <w:qFormat/>
    <w:uiPriority w:val="0"/>
    <w:rPr>
      <w:rFonts w:asciiTheme="minorHAnsi" w:hAnsiTheme="minorHAnsi" w:cstheme="minorBidi"/>
      <w:kern w:val="2"/>
      <w:sz w:val="24"/>
      <w:szCs w:val="24"/>
    </w:rPr>
  </w:style>
  <w:style w:type="character" w:customStyle="1" w:styleId="26">
    <w:name w:val="批注主题 Char"/>
    <w:basedOn w:val="25"/>
    <w:link w:val="12"/>
    <w:qFormat/>
    <w:uiPriority w:val="0"/>
    <w:rPr>
      <w:rFonts w:asciiTheme="minorHAnsi" w:hAnsiTheme="minorHAnsi" w:cstheme="minorBidi"/>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8C515-04B8-48EE-8D3A-4CDD89F5D2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9311</Words>
  <Characters>9816</Characters>
  <Lines>18</Lines>
  <Paragraphs>22</Paragraphs>
  <TotalTime>6</TotalTime>
  <ScaleCrop>false</ScaleCrop>
  <LinksUpToDate>false</LinksUpToDate>
  <CharactersWithSpaces>9914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2023-04-03T09:13:00Z</dcterms:created>
  <dc:creator>小石头</dc:creator>
  <cp:lastModifiedBy>86131</cp:lastModifiedBy>
  <cp:lastPrinted>2023-04-24T13:25:00Z</cp:lastPrinted>
  <dcterms:modified xsi:type="dcterms:W3CDTF">2023-05-12T09:16:38Z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740E4794C96842B99635667DF6677494</vt:lpwstr>
  </property>
</Properties>
</file>