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240" w:lineRule="auto"/>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北辰区人民政府合作交流办公室部门2023年部门预算</w:t>
      </w:r>
    </w:p>
    <w:p>
      <w:pPr>
        <w:spacing w:line="240" w:lineRule="auto"/>
        <w:jc w:val="center"/>
        <w:rPr>
          <w:rFonts w:hint="eastAsia" w:ascii="方正小标宋简体" w:hAnsi="方正小标宋简体" w:eastAsia="方正小标宋简体" w:cs="方正小标宋简体"/>
          <w:w w:val="95"/>
          <w:sz w:val="48"/>
          <w:szCs w:val="48"/>
        </w:rPr>
      </w:pPr>
    </w:p>
    <w:p>
      <w:pPr>
        <w:spacing w:line="580" w:lineRule="exact"/>
        <w:jc w:val="center"/>
        <w:rPr>
          <w:rFonts w:hint="eastAsia" w:ascii="楷体_GB2312" w:eastAsia="楷体_GB2312"/>
          <w:sz w:val="36"/>
          <w:szCs w:val="36"/>
        </w:rPr>
      </w:pPr>
    </w:p>
    <w:p>
      <w:pPr>
        <w:spacing w:line="580" w:lineRule="exact"/>
        <w:jc w:val="center"/>
        <w:rPr>
          <w:rFonts w:hint="eastAsia" w:ascii="黑体" w:eastAsia="黑体"/>
          <w:sz w:val="30"/>
          <w:szCs w:val="30"/>
        </w:rPr>
      </w:pPr>
    </w:p>
    <w:p>
      <w:pPr>
        <w:spacing w:line="580" w:lineRule="exact"/>
        <w:jc w:val="center"/>
        <w:rPr>
          <w:rFonts w:hint="eastAsia" w:ascii="黑体" w:eastAsia="黑体"/>
          <w:sz w:val="30"/>
          <w:szCs w:val="30"/>
        </w:rPr>
      </w:pPr>
    </w:p>
    <w:p>
      <w:pPr>
        <w:spacing w:line="580" w:lineRule="exact"/>
        <w:jc w:val="center"/>
        <w:rPr>
          <w:rFonts w:hint="eastAsia" w:ascii="黑体" w:eastAsia="黑体"/>
          <w:sz w:val="30"/>
          <w:szCs w:val="30"/>
        </w:rPr>
      </w:pPr>
    </w:p>
    <w:p>
      <w:pPr>
        <w:spacing w:line="580" w:lineRule="exact"/>
        <w:jc w:val="center"/>
        <w:rPr>
          <w:rFonts w:hint="eastAsia" w:ascii="黑体" w:eastAsia="黑体"/>
          <w:sz w:val="30"/>
          <w:szCs w:val="30"/>
        </w:rPr>
      </w:pPr>
    </w:p>
    <w:p>
      <w:pPr>
        <w:spacing w:line="580" w:lineRule="exact"/>
        <w:jc w:val="center"/>
        <w:rPr>
          <w:rFonts w:hint="eastAsia" w:ascii="黑体" w:eastAsia="黑体"/>
          <w:sz w:val="30"/>
          <w:szCs w:val="30"/>
        </w:rPr>
      </w:pPr>
    </w:p>
    <w:p>
      <w:pPr>
        <w:spacing w:line="580" w:lineRule="exact"/>
        <w:jc w:val="center"/>
        <w:rPr>
          <w:rFonts w:hint="eastAsia" w:ascii="黑体" w:eastAsia="黑体"/>
          <w:sz w:val="30"/>
          <w:szCs w:val="30"/>
        </w:rPr>
      </w:pPr>
    </w:p>
    <w:p>
      <w:pPr>
        <w:spacing w:line="580" w:lineRule="exact"/>
        <w:jc w:val="center"/>
        <w:rPr>
          <w:rFonts w:hint="eastAsia" w:ascii="黑体" w:eastAsia="黑体"/>
          <w:sz w:val="30"/>
          <w:szCs w:val="30"/>
        </w:rPr>
      </w:pPr>
    </w:p>
    <w:p>
      <w:pPr>
        <w:spacing w:line="580" w:lineRule="exact"/>
        <w:jc w:val="center"/>
        <w:rPr>
          <w:rFonts w:hint="eastAsia" w:ascii="黑体" w:eastAsia="黑体"/>
          <w:sz w:val="30"/>
          <w:szCs w:val="30"/>
        </w:rPr>
      </w:pPr>
    </w:p>
    <w:p>
      <w:pPr>
        <w:spacing w:line="580" w:lineRule="exact"/>
        <w:jc w:val="center"/>
        <w:rPr>
          <w:rFonts w:hint="eastAsia" w:ascii="黑体" w:eastAsia="黑体"/>
          <w:sz w:val="30"/>
          <w:szCs w:val="30"/>
        </w:rPr>
      </w:pPr>
    </w:p>
    <w:p>
      <w:pPr>
        <w:spacing w:line="580" w:lineRule="exact"/>
        <w:jc w:val="center"/>
        <w:rPr>
          <w:rFonts w:hint="eastAsia" w:ascii="黑体" w:eastAsia="黑体"/>
          <w:sz w:val="44"/>
          <w:szCs w:val="44"/>
        </w:rPr>
      </w:pPr>
    </w:p>
    <w:p>
      <w:pPr>
        <w:spacing w:line="600" w:lineRule="exact"/>
        <w:jc w:val="center"/>
        <w:rPr>
          <w:rFonts w:hint="eastAsia" w:ascii="黑体" w:eastAsia="黑体"/>
          <w:sz w:val="44"/>
          <w:szCs w:val="44"/>
        </w:rPr>
      </w:pPr>
    </w:p>
    <w:p>
      <w:pPr>
        <w:spacing w:line="600" w:lineRule="exact"/>
        <w:jc w:val="center"/>
        <w:rPr>
          <w:rFonts w:hint="eastAsia" w:ascii="黑体" w:eastAsia="黑体"/>
          <w:sz w:val="44"/>
          <w:szCs w:val="44"/>
        </w:rPr>
      </w:pPr>
      <w:r>
        <w:rPr>
          <w:rFonts w:hint="eastAsia" w:ascii="黑体" w:eastAsia="黑体"/>
          <w:sz w:val="44"/>
          <w:szCs w:val="44"/>
        </w:rPr>
        <w:t>目   录</w:t>
      </w:r>
    </w:p>
    <w:p>
      <w:pPr>
        <w:spacing w:line="600" w:lineRule="exact"/>
        <w:rPr>
          <w:rFonts w:hint="eastAsia" w:ascii="黑体" w:eastAsia="黑体"/>
          <w:sz w:val="30"/>
          <w:szCs w:val="30"/>
        </w:rPr>
      </w:pPr>
    </w:p>
    <w:p>
      <w:pPr>
        <w:spacing w:line="600" w:lineRule="exact"/>
        <w:rPr>
          <w:rFonts w:hint="eastAsia" w:ascii="仿宋_GB2312" w:hAnsi="Times New Roman" w:eastAsia="仿宋_GB2312"/>
          <w:b/>
          <w:sz w:val="30"/>
          <w:szCs w:val="30"/>
        </w:rPr>
      </w:pPr>
      <w:r>
        <w:rPr>
          <w:rFonts w:hint="eastAsia" w:ascii="仿宋_GB2312" w:hAnsi="Times New Roman" w:eastAsia="仿宋_GB2312"/>
          <w:b/>
          <w:sz w:val="30"/>
          <w:szCs w:val="30"/>
        </w:rPr>
        <w:t>第一部分  概 况</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一、主要职责</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二、机构设置情况</w:t>
      </w:r>
    </w:p>
    <w:p>
      <w:pPr>
        <w:spacing w:line="600" w:lineRule="exact"/>
        <w:rPr>
          <w:rFonts w:hint="eastAsia" w:ascii="仿宋_GB2312" w:hAnsi="Times New Roman" w:eastAsia="仿宋_GB2312"/>
          <w:b/>
          <w:sz w:val="30"/>
          <w:szCs w:val="30"/>
        </w:rPr>
      </w:pPr>
      <w:r>
        <w:rPr>
          <w:rFonts w:hint="eastAsia" w:ascii="仿宋_GB2312" w:hAnsi="Times New Roman" w:eastAsia="仿宋_GB2312"/>
          <w:b/>
          <w:sz w:val="30"/>
          <w:szCs w:val="30"/>
        </w:rPr>
        <w:t>第三部分  2023年部门预算情况说明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一、关于收支总体情况表的说明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二、关于收入总体情况表的说明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三、关于支出总体情况表的说明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四、关于财政拨款收支总体情况表的说明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五、关于一般公共预算支出情况的说明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六、关于一般公共预算基本支出情况表的说明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七、关于一般公共预算“三公”经费支出情况表的说明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八、关于政府性基金预算支出情况表的说明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九、关于国有资本经营预算支出情况表的说明</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十、其他重要事项的情况说明</w:t>
      </w:r>
    </w:p>
    <w:p>
      <w:pPr>
        <w:spacing w:line="600" w:lineRule="exact"/>
        <w:rPr>
          <w:rFonts w:hint="eastAsia" w:ascii="仿宋_GB2312" w:hAnsi="Times New Roman" w:eastAsia="仿宋_GB2312"/>
          <w:b/>
          <w:sz w:val="30"/>
          <w:szCs w:val="30"/>
        </w:rPr>
      </w:pPr>
      <w:r>
        <w:rPr>
          <w:rFonts w:hint="eastAsia" w:ascii="仿宋_GB2312" w:hAnsi="Times New Roman" w:eastAsia="仿宋_GB2312"/>
          <w:b/>
          <w:sz w:val="30"/>
          <w:szCs w:val="30"/>
        </w:rPr>
        <w:t>第三部分  名词解释</w:t>
      </w:r>
    </w:p>
    <w:p>
      <w:pPr>
        <w:spacing w:line="600" w:lineRule="exact"/>
        <w:rPr>
          <w:rFonts w:hint="eastAsia" w:ascii="仿宋_GB2312" w:hAnsi="Times New Roman" w:eastAsia="仿宋_GB2312"/>
          <w:b/>
          <w:sz w:val="30"/>
          <w:szCs w:val="30"/>
        </w:rPr>
      </w:pPr>
      <w:r>
        <w:rPr>
          <w:rFonts w:hint="eastAsia" w:ascii="仿宋_GB2312" w:hAnsi="Times New Roman" w:eastAsia="仿宋_GB2312"/>
          <w:b/>
          <w:sz w:val="30"/>
          <w:szCs w:val="30"/>
        </w:rPr>
        <w:t>第四部分  2023年部门预算表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一、部门收支总体情况表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二、部门收入总体情况表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三、部门支出总体情况表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四、财政拨款收支总体情况表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五、一般公共预算支出情况表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六、一般公共预算基本支出情况表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七、一般公共预算“三公”经费支出情况表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八、政府性基金预算支出情况表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九、国有资本经营预算支出情况表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十、项目支出表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十一、北辰区人民政府合作交流办公室2023年政府采购预算表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十二、政策及项目绩效目标表</w:t>
      </w:r>
    </w:p>
    <w:p>
      <w:pPr>
        <w:spacing w:line="600" w:lineRule="exact"/>
        <w:rPr>
          <w:rFonts w:hint="eastAsia" w:ascii="仿宋_GB2312" w:hAnsi="Times New Roman" w:eastAsia="仿宋_GB2312"/>
          <w:sz w:val="30"/>
          <w:szCs w:val="30"/>
        </w:rPr>
      </w:pPr>
      <w:r>
        <w:rPr>
          <w:rFonts w:hint="eastAsia" w:ascii="仿宋_GB2312" w:hAnsi="Times New Roman" w:eastAsia="仿宋_GB2312"/>
          <w:sz w:val="30"/>
          <w:szCs w:val="30"/>
        </w:rPr>
        <w:t>十三、关于空表的说明</w:t>
      </w:r>
      <w:r>
        <w:rPr>
          <w:rFonts w:hint="eastAsia" w:ascii="仿宋_GB2312" w:hAnsi="Times New Roman" w:eastAsia="仿宋_GB2312"/>
          <w:sz w:val="30"/>
          <w:szCs w:val="30"/>
        </w:rPr>
        <w:tab/>
      </w:r>
    </w:p>
    <w:p>
      <w:pPr>
        <w:spacing w:line="600" w:lineRule="exact"/>
        <w:rPr>
          <w:rFonts w:ascii="仿宋_GB2312" w:hAnsi="Times New Roman" w:eastAsia="仿宋_GB2312"/>
          <w:b/>
          <w:sz w:val="30"/>
          <w:szCs w:val="30"/>
        </w:rPr>
      </w:pPr>
      <w:r>
        <w:rPr>
          <w:rFonts w:ascii="仿宋_GB2312" w:hAnsi="Times New Roman" w:eastAsia="仿宋_GB2312"/>
          <w:b/>
          <w:sz w:val="30"/>
          <w:szCs w:val="30"/>
        </w:rPr>
        <w:fldChar w:fldCharType="begin"/>
      </w:r>
      <w:r>
        <w:rPr>
          <w:rFonts w:ascii="仿宋_GB2312" w:hAnsi="Times New Roman" w:eastAsia="仿宋_GB2312"/>
          <w:b/>
          <w:sz w:val="30"/>
          <w:szCs w:val="30"/>
        </w:rPr>
        <w:instrText xml:space="preserve"> </w:instrText>
      </w:r>
      <w:r>
        <w:rPr>
          <w:rFonts w:hint="eastAsia" w:ascii="仿宋_GB2312" w:hAnsi="Times New Roman" w:eastAsia="仿宋_GB2312"/>
          <w:b/>
          <w:sz w:val="30"/>
          <w:szCs w:val="30"/>
        </w:rPr>
        <w:instrText xml:space="preserve">TOC \o "1-3" \h \z \u</w:instrText>
      </w:r>
      <w:r>
        <w:rPr>
          <w:rFonts w:ascii="仿宋_GB2312" w:hAnsi="Times New Roman" w:eastAsia="仿宋_GB2312"/>
          <w:b/>
          <w:sz w:val="30"/>
          <w:szCs w:val="30"/>
        </w:rPr>
        <w:instrText xml:space="preserve"> </w:instrText>
      </w:r>
      <w:r>
        <w:rPr>
          <w:rFonts w:ascii="仿宋_GB2312" w:hAnsi="Times New Roman" w:eastAsia="仿宋_GB2312"/>
          <w:b/>
          <w:sz w:val="30"/>
          <w:szCs w:val="30"/>
        </w:rPr>
        <w:fldChar w:fldCharType="separate"/>
      </w:r>
    </w:p>
    <w:p>
      <w:pPr>
        <w:spacing w:line="600" w:lineRule="exact"/>
        <w:jc w:val="both"/>
        <w:rPr>
          <w:rFonts w:hint="eastAsia" w:ascii="仿宋_GB2312" w:hAnsi="Times New Roman" w:eastAsia="仿宋_GB2312"/>
          <w:sz w:val="30"/>
          <w:szCs w:val="30"/>
        </w:rPr>
      </w:pPr>
      <w:r>
        <w:rPr>
          <w:rFonts w:ascii="仿宋_GB2312" w:hAnsi="Times New Roman" w:eastAsia="仿宋_GB2312"/>
          <w:sz w:val="30"/>
          <w:szCs w:val="30"/>
        </w:rPr>
        <w:fldChar w:fldCharType="end"/>
      </w: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eastAsia="黑体"/>
          <w:w w:val="95"/>
          <w:sz w:val="44"/>
          <w:szCs w:val="44"/>
        </w:rPr>
      </w:pPr>
    </w:p>
    <w:p>
      <w:pPr>
        <w:pStyle w:val="8"/>
        <w:tabs>
          <w:tab w:val="right" w:leader="dot" w:pos="8296"/>
        </w:tabs>
        <w:spacing w:line="600" w:lineRule="exact"/>
        <w:ind w:left="0"/>
        <w:rPr>
          <w:rFonts w:ascii="黑体" w:eastAsia="黑体"/>
          <w:sz w:val="30"/>
          <w:szCs w:val="30"/>
        </w:rPr>
        <w:sectPr>
          <w:headerReference r:id="rId5" w:type="default"/>
          <w:footerReference r:id="rId6" w:type="default"/>
          <w:footerReference r:id="rId7" w:type="even"/>
          <w:pgSz w:w="11907" w:h="16840"/>
          <w:pgMar w:top="2098" w:right="1474" w:bottom="1304" w:left="1588" w:header="765" w:footer="765" w:gutter="0"/>
          <w:pgNumType w:fmt="numberInDash" w:start="1"/>
          <w:cols w:space="720" w:num="1"/>
          <w:docGrid w:linePitch="326" w:charSpace="0"/>
        </w:sectPr>
      </w:pPr>
    </w:p>
    <w:p>
      <w:pPr>
        <w:pStyle w:val="2"/>
        <w:spacing w:line="600" w:lineRule="exact"/>
        <w:jc w:val="center"/>
        <w:rPr>
          <w:rFonts w:ascii="方正小标宋简体" w:hAnsi="方正小标宋简体" w:eastAsia="方正小标宋简体" w:cs="方正小标宋简体"/>
          <w:b w:val="0"/>
          <w:sz w:val="48"/>
          <w:szCs w:val="48"/>
        </w:rPr>
      </w:pPr>
      <w:bookmarkStart w:id="0" w:name="_Toc78784554"/>
      <w:r>
        <w:rPr>
          <w:rFonts w:hint="eastAsia" w:ascii="方正小标宋简体" w:hAnsi="方正小标宋简体" w:eastAsia="方正小标宋简体" w:cs="方正小标宋简体"/>
          <w:b w:val="0"/>
          <w:sz w:val="48"/>
          <w:szCs w:val="48"/>
        </w:rPr>
        <w:t>第一部分  概 况</w:t>
      </w:r>
      <w:bookmarkEnd w:id="0"/>
    </w:p>
    <w:p>
      <w:pPr>
        <w:spacing w:line="600" w:lineRule="exact"/>
        <w:rPr>
          <w:rFonts w:hint="eastAsia"/>
        </w:rPr>
      </w:pPr>
    </w:p>
    <w:p>
      <w:pPr>
        <w:pStyle w:val="3"/>
        <w:spacing w:line="600" w:lineRule="exact"/>
        <w:ind w:firstLine="602" w:firstLineChars="200"/>
        <w:rPr>
          <w:rFonts w:hint="eastAsia" w:ascii="黑体" w:hAnsi="黑体" w:eastAsia="黑体"/>
          <w:sz w:val="30"/>
          <w:szCs w:val="30"/>
        </w:rPr>
      </w:pPr>
      <w:bookmarkStart w:id="1" w:name="_Toc78784555"/>
      <w:r>
        <w:rPr>
          <w:rFonts w:hint="eastAsia" w:ascii="黑体" w:hAnsi="黑体" w:eastAsia="黑体"/>
          <w:sz w:val="30"/>
          <w:szCs w:val="30"/>
        </w:rPr>
        <w:t>一、主要职责</w:t>
      </w:r>
      <w:bookmarkEnd w:id="1"/>
    </w:p>
    <w:p>
      <w:pPr>
        <w:spacing w:line="600" w:lineRule="exact"/>
        <w:ind w:firstLine="600" w:firstLineChars="200"/>
        <w:rPr>
          <w:rFonts w:hint="eastAsia" w:ascii="仿宋_GB2312" w:eastAsia="仿宋_GB2312"/>
          <w:sz w:val="30"/>
          <w:szCs w:val="30"/>
        </w:rPr>
      </w:pPr>
      <w:bookmarkStart w:id="2" w:name="_Toc78784556"/>
      <w:r>
        <w:rPr>
          <w:rFonts w:hint="eastAsia" w:ascii="仿宋_GB2312" w:eastAsia="仿宋_GB2312"/>
          <w:sz w:val="30"/>
          <w:szCs w:val="30"/>
          <w:lang w:eastAsia="zh-CN"/>
        </w:rPr>
        <w:t>（</w:t>
      </w:r>
      <w:r>
        <w:rPr>
          <w:rFonts w:hint="eastAsia" w:ascii="仿宋_GB2312" w:eastAsia="仿宋_GB2312"/>
          <w:sz w:val="30"/>
          <w:szCs w:val="30"/>
        </w:rPr>
        <w:t>一）贯彻执行国家有关加快东西部协作和对口支援工作、推动经济高质量发展的战略、方针和政策法规。</w:t>
      </w:r>
      <w:r>
        <w:rPr>
          <w:rFonts w:hint="eastAsia" w:ascii="仿宋_GB2312" w:hAnsi="楷体" w:eastAsia="仿宋_GB2312" w:cs="楷体"/>
          <w:bCs/>
          <w:sz w:val="30"/>
          <w:szCs w:val="30"/>
        </w:rPr>
        <w:t>落实内外资招商引资、国内合作交流的有关政策、法规。</w:t>
      </w:r>
      <w:r>
        <w:rPr>
          <w:rFonts w:hint="eastAsia" w:ascii="仿宋_GB2312" w:eastAsia="仿宋_GB2312"/>
          <w:sz w:val="30"/>
          <w:szCs w:val="30"/>
        </w:rPr>
        <w:t>拟订本区相关发展规划和年度计划，并组织实施。提供相关信息服务。</w:t>
      </w:r>
    </w:p>
    <w:p>
      <w:pPr>
        <w:spacing w:line="600" w:lineRule="exact"/>
        <w:ind w:firstLine="648"/>
        <w:rPr>
          <w:rFonts w:hint="eastAsia" w:ascii="仿宋_GB2312" w:eastAsia="仿宋_GB2312"/>
          <w:sz w:val="30"/>
          <w:szCs w:val="30"/>
        </w:rPr>
      </w:pPr>
      <w:r>
        <w:rPr>
          <w:rFonts w:hint="eastAsia" w:ascii="仿宋_GB2312" w:eastAsia="仿宋_GB2312"/>
          <w:sz w:val="30"/>
          <w:szCs w:val="30"/>
        </w:rPr>
        <w:t>（二）负责本区招商引资工作的统筹规划、推动协调工作，建立完善工作体系和协调机制。</w:t>
      </w:r>
    </w:p>
    <w:p>
      <w:pPr>
        <w:spacing w:line="600" w:lineRule="exact"/>
        <w:ind w:firstLine="648"/>
        <w:rPr>
          <w:rFonts w:hint="eastAsia" w:ascii="仿宋_GB2312" w:eastAsia="仿宋_GB2312"/>
          <w:sz w:val="30"/>
          <w:szCs w:val="30"/>
        </w:rPr>
      </w:pPr>
      <w:r>
        <w:rPr>
          <w:rFonts w:hint="eastAsia" w:ascii="仿宋_GB2312" w:eastAsia="仿宋_GB2312"/>
          <w:sz w:val="30"/>
          <w:szCs w:val="30"/>
        </w:rPr>
        <w:t>（三）负责促进投资人和企业在本区投资。结合本区产业定位，组织开展招商推介、政策宣传、项目对接、投资考察接待等活动和工作，做好本区招商引资重点项目的跟踪、服务和落地工作。</w:t>
      </w:r>
    </w:p>
    <w:p>
      <w:pPr>
        <w:spacing w:line="600" w:lineRule="exact"/>
        <w:ind w:firstLine="648"/>
        <w:rPr>
          <w:rFonts w:hint="eastAsia" w:ascii="仿宋_GB2312" w:eastAsia="仿宋_GB2312"/>
          <w:sz w:val="30"/>
          <w:szCs w:val="30"/>
        </w:rPr>
      </w:pPr>
      <w:r>
        <w:rPr>
          <w:rFonts w:hint="eastAsia" w:ascii="仿宋_GB2312" w:eastAsia="仿宋_GB2312"/>
          <w:sz w:val="30"/>
          <w:szCs w:val="30"/>
        </w:rPr>
        <w:t>（四）组织落实本区招商引资计划和任务，分解本区招商引资指标。负责本区招商引资工作的统计、综合分析、评价考核等工作。会同有关部门推进本区企业到各地投资和合作。</w:t>
      </w:r>
    </w:p>
    <w:p>
      <w:pPr>
        <w:spacing w:line="600" w:lineRule="exact"/>
        <w:ind w:firstLine="648"/>
        <w:rPr>
          <w:rFonts w:hint="eastAsia" w:ascii="仿宋_GB2312" w:eastAsia="仿宋_GB2312"/>
          <w:sz w:val="30"/>
          <w:szCs w:val="30"/>
        </w:rPr>
      </w:pPr>
      <w:r>
        <w:rPr>
          <w:rFonts w:hint="eastAsia" w:ascii="仿宋_GB2312" w:eastAsia="仿宋_GB2312"/>
          <w:sz w:val="30"/>
          <w:szCs w:val="30"/>
        </w:rPr>
        <w:t>（五）负责本区招商引资项目管理，组织项目评审论证，执行项目引进联审机制。统筹项目信息，充实项目储备。统筹招商载体，指导项目布局。负责本区招商引资队伍的管理、培训工作。</w:t>
      </w:r>
    </w:p>
    <w:p>
      <w:pPr>
        <w:spacing w:line="600" w:lineRule="exact"/>
        <w:ind w:firstLine="648"/>
        <w:rPr>
          <w:rFonts w:hint="eastAsia" w:ascii="仿宋_GB2312" w:eastAsia="仿宋_GB2312"/>
          <w:sz w:val="30"/>
          <w:szCs w:val="30"/>
        </w:rPr>
      </w:pPr>
      <w:r>
        <w:rPr>
          <w:rFonts w:hint="eastAsia" w:ascii="仿宋_GB2312" w:eastAsia="仿宋_GB2312"/>
          <w:sz w:val="30"/>
          <w:szCs w:val="30"/>
        </w:rPr>
        <w:t>（六）协调促进与各省市之间的合作交流工作。负责本区政府代表团出访的组织、联络、协调、服务工作及商谈合作事宜的准备工作。负责与市政府驻外办事处和市合作交流办驻外工作处、异地商协会、中介机构的联系合作。推动、协调与外地政府间签署的会议纪要、协议的落实工作。</w:t>
      </w:r>
    </w:p>
    <w:p>
      <w:pPr>
        <w:spacing w:line="600" w:lineRule="exact"/>
        <w:ind w:firstLine="648"/>
        <w:rPr>
          <w:rFonts w:hint="eastAsia" w:ascii="仿宋_GB2312" w:eastAsia="仿宋_GB2312"/>
          <w:sz w:val="30"/>
          <w:szCs w:val="30"/>
        </w:rPr>
      </w:pPr>
      <w:r>
        <w:rPr>
          <w:rFonts w:hint="eastAsia" w:ascii="仿宋_GB2312" w:eastAsia="仿宋_GB2312"/>
          <w:sz w:val="30"/>
          <w:szCs w:val="30"/>
        </w:rPr>
        <w:t>（七）综合协调、组织推动本区承担的东西部协作和对口支援工作。会同有关部门安排对口帮扶资金，</w:t>
      </w:r>
      <w:r>
        <w:rPr>
          <w:rFonts w:hint="eastAsia" w:ascii="仿宋_GB2312" w:hAnsi="楷体" w:eastAsia="仿宋_GB2312" w:cs="楷体"/>
          <w:bCs/>
          <w:sz w:val="30"/>
          <w:szCs w:val="30"/>
        </w:rPr>
        <w:t>统计、分析和督导检查本区对口帮扶工作。</w:t>
      </w:r>
      <w:r>
        <w:rPr>
          <w:rFonts w:hint="eastAsia" w:ascii="仿宋_GB2312" w:eastAsia="仿宋_GB2312"/>
          <w:sz w:val="30"/>
          <w:szCs w:val="30"/>
        </w:rPr>
        <w:t>负责援受双方跨地区重点项目的协调和服务工作。指导协调各部门、动员社会力量开展帮扶工作。负责援受双方政府代表团互访的联络、协调工作。</w:t>
      </w:r>
    </w:p>
    <w:p>
      <w:pPr>
        <w:spacing w:line="600" w:lineRule="exact"/>
        <w:ind w:firstLine="648"/>
        <w:rPr>
          <w:rFonts w:hint="eastAsia" w:ascii="仿宋_GB2312" w:eastAsia="仿宋_GB2312"/>
          <w:sz w:val="30"/>
          <w:szCs w:val="30"/>
        </w:rPr>
      </w:pPr>
      <w:r>
        <w:rPr>
          <w:rFonts w:hint="eastAsia" w:ascii="仿宋_GB2312" w:eastAsia="仿宋_GB2312"/>
          <w:sz w:val="30"/>
          <w:szCs w:val="30"/>
        </w:rPr>
        <w:t>（八）在职责范围内为安全生产工作提供支持保障，共同推进安全生产发展。</w:t>
      </w:r>
    </w:p>
    <w:p>
      <w:pPr>
        <w:spacing w:line="600" w:lineRule="exact"/>
        <w:ind w:firstLine="648"/>
        <w:rPr>
          <w:rFonts w:hint="eastAsia" w:ascii="仿宋_GB2312" w:eastAsia="仿宋_GB2312"/>
          <w:sz w:val="30"/>
          <w:szCs w:val="30"/>
        </w:rPr>
      </w:pPr>
      <w:r>
        <w:rPr>
          <w:rFonts w:hint="eastAsia" w:ascii="仿宋_GB2312" w:eastAsia="仿宋_GB2312"/>
          <w:sz w:val="30"/>
          <w:szCs w:val="30"/>
        </w:rPr>
        <w:t>（九）指导本领域人才队伍建设。</w:t>
      </w:r>
    </w:p>
    <w:p>
      <w:pPr>
        <w:pStyle w:val="3"/>
        <w:spacing w:line="600" w:lineRule="exact"/>
        <w:ind w:firstLine="600" w:firstLineChars="200"/>
        <w:rPr>
          <w:rFonts w:hint="eastAsia" w:ascii="仿宋_GB2312" w:hAnsi="MS Serif" w:eastAsia="仿宋_GB2312" w:cs="Times New Roman"/>
          <w:b w:val="0"/>
          <w:bCs w:val="0"/>
          <w:sz w:val="30"/>
          <w:szCs w:val="30"/>
          <w:lang w:val="en-US" w:eastAsia="zh-CN" w:bidi="ar-SA"/>
        </w:rPr>
      </w:pPr>
      <w:r>
        <w:rPr>
          <w:rFonts w:hint="eastAsia" w:ascii="仿宋_GB2312" w:hAnsi="MS Serif" w:eastAsia="仿宋_GB2312" w:cs="Times New Roman"/>
          <w:b w:val="0"/>
          <w:bCs w:val="0"/>
          <w:sz w:val="30"/>
          <w:szCs w:val="30"/>
          <w:lang w:val="en-US" w:eastAsia="zh-CN" w:bidi="ar-SA"/>
        </w:rPr>
        <w:t>（十）承办区委、区政府交办的其他事项。</w:t>
      </w:r>
    </w:p>
    <w:p>
      <w:pPr>
        <w:pStyle w:val="3"/>
        <w:spacing w:line="600" w:lineRule="exact"/>
        <w:ind w:firstLine="602" w:firstLineChars="200"/>
        <w:rPr>
          <w:rFonts w:hint="eastAsia" w:ascii="黑体" w:hAnsi="黑体" w:eastAsia="黑体"/>
          <w:sz w:val="30"/>
          <w:szCs w:val="30"/>
        </w:rPr>
      </w:pPr>
      <w:r>
        <w:rPr>
          <w:rFonts w:hint="eastAsia" w:ascii="黑体" w:hAnsi="黑体" w:eastAsia="黑体"/>
          <w:sz w:val="30"/>
          <w:szCs w:val="30"/>
        </w:rPr>
        <w:t>二、机构设置</w:t>
      </w:r>
      <w:bookmarkEnd w:id="2"/>
      <w:r>
        <w:rPr>
          <w:rFonts w:hint="eastAsia" w:ascii="黑体" w:hAnsi="黑体" w:eastAsia="黑体"/>
          <w:sz w:val="30"/>
          <w:szCs w:val="30"/>
        </w:rPr>
        <w:t>情况</w:t>
      </w:r>
    </w:p>
    <w:p>
      <w:pPr>
        <w:spacing w:line="600" w:lineRule="exact"/>
        <w:ind w:firstLine="600" w:firstLineChars="200"/>
        <w:rPr>
          <w:rFonts w:eastAsia="仿宋_GB2312"/>
          <w:sz w:val="30"/>
          <w:szCs w:val="30"/>
        </w:rPr>
      </w:pPr>
      <w:r>
        <w:rPr>
          <w:rFonts w:hint="eastAsia" w:ascii="仿宋_GB2312" w:hAnsi="Times New Roman" w:eastAsia="仿宋_GB2312"/>
          <w:sz w:val="30"/>
          <w:szCs w:val="30"/>
          <w:lang w:eastAsia="zh-CN"/>
        </w:rPr>
        <w:t>天津市</w:t>
      </w:r>
      <w:r>
        <w:rPr>
          <w:rFonts w:hint="eastAsia" w:ascii="仿宋_GB2312" w:hAnsi="Times New Roman" w:eastAsia="仿宋_GB2312"/>
          <w:sz w:val="30"/>
          <w:szCs w:val="30"/>
        </w:rPr>
        <w:t>北辰区人民政府合作交流办公室</w:t>
      </w:r>
      <w:r>
        <w:rPr>
          <w:rFonts w:eastAsia="仿宋_GB2312"/>
          <w:sz w:val="30"/>
          <w:szCs w:val="30"/>
        </w:rPr>
        <w:t>部门内设</w:t>
      </w:r>
      <w:r>
        <w:rPr>
          <w:rFonts w:eastAsia="仿宋_GB2312"/>
          <w:sz w:val="30"/>
          <w:szCs w:val="30"/>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w:t>
      </w:r>
      <w:r>
        <w:rPr>
          <w:rFonts w:hint="eastAsia" w:ascii="仿宋_GB2312" w:hAnsi="仿宋_GB2312" w:eastAsia="仿宋_GB2312" w:cs="仿宋_GB2312"/>
          <w:sz w:val="30"/>
          <w:szCs w:val="30"/>
          <w:u w:val="single"/>
        </w:rPr>
        <w:t xml:space="preserve">  </w:t>
      </w:r>
      <w:r>
        <w:rPr>
          <w:rFonts w:eastAsia="仿宋_GB2312"/>
          <w:sz w:val="30"/>
          <w:szCs w:val="30"/>
        </w:rPr>
        <w:t>个职能处室；下辖</w:t>
      </w:r>
      <w:r>
        <w:rPr>
          <w:rFonts w:eastAsia="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eastAsia="仿宋_GB2312"/>
          <w:sz w:val="30"/>
          <w:szCs w:val="30"/>
        </w:rPr>
        <w:t>个预算单位</w:t>
      </w:r>
      <w:r>
        <w:rPr>
          <w:rFonts w:hint="eastAsia" w:eastAsia="仿宋_GB2312"/>
          <w:sz w:val="30"/>
          <w:szCs w:val="30"/>
        </w:rPr>
        <w:t>。</w:t>
      </w:r>
    </w:p>
    <w:p>
      <w:pPr>
        <w:spacing w:line="600" w:lineRule="exact"/>
        <w:ind w:firstLine="600"/>
        <w:jc w:val="both"/>
        <w:rPr>
          <w:rFonts w:hint="eastAsia" w:eastAsia="仿宋_GB2312"/>
          <w:sz w:val="30"/>
          <w:szCs w:val="30"/>
          <w:lang w:eastAsia="zh-CN"/>
        </w:rPr>
      </w:pPr>
      <w:r>
        <w:rPr>
          <w:rFonts w:hint="eastAsia" w:eastAsia="仿宋_GB2312"/>
          <w:sz w:val="30"/>
          <w:szCs w:val="30"/>
        </w:rPr>
        <w:t>纳入</w:t>
      </w:r>
      <w:r>
        <w:rPr>
          <w:rFonts w:hint="eastAsia" w:ascii="仿宋_GB2312" w:hAnsi="Times New Roman" w:eastAsia="仿宋_GB2312"/>
          <w:sz w:val="30"/>
          <w:szCs w:val="30"/>
        </w:rPr>
        <w:t>北辰区人民政府合作交流办公室</w:t>
      </w:r>
      <w:r>
        <w:rPr>
          <w:rFonts w:hint="eastAsia" w:eastAsia="仿宋_GB2312"/>
          <w:sz w:val="30"/>
          <w:szCs w:val="30"/>
        </w:rPr>
        <w:t>部门</w:t>
      </w:r>
      <w:r>
        <w:rPr>
          <w:rFonts w:hint="eastAsia" w:ascii="仿宋_GB2312" w:hAnsi="仿宋_GB2312" w:eastAsia="仿宋_GB2312" w:cs="仿宋_GB2312"/>
          <w:sz w:val="30"/>
          <w:szCs w:val="30"/>
        </w:rPr>
        <w:t>2023</w:t>
      </w:r>
      <w:r>
        <w:rPr>
          <w:rFonts w:hint="eastAsia" w:eastAsia="仿宋_GB2312"/>
          <w:sz w:val="30"/>
          <w:szCs w:val="30"/>
        </w:rPr>
        <w:t>年部门预算编制范围的预算单位包括：</w:t>
      </w:r>
      <w:r>
        <w:rPr>
          <w:rFonts w:hint="eastAsia" w:eastAsia="仿宋_GB2312"/>
          <w:sz w:val="30"/>
          <w:szCs w:val="30"/>
          <w:lang w:eastAsia="zh-CN"/>
        </w:rPr>
        <w:t>天津市</w:t>
      </w:r>
      <w:r>
        <w:rPr>
          <w:rFonts w:hint="eastAsia" w:ascii="仿宋_GB2312" w:hAnsi="Times New Roman" w:eastAsia="仿宋_GB2312"/>
          <w:sz w:val="30"/>
          <w:szCs w:val="30"/>
        </w:rPr>
        <w:t>北辰区人民政府合作交流办公室</w:t>
      </w:r>
      <w:r>
        <w:rPr>
          <w:rFonts w:hint="eastAsia" w:eastAsia="仿宋_GB2312"/>
          <w:sz w:val="30"/>
          <w:szCs w:val="30"/>
          <w:lang w:eastAsia="zh-CN"/>
        </w:rPr>
        <w:t>。</w:t>
      </w:r>
    </w:p>
    <w:p>
      <w:pPr>
        <w:spacing w:line="600" w:lineRule="exact"/>
        <w:ind w:firstLine="600"/>
        <w:jc w:val="both"/>
        <w:rPr>
          <w:rFonts w:hint="eastAsia" w:eastAsia="黑体"/>
          <w:w w:val="95"/>
          <w:sz w:val="44"/>
          <w:szCs w:val="44"/>
        </w:rPr>
      </w:pPr>
    </w:p>
    <w:p>
      <w:pPr>
        <w:spacing w:line="600" w:lineRule="exact"/>
        <w:jc w:val="both"/>
        <w:rPr>
          <w:rFonts w:hint="eastAsia" w:eastAsia="黑体"/>
          <w:w w:val="95"/>
          <w:sz w:val="44"/>
          <w:szCs w:val="44"/>
        </w:rPr>
      </w:pPr>
    </w:p>
    <w:p>
      <w:pPr>
        <w:spacing w:line="600" w:lineRule="exact"/>
        <w:jc w:val="both"/>
        <w:rPr>
          <w:rFonts w:hint="eastAsia" w:eastAsia="黑体"/>
          <w:w w:val="95"/>
          <w:sz w:val="44"/>
          <w:szCs w:val="44"/>
        </w:rPr>
      </w:pPr>
    </w:p>
    <w:p>
      <w:pPr>
        <w:pStyle w:val="2"/>
        <w:spacing w:line="600" w:lineRule="exact"/>
        <w:jc w:val="center"/>
        <w:rPr>
          <w:rFonts w:ascii="方正小标宋简体" w:hAnsi="方正小标宋简体" w:eastAsia="方正小标宋简体" w:cs="方正小标宋简体"/>
          <w:b w:val="0"/>
          <w:sz w:val="48"/>
          <w:szCs w:val="48"/>
        </w:rPr>
      </w:pPr>
      <w:bookmarkStart w:id="3" w:name="_Toc78784570"/>
      <w:r>
        <w:rPr>
          <w:rFonts w:ascii="方正小标宋简体" w:hAnsi="方正小标宋简体" w:eastAsia="方正小标宋简体" w:cs="方正小标宋简体"/>
          <w:b w:val="0"/>
          <w:sz w:val="48"/>
          <w:szCs w:val="48"/>
        </w:rPr>
        <w:t>第</w:t>
      </w:r>
      <w:r>
        <w:rPr>
          <w:rFonts w:hint="eastAsia" w:ascii="方正小标宋简体" w:hAnsi="方正小标宋简体" w:eastAsia="方正小标宋简体" w:cs="方正小标宋简体"/>
          <w:b w:val="0"/>
          <w:sz w:val="48"/>
          <w:szCs w:val="48"/>
        </w:rPr>
        <w:t>二</w:t>
      </w:r>
      <w:r>
        <w:rPr>
          <w:rFonts w:ascii="方正小标宋简体" w:hAnsi="方正小标宋简体" w:eastAsia="方正小标宋简体" w:cs="方正小标宋简体"/>
          <w:b w:val="0"/>
          <w:sz w:val="48"/>
          <w:szCs w:val="48"/>
        </w:rPr>
        <w:t xml:space="preserve">部分  </w:t>
      </w:r>
      <w:r>
        <w:rPr>
          <w:rFonts w:hint="eastAsia" w:ascii="方正小标宋简体" w:hAnsi="方正小标宋简体" w:eastAsia="方正小标宋简体" w:cs="方正小标宋简体"/>
          <w:b w:val="0"/>
          <w:spacing w:val="-20"/>
          <w:sz w:val="48"/>
          <w:szCs w:val="48"/>
        </w:rPr>
        <w:t>2023</w:t>
      </w:r>
      <w:r>
        <w:rPr>
          <w:rFonts w:ascii="方正小标宋简体" w:hAnsi="方正小标宋简体" w:eastAsia="方正小标宋简体" w:cs="方正小标宋简体"/>
          <w:b w:val="0"/>
          <w:spacing w:val="-20"/>
          <w:sz w:val="48"/>
          <w:szCs w:val="48"/>
        </w:rPr>
        <w:t>年部门</w:t>
      </w:r>
      <w:r>
        <w:rPr>
          <w:rFonts w:hint="eastAsia" w:ascii="方正小标宋简体" w:hAnsi="方正小标宋简体" w:eastAsia="方正小标宋简体" w:cs="方正小标宋简体"/>
          <w:b w:val="0"/>
          <w:spacing w:val="-20"/>
          <w:sz w:val="48"/>
          <w:szCs w:val="48"/>
        </w:rPr>
        <w:t>预算情况</w:t>
      </w:r>
      <w:r>
        <w:rPr>
          <w:rFonts w:ascii="方正小标宋简体" w:hAnsi="方正小标宋简体" w:eastAsia="方正小标宋简体" w:cs="方正小标宋简体"/>
          <w:b w:val="0"/>
          <w:spacing w:val="-20"/>
          <w:sz w:val="48"/>
          <w:szCs w:val="48"/>
        </w:rPr>
        <w:t>说明</w:t>
      </w:r>
      <w:bookmarkEnd w:id="3"/>
    </w:p>
    <w:p>
      <w:pPr>
        <w:spacing w:line="600" w:lineRule="exact"/>
        <w:ind w:firstLine="600" w:firstLineChars="200"/>
        <w:rPr>
          <w:rFonts w:hint="eastAsia" w:ascii="黑体" w:eastAsia="黑体"/>
          <w:sz w:val="30"/>
          <w:szCs w:val="30"/>
        </w:rPr>
      </w:pPr>
    </w:p>
    <w:p>
      <w:pPr>
        <w:pStyle w:val="3"/>
        <w:spacing w:line="600" w:lineRule="exact"/>
        <w:ind w:firstLine="600" w:firstLineChars="200"/>
        <w:rPr>
          <w:rFonts w:hint="eastAsia" w:ascii="黑体" w:hAnsi="黑体" w:eastAsia="黑体"/>
          <w:b w:val="0"/>
          <w:sz w:val="30"/>
          <w:szCs w:val="30"/>
        </w:rPr>
      </w:pPr>
      <w:bookmarkStart w:id="4" w:name="_Toc78784571"/>
      <w:r>
        <w:rPr>
          <w:rFonts w:hint="eastAsia" w:ascii="黑体" w:hAnsi="黑体" w:eastAsia="黑体"/>
          <w:b w:val="0"/>
          <w:sz w:val="30"/>
          <w:szCs w:val="30"/>
        </w:rPr>
        <w:t>一、关于收支总体情况</w:t>
      </w:r>
      <w:bookmarkEnd w:id="4"/>
      <w:r>
        <w:rPr>
          <w:rFonts w:hint="eastAsia" w:ascii="黑体" w:hAnsi="黑体" w:eastAsia="黑体"/>
          <w:b w:val="0"/>
          <w:sz w:val="30"/>
          <w:szCs w:val="30"/>
        </w:rPr>
        <w:t>表的说明</w:t>
      </w:r>
    </w:p>
    <w:p>
      <w:pPr>
        <w:spacing w:line="600" w:lineRule="exact"/>
        <w:ind w:firstLine="150" w:firstLineChars="50"/>
        <w:rPr>
          <w:rFonts w:hint="eastAsia" w:ascii="仿宋_GB2312" w:hAnsi="仿宋_GB2312" w:eastAsia="仿宋_GB2312" w:cs="仿宋_GB2312"/>
          <w:sz w:val="30"/>
          <w:szCs w:val="30"/>
        </w:rPr>
      </w:pPr>
      <w:r>
        <w:rPr>
          <w:rFonts w:hint="eastAsia" w:eastAsia="仿宋_GB2312"/>
          <w:sz w:val="30"/>
          <w:szCs w:val="30"/>
        </w:rPr>
        <w:t xml:space="preserve"> </w:t>
      </w:r>
      <w:r>
        <w:rPr>
          <w:rFonts w:hint="eastAsia" w:ascii="仿宋_GB2312" w:hAnsi="仿宋_GB2312" w:eastAsia="仿宋_GB2312" w:cs="仿宋_GB2312"/>
          <w:sz w:val="30"/>
          <w:szCs w:val="30"/>
        </w:rPr>
        <w:t xml:space="preserve">   按照综合预算的原则，</w:t>
      </w:r>
      <w:r>
        <w:rPr>
          <w:rFonts w:hint="eastAsia" w:ascii="仿宋_GB2312" w:hAnsi="仿宋_GB2312" w:eastAsia="仿宋_GB2312" w:cs="仿宋_GB2312"/>
          <w:sz w:val="30"/>
          <w:szCs w:val="30"/>
          <w:lang w:eastAsia="zh-CN"/>
        </w:rPr>
        <w:t>天津市</w:t>
      </w:r>
      <w:r>
        <w:rPr>
          <w:rFonts w:hint="eastAsia" w:ascii="仿宋_GB2312" w:hAnsi="仿宋_GB2312" w:eastAsia="仿宋_GB2312" w:cs="仿宋_GB2312"/>
          <w:sz w:val="30"/>
          <w:szCs w:val="30"/>
        </w:rPr>
        <w:t>北辰区人民政府合作交流办公室部门所有收入和支出均纳入部门预算管理。收入包括：一般公共预算拨款收入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463.36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万元、政府性基金预算拨款收入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万元、国有资本经营预算拨款收入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万元、财政专户管理资金收入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万元、事业收入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万元、事业单位经营收入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万元、上级补助收入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万元、附属单位上缴收入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万元、其他收入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万元、上年结转结余</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万元；支出包括：一般公共服务支出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440.16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万元、卫生健康支出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23.20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天津市</w:t>
      </w:r>
      <w:r>
        <w:rPr>
          <w:rFonts w:hint="eastAsia" w:ascii="仿宋_GB2312" w:hAnsi="仿宋_GB2312" w:eastAsia="仿宋_GB2312" w:cs="仿宋_GB2312"/>
          <w:sz w:val="30"/>
          <w:szCs w:val="30"/>
        </w:rPr>
        <w:t>北辰区人民政府合作交流办公室部门2023年收支总预算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463.36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w:t>
      </w:r>
    </w:p>
    <w:p>
      <w:pPr>
        <w:pStyle w:val="3"/>
        <w:spacing w:line="600" w:lineRule="exact"/>
        <w:ind w:firstLine="600" w:firstLineChars="200"/>
        <w:rPr>
          <w:rFonts w:hint="eastAsia" w:ascii="黑体" w:hAnsi="黑体" w:eastAsia="黑体" w:cs="仿宋_GB2312"/>
          <w:b w:val="0"/>
          <w:sz w:val="30"/>
          <w:szCs w:val="30"/>
        </w:rPr>
      </w:pPr>
      <w:bookmarkStart w:id="5" w:name="_Toc78784572"/>
      <w:r>
        <w:rPr>
          <w:rFonts w:hint="eastAsia" w:ascii="黑体" w:hAnsi="黑体" w:eastAsia="黑体" w:cs="仿宋_GB2312"/>
          <w:b w:val="0"/>
          <w:sz w:val="30"/>
          <w:szCs w:val="30"/>
        </w:rPr>
        <w:t>二、关于收入总体情况</w:t>
      </w:r>
      <w:bookmarkEnd w:id="5"/>
      <w:r>
        <w:rPr>
          <w:rFonts w:hint="eastAsia" w:ascii="黑体" w:hAnsi="黑体" w:eastAsia="黑体" w:cs="仿宋_GB2312"/>
          <w:b w:val="0"/>
          <w:sz w:val="30"/>
          <w:szCs w:val="30"/>
        </w:rPr>
        <w:t>表的说明</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天津市</w:t>
      </w:r>
      <w:r>
        <w:rPr>
          <w:rFonts w:hint="eastAsia" w:ascii="仿宋_GB2312" w:hAnsi="仿宋_GB2312" w:eastAsia="仿宋_GB2312" w:cs="仿宋_GB2312"/>
          <w:sz w:val="30"/>
          <w:szCs w:val="30"/>
        </w:rPr>
        <w:t>北辰区人民政府合作交流办公室部门2023年部门预算收入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463.36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万元，与2022年预算相比增加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42.31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新增人员</w:t>
      </w:r>
      <w:r>
        <w:rPr>
          <w:rFonts w:hint="eastAsia" w:ascii="仿宋_GB2312" w:hAnsi="仿宋_GB2312" w:eastAsia="仿宋_GB2312" w:cs="仿宋_GB2312"/>
          <w:sz w:val="30"/>
          <w:szCs w:val="30"/>
          <w:u w:val="single"/>
          <w:lang w:val="en-US" w:eastAsia="zh-CN"/>
        </w:rPr>
        <w:t>2人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。其中：上年结转结余</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%；一般公共预算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463.36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100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%；政府性基金预算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%；国有资本经营预算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%；财政专户管理资金</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%；事业收入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%；事业单位经营收入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%；上级补助收入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%；附属单位上缴收入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%；其他收入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pStyle w:val="3"/>
        <w:spacing w:line="600" w:lineRule="exact"/>
        <w:ind w:firstLine="600" w:firstLineChars="200"/>
        <w:rPr>
          <w:rFonts w:hint="eastAsia" w:ascii="黑体" w:hAnsi="黑体" w:eastAsia="黑体" w:cs="仿宋_GB2312"/>
          <w:b w:val="0"/>
          <w:sz w:val="30"/>
          <w:szCs w:val="30"/>
        </w:rPr>
      </w:pPr>
      <w:bookmarkStart w:id="6" w:name="_Toc78784573"/>
      <w:r>
        <w:rPr>
          <w:rFonts w:hint="eastAsia" w:ascii="黑体" w:hAnsi="黑体" w:eastAsia="黑体" w:cs="仿宋_GB2312"/>
          <w:b w:val="0"/>
          <w:sz w:val="30"/>
          <w:szCs w:val="30"/>
        </w:rPr>
        <w:t>三、关于</w:t>
      </w:r>
      <w:r>
        <w:rPr>
          <w:rFonts w:ascii="黑体" w:hAnsi="黑体" w:eastAsia="黑体" w:cs="仿宋_GB2312"/>
          <w:b w:val="0"/>
          <w:sz w:val="30"/>
          <w:szCs w:val="30"/>
        </w:rPr>
        <w:t>支出</w:t>
      </w:r>
      <w:r>
        <w:rPr>
          <w:rFonts w:hint="eastAsia" w:ascii="黑体" w:hAnsi="黑体" w:eastAsia="黑体" w:cs="仿宋_GB2312"/>
          <w:b w:val="0"/>
          <w:sz w:val="30"/>
          <w:szCs w:val="30"/>
        </w:rPr>
        <w:t>总体情况表</w:t>
      </w:r>
      <w:bookmarkEnd w:id="6"/>
      <w:r>
        <w:rPr>
          <w:rFonts w:hint="eastAsia" w:ascii="黑体" w:hAnsi="黑体" w:eastAsia="黑体" w:cs="仿宋_GB2312"/>
          <w:b w:val="0"/>
          <w:sz w:val="30"/>
          <w:szCs w:val="30"/>
        </w:rPr>
        <w:t>的说明</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天津市</w:t>
      </w:r>
      <w:r>
        <w:rPr>
          <w:rFonts w:hint="eastAsia" w:ascii="仿宋_GB2312" w:hAnsi="仿宋_GB2312" w:eastAsia="仿宋_GB2312" w:cs="仿宋_GB2312"/>
          <w:sz w:val="30"/>
          <w:szCs w:val="30"/>
        </w:rPr>
        <w:t>北辰区人民政府合作交流办公室部门2023年支出预算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463.36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万元，与2022年预算相比增加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42.31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新增人员</w:t>
      </w:r>
      <w:r>
        <w:rPr>
          <w:rFonts w:hint="eastAsia" w:ascii="仿宋_GB2312" w:hAnsi="仿宋_GB2312" w:eastAsia="仿宋_GB2312" w:cs="仿宋_GB2312"/>
          <w:sz w:val="30"/>
          <w:szCs w:val="30"/>
          <w:u w:val="single"/>
          <w:lang w:val="en-US" w:eastAsia="zh-CN"/>
        </w:rPr>
        <w:t>2人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。其中：基本支出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413.35</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89.21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%；项目支出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50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10.79</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%；事业单位经营支出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%；上缴上级支出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%；对附属单位补助支出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w:t>
      </w:r>
    </w:p>
    <w:p>
      <w:pPr>
        <w:pStyle w:val="3"/>
        <w:spacing w:line="600" w:lineRule="exact"/>
        <w:ind w:firstLine="600" w:firstLineChars="200"/>
        <w:rPr>
          <w:rFonts w:hint="eastAsia" w:ascii="黑体" w:hAnsi="黑体" w:eastAsia="黑体"/>
          <w:b w:val="0"/>
          <w:sz w:val="30"/>
          <w:szCs w:val="30"/>
        </w:rPr>
      </w:pPr>
      <w:bookmarkStart w:id="7" w:name="_Toc78784574"/>
      <w:r>
        <w:rPr>
          <w:rFonts w:hint="eastAsia" w:ascii="黑体" w:hAnsi="黑体" w:eastAsia="黑体"/>
          <w:b w:val="0"/>
          <w:sz w:val="30"/>
          <w:szCs w:val="30"/>
        </w:rPr>
        <w:t>四、关于财政拨款收支总体情况表</w:t>
      </w:r>
      <w:bookmarkEnd w:id="7"/>
      <w:r>
        <w:rPr>
          <w:rFonts w:hint="eastAsia" w:ascii="黑体" w:hAnsi="黑体" w:eastAsia="黑体"/>
          <w:b w:val="0"/>
          <w:sz w:val="30"/>
          <w:szCs w:val="30"/>
        </w:rPr>
        <w:t>的说明</w:t>
      </w:r>
    </w:p>
    <w:p>
      <w:pPr>
        <w:spacing w:line="600"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天津市</w:t>
      </w:r>
      <w:r>
        <w:rPr>
          <w:rFonts w:hint="eastAsia" w:ascii="仿宋_GB2312" w:hAnsi="仿宋_GB2312" w:eastAsia="仿宋_GB2312" w:cs="仿宋_GB2312"/>
          <w:sz w:val="30"/>
          <w:szCs w:val="30"/>
        </w:rPr>
        <w:t>北辰区人民政府合作交流办公室部门2023年财政拨款收入预算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463.36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万元，与2022年预算相比增加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42.31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新增人员</w:t>
      </w:r>
      <w:r>
        <w:rPr>
          <w:rFonts w:hint="eastAsia" w:ascii="仿宋_GB2312" w:hAnsi="仿宋_GB2312" w:eastAsia="仿宋_GB2312" w:cs="仿宋_GB2312"/>
          <w:sz w:val="30"/>
          <w:szCs w:val="30"/>
          <w:u w:val="single"/>
          <w:lang w:val="en-US" w:eastAsia="zh-CN"/>
        </w:rPr>
        <w:t>2人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。收入包括：一般公共预算拨款收入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463.36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万元、政府性基金预算拨款收入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万元、国有资本经营预算拨款收入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万元、上年财政结转结余</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万元。2023年财政拨款支出预算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463.36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万元，与2022年预算相比增加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42.31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sz w:val="30"/>
          <w:szCs w:val="30"/>
          <w:u w:val="single"/>
          <w:lang w:eastAsia="zh-CN"/>
        </w:rPr>
        <w:t>新增人员</w:t>
      </w:r>
      <w:r>
        <w:rPr>
          <w:rFonts w:hint="eastAsia" w:ascii="仿宋_GB2312" w:hAnsi="仿宋_GB2312" w:eastAsia="仿宋_GB2312" w:cs="仿宋_GB2312"/>
          <w:sz w:val="30"/>
          <w:szCs w:val="30"/>
          <w:u w:val="single"/>
          <w:lang w:val="en-US" w:eastAsia="zh-CN"/>
        </w:rPr>
        <w:t>2人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。支出包括：一般公共服务支出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440.16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万元、卫生健康支出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23.20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w:t>
      </w:r>
    </w:p>
    <w:p>
      <w:pPr>
        <w:pStyle w:val="3"/>
        <w:spacing w:line="600" w:lineRule="exact"/>
        <w:ind w:firstLine="600" w:firstLineChars="200"/>
        <w:rPr>
          <w:rFonts w:hint="eastAsia" w:ascii="黑体" w:hAnsi="黑体" w:eastAsia="黑体"/>
          <w:b w:val="0"/>
          <w:sz w:val="30"/>
          <w:szCs w:val="30"/>
        </w:rPr>
      </w:pPr>
      <w:bookmarkStart w:id="8" w:name="_Toc78784575"/>
      <w:r>
        <w:rPr>
          <w:rFonts w:ascii="黑体" w:hAnsi="黑体" w:eastAsia="黑体"/>
          <w:b w:val="0"/>
          <w:sz w:val="30"/>
          <w:szCs w:val="30"/>
        </w:rPr>
        <w:t>五</w:t>
      </w:r>
      <w:r>
        <w:rPr>
          <w:rFonts w:hint="eastAsia" w:ascii="黑体" w:hAnsi="黑体" w:eastAsia="黑体"/>
          <w:b w:val="0"/>
          <w:sz w:val="30"/>
          <w:szCs w:val="30"/>
        </w:rPr>
        <w:t>、关于</w:t>
      </w:r>
      <w:r>
        <w:rPr>
          <w:rFonts w:ascii="黑体" w:hAnsi="黑体" w:eastAsia="黑体"/>
          <w:b w:val="0"/>
          <w:sz w:val="30"/>
          <w:szCs w:val="30"/>
        </w:rPr>
        <w:t>一般公共预算支出</w:t>
      </w:r>
      <w:r>
        <w:rPr>
          <w:rFonts w:hint="eastAsia" w:ascii="黑体" w:hAnsi="黑体" w:eastAsia="黑体"/>
          <w:b w:val="0"/>
          <w:sz w:val="30"/>
          <w:szCs w:val="30"/>
        </w:rPr>
        <w:t>情况表</w:t>
      </w:r>
      <w:bookmarkEnd w:id="8"/>
      <w:r>
        <w:rPr>
          <w:rFonts w:hint="eastAsia" w:ascii="黑体" w:hAnsi="黑体" w:eastAsia="黑体"/>
          <w:b w:val="0"/>
          <w:sz w:val="30"/>
          <w:szCs w:val="30"/>
        </w:rPr>
        <w:t>的说明</w:t>
      </w:r>
    </w:p>
    <w:p>
      <w:pPr>
        <w:spacing w:line="600" w:lineRule="exact"/>
        <w:ind w:left="480" w:leftChars="200"/>
        <w:rPr>
          <w:rFonts w:hint="eastAsia" w:ascii="楷体" w:hAnsi="楷体" w:eastAsia="楷体" w:cs="仿宋_GB2312"/>
          <w:b/>
          <w:sz w:val="30"/>
          <w:szCs w:val="30"/>
        </w:rPr>
      </w:pPr>
      <w:r>
        <w:rPr>
          <w:rFonts w:hint="eastAsia" w:ascii="楷体" w:hAnsi="楷体" w:eastAsia="楷体" w:cs="仿宋_GB2312"/>
          <w:b/>
          <w:sz w:val="30"/>
          <w:szCs w:val="30"/>
        </w:rPr>
        <w:t>（一）总体情况。</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天津市</w:t>
      </w:r>
      <w:r>
        <w:rPr>
          <w:rFonts w:hint="eastAsia" w:ascii="仿宋_GB2312" w:hAnsi="仿宋_GB2312" w:eastAsia="仿宋_GB2312" w:cs="仿宋_GB2312"/>
          <w:sz w:val="30"/>
          <w:szCs w:val="30"/>
        </w:rPr>
        <w:t>北辰区人民政府合作交流办公室部门2023年一般公共预算支出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463.36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万元，与2022年预算相比增加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42.31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新增人员</w:t>
      </w:r>
      <w:r>
        <w:rPr>
          <w:rFonts w:hint="eastAsia" w:ascii="仿宋_GB2312" w:hAnsi="仿宋_GB2312" w:eastAsia="仿宋_GB2312" w:cs="仿宋_GB2312"/>
          <w:sz w:val="30"/>
          <w:szCs w:val="30"/>
          <w:u w:val="single"/>
          <w:lang w:val="en-US" w:eastAsia="zh-CN"/>
        </w:rPr>
        <w:t>2人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600" w:lineRule="exact"/>
        <w:ind w:firstLine="602" w:firstLineChars="200"/>
        <w:rPr>
          <w:rFonts w:ascii="楷体" w:hAnsi="楷体" w:eastAsia="楷体"/>
          <w:sz w:val="30"/>
          <w:szCs w:val="30"/>
        </w:rPr>
      </w:pPr>
      <w:r>
        <w:rPr>
          <w:rFonts w:hint="eastAsia" w:ascii="楷体" w:hAnsi="楷体" w:eastAsia="楷体" w:cs="仿宋_GB2312"/>
          <w:b/>
          <w:sz w:val="30"/>
          <w:szCs w:val="30"/>
        </w:rPr>
        <w:t>（二）</w:t>
      </w:r>
      <w:r>
        <w:rPr>
          <w:rFonts w:ascii="楷体" w:hAnsi="楷体" w:eastAsia="楷体" w:cs="仿宋_GB2312"/>
          <w:b/>
          <w:sz w:val="30"/>
          <w:szCs w:val="30"/>
        </w:rPr>
        <w:t>具体情况</w:t>
      </w:r>
      <w:r>
        <w:rPr>
          <w:rFonts w:hint="eastAsia" w:ascii="楷体" w:hAnsi="楷体" w:eastAsia="楷体" w:cs="仿宋_GB2312"/>
          <w:b/>
          <w:sz w:val="30"/>
          <w:szCs w:val="30"/>
        </w:rPr>
        <w:t>。</w:t>
      </w:r>
    </w:p>
    <w:p>
      <w:pPr>
        <w:numPr>
          <w:ilvl w:val="0"/>
          <w:numId w:val="1"/>
        </w:num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“一般公共服务支出</w:t>
      </w:r>
      <w:r>
        <w:rPr>
          <w:rFonts w:hint="eastAsia" w:ascii="仿宋_GB2312" w:hAnsi="仿宋_GB2312" w:eastAsia="仿宋_GB2312" w:cs="仿宋_GB2312"/>
          <w:sz w:val="30"/>
          <w:szCs w:val="30"/>
          <w:lang w:eastAsia="zh-CN"/>
        </w:rPr>
        <w:t>（类）</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440.16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年预算相比</w:t>
      </w:r>
      <w:r>
        <w:rPr>
          <w:rFonts w:hint="eastAsia" w:ascii="仿宋_GB2312" w:hAnsi="仿宋_GB2312" w:eastAsia="仿宋_GB2312" w:cs="仿宋_GB2312"/>
          <w:sz w:val="30"/>
          <w:szCs w:val="30"/>
          <w:lang w:eastAsia="zh-CN"/>
        </w:rPr>
        <w:t>增加</w:t>
      </w:r>
      <w:r>
        <w:rPr>
          <w:rFonts w:hint="eastAsia" w:ascii="仿宋_GB2312" w:hAnsi="仿宋_GB2312" w:eastAsia="仿宋_GB2312" w:cs="仿宋_GB2312"/>
          <w:sz w:val="30"/>
          <w:szCs w:val="30"/>
          <w:highlight w:val="none"/>
          <w:u w:val="single"/>
          <w:lang w:val="en-US" w:eastAsia="zh-CN"/>
        </w:rPr>
        <w:t>63.01</w:t>
      </w:r>
      <w:r>
        <w:rPr>
          <w:rFonts w:hint="eastAsia" w:ascii="仿宋_GB2312" w:hAnsi="仿宋_GB2312" w:eastAsia="仿宋_GB2312" w:cs="仿宋_GB2312"/>
          <w:sz w:val="30"/>
          <w:szCs w:val="30"/>
          <w:u w:val="none"/>
          <w:lang w:eastAsia="zh-CN"/>
        </w:rPr>
        <w:t>万</w:t>
      </w:r>
      <w:r>
        <w:rPr>
          <w:rFonts w:hint="eastAsia" w:ascii="仿宋_GB2312" w:hAnsi="仿宋_GB2312" w:eastAsia="仿宋_GB2312" w:cs="仿宋_GB2312"/>
          <w:sz w:val="30"/>
          <w:szCs w:val="30"/>
        </w:rPr>
        <w:t>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人员变动及工资标准调整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，其中：</w:t>
      </w:r>
    </w:p>
    <w:p>
      <w:pPr>
        <w:spacing w:line="580" w:lineRule="exact"/>
        <w:ind w:firstLine="600" w:firstLineChars="200"/>
        <w:rPr>
          <w:rFonts w:hint="eastAsia" w:ascii="仿宋_GB2312" w:hAnsi="仿宋_GB2312" w:eastAsia="仿宋_GB2312" w:cs="仿宋_GB2312"/>
          <w:sz w:val="30"/>
          <w:szCs w:val="30"/>
          <w:u w:val="none"/>
          <w:lang w:eastAsia="zh-CN"/>
        </w:rPr>
      </w:pPr>
      <w:r>
        <w:rPr>
          <w:rFonts w:hint="eastAsia" w:ascii="仿宋_GB2312" w:hAnsi="仿宋_GB2312" w:eastAsia="仿宋_GB2312" w:cs="仿宋_GB2312"/>
          <w:sz w:val="30"/>
          <w:szCs w:val="30"/>
        </w:rPr>
        <w:t>“商贸事务</w:t>
      </w:r>
      <w:r>
        <w:rPr>
          <w:rFonts w:hint="eastAsia" w:ascii="仿宋_GB2312" w:hAnsi="仿宋_GB2312" w:eastAsia="仿宋_GB2312" w:cs="仿宋_GB2312"/>
          <w:sz w:val="30"/>
          <w:szCs w:val="30"/>
          <w:lang w:eastAsia="zh-CN"/>
        </w:rPr>
        <w:t>（款）</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440.16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万元，包括：“行政运行</w:t>
      </w:r>
      <w:r>
        <w:rPr>
          <w:rFonts w:hint="eastAsia" w:ascii="仿宋_GB2312" w:hAnsi="仿宋_GB2312" w:eastAsia="仿宋_GB2312" w:cs="仿宋_GB2312"/>
          <w:sz w:val="30"/>
          <w:szCs w:val="30"/>
          <w:lang w:eastAsia="zh-CN"/>
        </w:rPr>
        <w:t>（项）</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390.16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万元，主要用于</w:t>
      </w:r>
      <w:r>
        <w:rPr>
          <w:rFonts w:hint="eastAsia" w:ascii="仿宋_GB2312" w:hAnsi="仿宋_GB2312" w:eastAsia="仿宋_GB2312" w:cs="仿宋_GB2312"/>
          <w:sz w:val="30"/>
          <w:szCs w:val="30"/>
          <w:u w:val="single"/>
        </w:rPr>
        <w:t xml:space="preserve"> 工资福利和日常办公支出   </w:t>
      </w:r>
      <w:r>
        <w:rPr>
          <w:rFonts w:hint="eastAsia" w:ascii="仿宋_GB2312" w:hAnsi="仿宋_GB2312" w:eastAsia="仿宋_GB2312" w:cs="仿宋_GB2312"/>
          <w:sz w:val="30"/>
          <w:szCs w:val="30"/>
        </w:rPr>
        <w:t>；“招商引资</w:t>
      </w:r>
      <w:r>
        <w:rPr>
          <w:rFonts w:hint="eastAsia" w:ascii="仿宋_GB2312" w:hAnsi="仿宋_GB2312" w:eastAsia="仿宋_GB2312" w:cs="仿宋_GB2312"/>
          <w:sz w:val="30"/>
          <w:szCs w:val="30"/>
          <w:lang w:eastAsia="zh-CN"/>
        </w:rPr>
        <w:t>（项）</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50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万元，主要用于</w:t>
      </w:r>
      <w:r>
        <w:rPr>
          <w:rFonts w:hint="eastAsia" w:ascii="仿宋_GB2312" w:hAnsi="仿宋_GB2312" w:eastAsia="仿宋_GB2312" w:cs="仿宋_GB2312"/>
          <w:sz w:val="30"/>
          <w:szCs w:val="30"/>
          <w:u w:val="single"/>
        </w:rPr>
        <w:t xml:space="preserve"> 全年开展招商引资活动差旅费、会议费、接待费等项支出  </w:t>
      </w:r>
      <w:r>
        <w:rPr>
          <w:rFonts w:hint="eastAsia" w:ascii="仿宋_GB2312" w:hAnsi="仿宋_GB2312" w:eastAsia="仿宋_GB2312" w:cs="仿宋_GB2312"/>
          <w:sz w:val="30"/>
          <w:szCs w:val="30"/>
          <w:u w:val="none"/>
        </w:rPr>
        <w:t xml:space="preserve"> </w:t>
      </w:r>
      <w:r>
        <w:rPr>
          <w:rFonts w:hint="eastAsia" w:ascii="仿宋_GB2312" w:hAnsi="仿宋_GB2312" w:eastAsia="仿宋_GB2312" w:cs="仿宋_GB2312"/>
          <w:sz w:val="30"/>
          <w:szCs w:val="30"/>
          <w:u w:val="none"/>
          <w:lang w:eastAsia="zh-CN"/>
        </w:rPr>
        <w:t>。</w:t>
      </w:r>
    </w:p>
    <w:p>
      <w:pPr>
        <w:numPr>
          <w:ilvl w:val="0"/>
          <w:numId w:val="1"/>
        </w:num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“卫生健康支出</w:t>
      </w:r>
      <w:r>
        <w:rPr>
          <w:rFonts w:hint="eastAsia" w:ascii="仿宋_GB2312" w:hAnsi="仿宋_GB2312" w:eastAsia="仿宋_GB2312" w:cs="仿宋_GB2312"/>
          <w:sz w:val="30"/>
          <w:szCs w:val="30"/>
          <w:lang w:eastAsia="zh-CN"/>
        </w:rPr>
        <w:t>（类）</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23.2</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年预算相比</w:t>
      </w:r>
      <w:r>
        <w:rPr>
          <w:rFonts w:hint="eastAsia" w:ascii="仿宋_GB2312" w:hAnsi="仿宋_GB2312" w:eastAsia="仿宋_GB2312" w:cs="仿宋_GB2312"/>
          <w:sz w:val="30"/>
          <w:szCs w:val="30"/>
          <w:lang w:eastAsia="zh-CN"/>
        </w:rPr>
        <w:t>增加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4.45</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万</w:t>
      </w:r>
      <w:r>
        <w:rPr>
          <w:rFonts w:hint="eastAsia" w:ascii="仿宋_GB2312" w:hAnsi="仿宋_GB2312" w:eastAsia="仿宋_GB2312" w:cs="仿宋_GB2312"/>
          <w:sz w:val="30"/>
          <w:szCs w:val="30"/>
        </w:rPr>
        <w:t>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人员变动及工资标准调整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，其中：</w:t>
      </w:r>
    </w:p>
    <w:p>
      <w:pPr>
        <w:numPr>
          <w:ilvl w:val="0"/>
          <w:numId w:val="0"/>
        </w:num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行政事业单位医疗（款）</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23.2</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万元，包括：“行政单位医疗（项）”</w:t>
      </w:r>
      <w:r>
        <w:rPr>
          <w:rFonts w:hint="eastAsia" w:ascii="仿宋_GB2312" w:hAnsi="仿宋_GB2312" w:eastAsia="仿宋_GB2312" w:cs="仿宋_GB2312"/>
          <w:sz w:val="30"/>
          <w:szCs w:val="30"/>
          <w:u w:val="single"/>
          <w:lang w:val="en-US" w:eastAsia="zh-CN"/>
        </w:rPr>
        <w:t>19.49</w:t>
      </w:r>
      <w:r>
        <w:rPr>
          <w:rFonts w:hint="eastAsia" w:ascii="仿宋_GB2312" w:hAnsi="仿宋_GB2312" w:eastAsia="仿宋_GB2312" w:cs="仿宋_GB2312"/>
          <w:sz w:val="30"/>
          <w:szCs w:val="30"/>
        </w:rPr>
        <w:t>万元，主要用于</w:t>
      </w:r>
      <w:r>
        <w:rPr>
          <w:rFonts w:hint="eastAsia" w:ascii="仿宋_GB2312" w:hAnsi="仿宋_GB2312" w:eastAsia="仿宋_GB2312" w:cs="仿宋_GB2312"/>
          <w:sz w:val="30"/>
          <w:szCs w:val="30"/>
          <w:u w:val="single"/>
        </w:rPr>
        <w:t>单位医疗保险支出</w:t>
      </w:r>
      <w:r>
        <w:rPr>
          <w:rFonts w:hint="eastAsia" w:ascii="仿宋_GB2312" w:hAnsi="仿宋_GB2312" w:eastAsia="仿宋_GB2312" w:cs="仿宋_GB2312"/>
          <w:sz w:val="30"/>
          <w:szCs w:val="30"/>
        </w:rPr>
        <w:t>；公务员医疗补助（项）</w:t>
      </w:r>
      <w:r>
        <w:rPr>
          <w:rFonts w:hint="eastAsia" w:ascii="仿宋_GB2312" w:hAnsi="仿宋_GB2312" w:eastAsia="仿宋_GB2312" w:cs="仿宋_GB2312"/>
          <w:sz w:val="30"/>
          <w:szCs w:val="30"/>
          <w:u w:val="single"/>
          <w:lang w:val="en-US" w:eastAsia="zh-CN"/>
        </w:rPr>
        <w:t>3.71</w:t>
      </w:r>
      <w:r>
        <w:rPr>
          <w:rFonts w:hint="eastAsia" w:ascii="仿宋_GB2312" w:hAnsi="仿宋_GB2312" w:eastAsia="仿宋_GB2312" w:cs="仿宋_GB2312"/>
          <w:sz w:val="30"/>
          <w:szCs w:val="30"/>
        </w:rPr>
        <w:t>万元，主要用于</w:t>
      </w:r>
      <w:r>
        <w:rPr>
          <w:rFonts w:hint="eastAsia" w:ascii="仿宋_GB2312" w:hAnsi="仿宋_GB2312" w:eastAsia="仿宋_GB2312" w:cs="仿宋_GB2312"/>
          <w:sz w:val="30"/>
          <w:szCs w:val="30"/>
          <w:u w:val="single"/>
        </w:rPr>
        <w:t>公务员医疗补助。</w:t>
      </w:r>
    </w:p>
    <w:p>
      <w:pPr>
        <w:pStyle w:val="3"/>
        <w:spacing w:line="600" w:lineRule="exact"/>
        <w:ind w:firstLine="600" w:firstLineChars="200"/>
        <w:rPr>
          <w:rFonts w:ascii="黑体" w:hAnsi="黑体" w:eastAsia="黑体"/>
          <w:b w:val="0"/>
          <w:sz w:val="30"/>
          <w:szCs w:val="30"/>
        </w:rPr>
      </w:pPr>
      <w:bookmarkStart w:id="9" w:name="_Toc78784576"/>
      <w:r>
        <w:rPr>
          <w:rFonts w:ascii="黑体" w:hAnsi="黑体" w:eastAsia="黑体"/>
          <w:b w:val="0"/>
          <w:sz w:val="30"/>
          <w:szCs w:val="30"/>
        </w:rPr>
        <w:t>六、</w:t>
      </w:r>
      <w:r>
        <w:rPr>
          <w:rFonts w:hint="eastAsia" w:ascii="黑体" w:hAnsi="黑体" w:eastAsia="黑体"/>
          <w:b w:val="0"/>
          <w:sz w:val="30"/>
          <w:szCs w:val="30"/>
        </w:rPr>
        <w:t>关于</w:t>
      </w:r>
      <w:r>
        <w:rPr>
          <w:rFonts w:ascii="黑体" w:hAnsi="黑体" w:eastAsia="黑体"/>
          <w:b w:val="0"/>
          <w:sz w:val="30"/>
          <w:szCs w:val="30"/>
        </w:rPr>
        <w:t>一般公共预算基本支出情况</w:t>
      </w:r>
      <w:bookmarkEnd w:id="9"/>
      <w:r>
        <w:rPr>
          <w:rFonts w:hint="eastAsia" w:ascii="黑体" w:hAnsi="黑体" w:eastAsia="黑体"/>
          <w:b w:val="0"/>
          <w:sz w:val="30"/>
          <w:szCs w:val="30"/>
        </w:rPr>
        <w:t>表的说明</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天津市</w:t>
      </w:r>
      <w:r>
        <w:rPr>
          <w:rFonts w:hint="eastAsia" w:ascii="仿宋_GB2312" w:hAnsi="仿宋_GB2312" w:eastAsia="仿宋_GB2312" w:cs="仿宋_GB2312"/>
          <w:sz w:val="30"/>
          <w:szCs w:val="30"/>
        </w:rPr>
        <w:t>北辰区人民政府合作交流办公室部门一般公共预算基本支出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390.16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万元，与2022年预算相比增加</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24.26</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人员变动及工资标准调整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。其中：</w:t>
      </w:r>
    </w:p>
    <w:p>
      <w:pPr>
        <w:spacing w:line="60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人员经费</w:t>
      </w:r>
      <w:r>
        <w:rPr>
          <w:rFonts w:hint="eastAsia" w:ascii="仿宋_GB2312" w:hAnsi="仿宋_GB2312" w:eastAsia="仿宋_GB2312" w:cs="仿宋_GB2312"/>
          <w:sz w:val="30"/>
          <w:szCs w:val="30"/>
          <w:highlight w:val="none"/>
          <w:u w:val="single"/>
          <w:lang w:val="en-US" w:eastAsia="zh-CN"/>
        </w:rPr>
        <w:t>342.35</w:t>
      </w:r>
      <w:r>
        <w:rPr>
          <w:rFonts w:hint="eastAsia" w:ascii="仿宋_GB2312" w:hAnsi="仿宋_GB2312" w:eastAsia="仿宋_GB2312" w:cs="仿宋_GB2312"/>
          <w:sz w:val="30"/>
          <w:szCs w:val="30"/>
        </w:rPr>
        <w:t>万元，主要包括：</w:t>
      </w:r>
      <w:r>
        <w:rPr>
          <w:rFonts w:hint="eastAsia" w:ascii="仿宋_GB2312" w:hAnsi="仿宋_GB2312" w:eastAsia="仿宋_GB2312" w:cs="仿宋_GB2312"/>
          <w:sz w:val="30"/>
          <w:szCs w:val="30"/>
          <w:lang w:eastAsia="zh-CN"/>
        </w:rPr>
        <w:t>基本工资、津贴补贴、奖金、机关事业单位基本养老保险缴费等。</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公用经费</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highlight w:val="none"/>
          <w:u w:val="single"/>
          <w:lang w:val="en-US" w:eastAsia="zh-CN"/>
        </w:rPr>
        <w:t>47.81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万元，主要包括：</w:t>
      </w:r>
      <w:r>
        <w:rPr>
          <w:rFonts w:hint="eastAsia" w:ascii="仿宋_GB2312" w:hAnsi="仿宋_GB2312" w:eastAsia="仿宋_GB2312" w:cs="仿宋_GB2312"/>
          <w:sz w:val="30"/>
          <w:szCs w:val="30"/>
          <w:lang w:eastAsia="zh-CN"/>
        </w:rPr>
        <w:t>办公费、印刷费、水费等。</w:t>
      </w:r>
    </w:p>
    <w:p>
      <w:pPr>
        <w:pStyle w:val="3"/>
        <w:spacing w:line="600" w:lineRule="exact"/>
        <w:ind w:firstLine="600" w:firstLineChars="200"/>
        <w:rPr>
          <w:rFonts w:hint="eastAsia" w:ascii="黑体" w:hAnsi="黑体" w:eastAsia="黑体"/>
          <w:b w:val="0"/>
          <w:sz w:val="30"/>
          <w:szCs w:val="30"/>
        </w:rPr>
      </w:pPr>
      <w:bookmarkStart w:id="10" w:name="_Toc78784577"/>
      <w:r>
        <w:rPr>
          <w:rFonts w:hint="eastAsia" w:ascii="黑体" w:hAnsi="黑体" w:eastAsia="黑体"/>
          <w:b w:val="0"/>
          <w:sz w:val="30"/>
          <w:szCs w:val="30"/>
        </w:rPr>
        <w:t>七、关于一般公共预算“三公”经费支出情况表的说明</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2023年一般公共预算“三公”经费安排</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5.2</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万元，与2022年预算相比减少</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4.95</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过紧日子缩减经费支出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。具体情况：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一、2023年因公出国（境）费预算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万元，与2022年预算相比增加（减少）</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本部门</w:t>
      </w:r>
      <w:r>
        <w:rPr>
          <w:rFonts w:hint="eastAsia" w:ascii="仿宋_GB2312" w:hAnsi="仿宋_GB2312" w:eastAsia="仿宋_GB2312" w:cs="仿宋_GB2312"/>
          <w:sz w:val="30"/>
          <w:szCs w:val="30"/>
          <w:u w:val="single"/>
        </w:rPr>
        <w:t>一般公共预算</w:t>
      </w:r>
      <w:r>
        <w:rPr>
          <w:rFonts w:hint="eastAsia" w:ascii="仿宋_GB2312" w:hAnsi="仿宋_GB2312" w:eastAsia="仿宋_GB2312" w:cs="仿宋_GB2312"/>
          <w:sz w:val="30"/>
          <w:szCs w:val="30"/>
          <w:u w:val="single"/>
          <w:lang w:eastAsia="zh-CN"/>
        </w:rPr>
        <w:t>未安排</w:t>
      </w:r>
      <w:r>
        <w:rPr>
          <w:rFonts w:hint="eastAsia" w:ascii="仿宋_GB2312" w:hAnsi="仿宋_GB2312" w:eastAsia="仿宋_GB2312" w:cs="仿宋_GB2312"/>
          <w:sz w:val="30"/>
          <w:szCs w:val="30"/>
          <w:u w:val="single"/>
        </w:rPr>
        <w:t xml:space="preserve">公出国（境）费预算   </w:t>
      </w:r>
      <w:r>
        <w:rPr>
          <w:rFonts w:hint="eastAsia" w:ascii="仿宋_GB2312" w:hAnsi="仿宋_GB2312" w:eastAsia="仿宋_GB2312" w:cs="仿宋_GB2312"/>
          <w:sz w:val="30"/>
          <w:szCs w:val="30"/>
        </w:rPr>
        <w:t>。</w:t>
      </w:r>
    </w:p>
    <w:p>
      <w:pPr>
        <w:spacing w:line="560" w:lineRule="exact"/>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二、2023年公务用车购置及运行费预算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万元，其中公务用车运行费</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万元，与2022年预算相比增加（减少）</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本部门</w:t>
      </w:r>
      <w:r>
        <w:rPr>
          <w:rFonts w:hint="eastAsia" w:ascii="仿宋_GB2312" w:hAnsi="仿宋_GB2312" w:eastAsia="仿宋_GB2312" w:cs="仿宋_GB2312"/>
          <w:sz w:val="30"/>
          <w:szCs w:val="30"/>
          <w:u w:val="single"/>
        </w:rPr>
        <w:t>一般公共预算</w:t>
      </w:r>
      <w:r>
        <w:rPr>
          <w:rFonts w:hint="eastAsia" w:ascii="仿宋_GB2312" w:hAnsi="仿宋_GB2312" w:eastAsia="仿宋_GB2312" w:cs="仿宋_GB2312"/>
          <w:sz w:val="30"/>
          <w:szCs w:val="30"/>
          <w:u w:val="single"/>
          <w:lang w:eastAsia="zh-CN"/>
        </w:rPr>
        <w:t>未安排</w:t>
      </w:r>
      <w:r>
        <w:rPr>
          <w:rFonts w:hint="eastAsia" w:ascii="仿宋_GB2312" w:hAnsi="仿宋_GB2312" w:eastAsia="仿宋_GB2312" w:cs="仿宋_GB2312"/>
          <w:sz w:val="30"/>
          <w:szCs w:val="30"/>
          <w:u w:val="single"/>
        </w:rPr>
        <w:t>公务用车</w:t>
      </w:r>
      <w:r>
        <w:rPr>
          <w:rFonts w:hint="eastAsia" w:ascii="仿宋_GB2312" w:hAnsi="仿宋_GB2312" w:eastAsia="仿宋_GB2312" w:cs="仿宋_GB2312"/>
          <w:sz w:val="30"/>
          <w:szCs w:val="30"/>
          <w:u w:val="single"/>
          <w:lang w:eastAsia="zh-CN"/>
        </w:rPr>
        <w:t>运行费</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；公务用车购置费</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万元，与2022年预算相比增加（减少）</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本部门</w:t>
      </w:r>
      <w:r>
        <w:rPr>
          <w:rFonts w:hint="eastAsia" w:ascii="仿宋_GB2312" w:hAnsi="仿宋_GB2312" w:eastAsia="仿宋_GB2312" w:cs="仿宋_GB2312"/>
          <w:sz w:val="30"/>
          <w:szCs w:val="30"/>
          <w:u w:val="single"/>
        </w:rPr>
        <w:t>一般公共预算</w:t>
      </w:r>
      <w:r>
        <w:rPr>
          <w:rFonts w:hint="eastAsia" w:ascii="仿宋_GB2312" w:hAnsi="仿宋_GB2312" w:eastAsia="仿宋_GB2312" w:cs="仿宋_GB2312"/>
          <w:sz w:val="30"/>
          <w:szCs w:val="30"/>
          <w:u w:val="single"/>
          <w:lang w:eastAsia="zh-CN"/>
        </w:rPr>
        <w:t>未安排</w:t>
      </w:r>
      <w:r>
        <w:rPr>
          <w:rFonts w:hint="eastAsia" w:ascii="仿宋_GB2312" w:hAnsi="仿宋_GB2312" w:eastAsia="仿宋_GB2312" w:cs="仿宋_GB2312"/>
          <w:sz w:val="30"/>
          <w:szCs w:val="30"/>
          <w:u w:val="single"/>
        </w:rPr>
        <w:t>公务用车购置</w:t>
      </w:r>
      <w:r>
        <w:rPr>
          <w:rFonts w:hint="eastAsia" w:ascii="仿宋_GB2312" w:hAnsi="仿宋_GB2312" w:eastAsia="仿宋_GB2312" w:cs="仿宋_GB2312"/>
          <w:sz w:val="30"/>
          <w:szCs w:val="30"/>
          <w:u w:val="single"/>
          <w:lang w:eastAsia="zh-CN"/>
        </w:rPr>
        <w:t>费</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560" w:lineRule="exact"/>
        <w:ind w:firstLine="64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三、2023年公务接待费预算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5.2</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万元，与2022年预算相比减少</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4.95</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万元，主要原因是</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过紧日子缩减经费支出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pStyle w:val="3"/>
        <w:spacing w:line="600" w:lineRule="exact"/>
        <w:ind w:firstLine="600" w:firstLineChars="200"/>
        <w:rPr>
          <w:rFonts w:hint="eastAsia" w:ascii="黑体" w:hAnsi="黑体" w:eastAsia="黑体"/>
          <w:b w:val="0"/>
          <w:sz w:val="30"/>
          <w:szCs w:val="30"/>
        </w:rPr>
      </w:pPr>
      <w:r>
        <w:rPr>
          <w:rFonts w:hint="eastAsia" w:ascii="黑体" w:hAnsi="黑体" w:eastAsia="黑体"/>
          <w:b w:val="0"/>
          <w:sz w:val="30"/>
          <w:szCs w:val="30"/>
        </w:rPr>
        <w:t>八</w:t>
      </w:r>
      <w:r>
        <w:rPr>
          <w:rFonts w:ascii="黑体" w:hAnsi="黑体" w:eastAsia="黑体"/>
          <w:b w:val="0"/>
          <w:sz w:val="30"/>
          <w:szCs w:val="30"/>
        </w:rPr>
        <w:t>、</w:t>
      </w:r>
      <w:r>
        <w:rPr>
          <w:rFonts w:hint="eastAsia" w:ascii="黑体" w:hAnsi="黑体" w:eastAsia="黑体"/>
          <w:b w:val="0"/>
          <w:sz w:val="30"/>
          <w:szCs w:val="30"/>
        </w:rPr>
        <w:t>关于</w:t>
      </w:r>
      <w:r>
        <w:rPr>
          <w:rFonts w:ascii="黑体" w:hAnsi="黑体" w:eastAsia="黑体"/>
          <w:b w:val="0"/>
          <w:sz w:val="30"/>
          <w:szCs w:val="30"/>
        </w:rPr>
        <w:t>政府性基金预算</w:t>
      </w:r>
      <w:r>
        <w:rPr>
          <w:rFonts w:hint="eastAsia" w:ascii="黑体" w:hAnsi="黑体" w:eastAsia="黑体"/>
          <w:b w:val="0"/>
          <w:sz w:val="30"/>
          <w:szCs w:val="30"/>
        </w:rPr>
        <w:t>支出</w:t>
      </w:r>
      <w:r>
        <w:rPr>
          <w:rFonts w:ascii="黑体" w:hAnsi="黑体" w:eastAsia="黑体"/>
          <w:b w:val="0"/>
          <w:sz w:val="30"/>
          <w:szCs w:val="30"/>
        </w:rPr>
        <w:t>情况</w:t>
      </w:r>
      <w:bookmarkEnd w:id="10"/>
      <w:r>
        <w:rPr>
          <w:rFonts w:hint="eastAsia" w:ascii="黑体" w:hAnsi="黑体" w:eastAsia="黑体"/>
          <w:b w:val="0"/>
          <w:sz w:val="30"/>
          <w:szCs w:val="30"/>
        </w:rPr>
        <w:t>表的说明</w:t>
      </w:r>
    </w:p>
    <w:p>
      <w:pPr>
        <w:spacing w:line="560" w:lineRule="exact"/>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天津市北辰区人民政府合作交流办公室</w:t>
      </w:r>
      <w:r>
        <w:rPr>
          <w:rFonts w:hint="eastAsia" w:ascii="仿宋_GB2312" w:hAnsi="仿宋_GB2312" w:eastAsia="仿宋_GB2312" w:cs="仿宋_GB2312"/>
          <w:sz w:val="30"/>
          <w:szCs w:val="30"/>
        </w:rPr>
        <w:t>预算中没有使用政府性基金预算安排的支出</w:t>
      </w:r>
      <w:r>
        <w:rPr>
          <w:rFonts w:hint="eastAsia" w:ascii="仿宋_GB2312" w:hAnsi="仿宋_GB2312" w:eastAsia="仿宋_GB2312" w:cs="仿宋_GB2312"/>
          <w:sz w:val="30"/>
          <w:szCs w:val="30"/>
          <w:lang w:eastAsia="zh-CN"/>
        </w:rPr>
        <w:t>。</w:t>
      </w:r>
    </w:p>
    <w:p>
      <w:pPr>
        <w:pStyle w:val="3"/>
        <w:spacing w:line="600" w:lineRule="exact"/>
        <w:ind w:firstLine="600" w:firstLineChars="200"/>
        <w:rPr>
          <w:rFonts w:hint="eastAsia" w:ascii="黑体" w:hAnsi="黑体" w:eastAsia="黑体"/>
          <w:b w:val="0"/>
          <w:sz w:val="30"/>
          <w:szCs w:val="30"/>
        </w:rPr>
      </w:pPr>
      <w:bookmarkStart w:id="11" w:name="_Toc78784578"/>
      <w:r>
        <w:rPr>
          <w:rFonts w:hint="eastAsia" w:ascii="黑体" w:hAnsi="黑体" w:eastAsia="黑体"/>
          <w:b w:val="0"/>
          <w:sz w:val="30"/>
          <w:szCs w:val="30"/>
        </w:rPr>
        <w:t>九、关于国有资本经营预算支出情况表</w:t>
      </w:r>
      <w:bookmarkEnd w:id="11"/>
      <w:r>
        <w:rPr>
          <w:rFonts w:hint="eastAsia" w:ascii="黑体" w:hAnsi="黑体" w:eastAsia="黑体"/>
          <w:b w:val="0"/>
          <w:sz w:val="30"/>
          <w:szCs w:val="30"/>
        </w:rPr>
        <w:t>的说明</w:t>
      </w:r>
    </w:p>
    <w:p>
      <w:pPr>
        <w:spacing w:line="560" w:lineRule="exact"/>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lang w:eastAsia="zh-CN"/>
        </w:rPr>
        <w:t>年天津市北辰区人民政府合作交流办公室预算中没有使用国有资本经营预算预算安排的支出。</w:t>
      </w:r>
    </w:p>
    <w:p>
      <w:pPr>
        <w:pStyle w:val="3"/>
        <w:spacing w:line="600" w:lineRule="exact"/>
        <w:ind w:firstLine="600" w:firstLineChars="200"/>
        <w:rPr>
          <w:rFonts w:hint="eastAsia" w:ascii="黑体" w:hAnsi="黑体" w:eastAsia="黑体"/>
          <w:b w:val="0"/>
          <w:sz w:val="30"/>
          <w:szCs w:val="30"/>
        </w:rPr>
      </w:pPr>
      <w:bookmarkStart w:id="12" w:name="_Toc78784579"/>
      <w:r>
        <w:rPr>
          <w:rFonts w:hint="eastAsia" w:ascii="黑体" w:hAnsi="黑体" w:eastAsia="黑体"/>
          <w:b w:val="0"/>
          <w:sz w:val="30"/>
          <w:szCs w:val="30"/>
        </w:rPr>
        <w:t>十、其他重要事项的情况说明</w:t>
      </w:r>
    </w:p>
    <w:p>
      <w:pPr>
        <w:spacing w:line="600" w:lineRule="exact"/>
        <w:ind w:left="480" w:leftChars="200"/>
        <w:rPr>
          <w:rFonts w:ascii="楷体" w:hAnsi="楷体" w:eastAsia="楷体" w:cs="仿宋_GB2312"/>
          <w:b/>
          <w:sz w:val="30"/>
          <w:szCs w:val="30"/>
        </w:rPr>
      </w:pPr>
      <w:r>
        <w:rPr>
          <w:rFonts w:hint="eastAsia" w:ascii="楷体" w:hAnsi="楷体" w:eastAsia="楷体" w:cs="仿宋_GB2312"/>
          <w:b/>
          <w:sz w:val="30"/>
          <w:szCs w:val="30"/>
        </w:rPr>
        <w:t>（一）</w:t>
      </w:r>
      <w:r>
        <w:rPr>
          <w:rFonts w:ascii="楷体" w:hAnsi="楷体" w:eastAsia="楷体" w:cs="仿宋_GB2312"/>
          <w:b/>
          <w:sz w:val="30"/>
          <w:szCs w:val="30"/>
        </w:rPr>
        <w:t>机关运行经费</w:t>
      </w:r>
      <w:bookmarkEnd w:id="12"/>
      <w:r>
        <w:rPr>
          <w:rFonts w:hint="eastAsia" w:ascii="楷体" w:hAnsi="楷体" w:eastAsia="楷体" w:cs="仿宋_GB2312"/>
          <w:b/>
          <w:sz w:val="30"/>
          <w:szCs w:val="30"/>
        </w:rPr>
        <w:t>。</w:t>
      </w:r>
    </w:p>
    <w:p>
      <w:pPr>
        <w:spacing w:line="60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本部门202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年的机关运行经费预算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47.81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万元，包括办公费</w:t>
      </w:r>
      <w:r>
        <w:rPr>
          <w:rFonts w:hint="eastAsia" w:ascii="仿宋_GB2312" w:hAnsi="仿宋_GB2312" w:eastAsia="仿宋_GB2312" w:cs="仿宋_GB2312"/>
          <w:sz w:val="30"/>
          <w:szCs w:val="30"/>
          <w:u w:val="single"/>
          <w:lang w:val="en-US" w:eastAsia="zh-CN"/>
        </w:rPr>
        <w:t>8.15</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水费</w:t>
      </w:r>
      <w:r>
        <w:rPr>
          <w:rFonts w:hint="eastAsia" w:ascii="仿宋_GB2312" w:hAnsi="仿宋_GB2312" w:eastAsia="仿宋_GB2312" w:cs="仿宋_GB2312"/>
          <w:sz w:val="30"/>
          <w:szCs w:val="30"/>
          <w:u w:val="single"/>
          <w:lang w:val="en-US" w:eastAsia="zh-CN"/>
        </w:rPr>
        <w:t>0.5</w:t>
      </w:r>
      <w:r>
        <w:rPr>
          <w:rFonts w:hint="eastAsia" w:ascii="仿宋_GB2312" w:hAnsi="仿宋_GB2312" w:eastAsia="仿宋_GB2312" w:cs="仿宋_GB2312"/>
          <w:sz w:val="30"/>
          <w:szCs w:val="30"/>
          <w:lang w:val="en-US" w:eastAsia="zh-CN"/>
        </w:rPr>
        <w:t>万元，电费</w:t>
      </w:r>
      <w:r>
        <w:rPr>
          <w:rFonts w:hint="eastAsia" w:ascii="仿宋_GB2312" w:hAnsi="仿宋_GB2312" w:eastAsia="仿宋_GB2312" w:cs="仿宋_GB2312"/>
          <w:sz w:val="30"/>
          <w:szCs w:val="30"/>
          <w:u w:val="single"/>
          <w:lang w:val="en-US" w:eastAsia="zh-CN"/>
        </w:rPr>
        <w:t>2.5</w:t>
      </w:r>
      <w:r>
        <w:rPr>
          <w:rFonts w:hint="eastAsia" w:ascii="仿宋_GB2312" w:hAnsi="仿宋_GB2312" w:eastAsia="仿宋_GB2312" w:cs="仿宋_GB2312"/>
          <w:sz w:val="30"/>
          <w:szCs w:val="30"/>
          <w:lang w:val="en-US" w:eastAsia="zh-CN"/>
        </w:rPr>
        <w:t>万元、取暖费</w:t>
      </w:r>
      <w:r>
        <w:rPr>
          <w:rFonts w:hint="eastAsia" w:ascii="仿宋_GB2312" w:hAnsi="仿宋_GB2312" w:eastAsia="仿宋_GB2312" w:cs="仿宋_GB2312"/>
          <w:sz w:val="30"/>
          <w:szCs w:val="30"/>
          <w:u w:val="single"/>
          <w:lang w:val="en-US" w:eastAsia="zh-CN"/>
        </w:rPr>
        <w:t>3.52</w:t>
      </w:r>
      <w:r>
        <w:rPr>
          <w:rFonts w:hint="eastAsia" w:ascii="仿宋_GB2312" w:hAnsi="仿宋_GB2312" w:eastAsia="仿宋_GB2312" w:cs="仿宋_GB2312"/>
          <w:sz w:val="30"/>
          <w:szCs w:val="30"/>
          <w:lang w:val="en-US" w:eastAsia="zh-CN"/>
        </w:rPr>
        <w:t>万元、培训费</w:t>
      </w:r>
      <w:r>
        <w:rPr>
          <w:rFonts w:hint="eastAsia" w:ascii="仿宋_GB2312" w:hAnsi="仿宋_GB2312" w:eastAsia="仿宋_GB2312" w:cs="仿宋_GB2312"/>
          <w:sz w:val="30"/>
          <w:szCs w:val="30"/>
          <w:u w:val="single"/>
          <w:lang w:val="en-US" w:eastAsia="zh-CN"/>
        </w:rPr>
        <w:t>0.96</w:t>
      </w:r>
      <w:r>
        <w:rPr>
          <w:rFonts w:hint="eastAsia" w:ascii="仿宋_GB2312" w:hAnsi="仿宋_GB2312" w:eastAsia="仿宋_GB2312" w:cs="仿宋_GB2312"/>
          <w:sz w:val="30"/>
          <w:szCs w:val="30"/>
          <w:lang w:val="en-US" w:eastAsia="zh-CN"/>
        </w:rPr>
        <w:t>万元、公务接待费</w:t>
      </w:r>
      <w:r>
        <w:rPr>
          <w:rFonts w:hint="eastAsia" w:ascii="仿宋_GB2312" w:hAnsi="仿宋_GB2312" w:eastAsia="仿宋_GB2312" w:cs="仿宋_GB2312"/>
          <w:sz w:val="30"/>
          <w:szCs w:val="30"/>
          <w:u w:val="single"/>
          <w:lang w:val="en-US" w:eastAsia="zh-CN"/>
        </w:rPr>
        <w:t>4</w:t>
      </w:r>
      <w:r>
        <w:rPr>
          <w:rFonts w:hint="eastAsia" w:ascii="仿宋_GB2312" w:hAnsi="仿宋_GB2312" w:eastAsia="仿宋_GB2312" w:cs="仿宋_GB2312"/>
          <w:sz w:val="30"/>
          <w:szCs w:val="30"/>
          <w:lang w:val="en-US" w:eastAsia="zh-CN"/>
        </w:rPr>
        <w:t>万元工会会费</w:t>
      </w:r>
      <w:r>
        <w:rPr>
          <w:rFonts w:hint="eastAsia" w:ascii="仿宋_GB2312" w:hAnsi="仿宋_GB2312" w:eastAsia="仿宋_GB2312" w:cs="仿宋_GB2312"/>
          <w:sz w:val="30"/>
          <w:szCs w:val="30"/>
          <w:u w:val="single"/>
          <w:lang w:val="en-US" w:eastAsia="zh-CN"/>
        </w:rPr>
        <w:t>2.98</w:t>
      </w:r>
      <w:r>
        <w:rPr>
          <w:rFonts w:hint="eastAsia" w:ascii="仿宋_GB2312" w:hAnsi="仿宋_GB2312" w:eastAsia="仿宋_GB2312" w:cs="仿宋_GB2312"/>
          <w:sz w:val="30"/>
          <w:szCs w:val="30"/>
          <w:lang w:val="en-US" w:eastAsia="zh-CN"/>
        </w:rPr>
        <w:t>万元、委托业务费</w:t>
      </w:r>
      <w:r>
        <w:rPr>
          <w:rFonts w:hint="eastAsia" w:ascii="仿宋_GB2312" w:hAnsi="仿宋_GB2312" w:eastAsia="仿宋_GB2312" w:cs="仿宋_GB2312"/>
          <w:sz w:val="30"/>
          <w:szCs w:val="30"/>
          <w:highlight w:val="none"/>
          <w:u w:val="single"/>
          <w:lang w:val="en-US" w:eastAsia="zh-CN"/>
        </w:rPr>
        <w:t>8.65</w:t>
      </w:r>
      <w:r>
        <w:rPr>
          <w:rFonts w:hint="eastAsia" w:ascii="仿宋_GB2312" w:hAnsi="仿宋_GB2312" w:eastAsia="仿宋_GB2312" w:cs="仿宋_GB2312"/>
          <w:sz w:val="30"/>
          <w:szCs w:val="30"/>
          <w:lang w:val="en-US" w:eastAsia="zh-CN"/>
        </w:rPr>
        <w:t>万元、福利费</w:t>
      </w:r>
      <w:r>
        <w:rPr>
          <w:rFonts w:hint="eastAsia" w:ascii="仿宋_GB2312" w:hAnsi="仿宋_GB2312" w:eastAsia="仿宋_GB2312" w:cs="仿宋_GB2312"/>
          <w:sz w:val="30"/>
          <w:szCs w:val="30"/>
          <w:u w:val="single"/>
          <w:lang w:val="en-US" w:eastAsia="zh-CN"/>
        </w:rPr>
        <w:t>2.4</w:t>
      </w:r>
      <w:r>
        <w:rPr>
          <w:rFonts w:hint="eastAsia" w:ascii="仿宋_GB2312" w:hAnsi="仿宋_GB2312" w:eastAsia="仿宋_GB2312" w:cs="仿宋_GB2312"/>
          <w:sz w:val="30"/>
          <w:szCs w:val="30"/>
          <w:lang w:val="en-US" w:eastAsia="zh-CN"/>
        </w:rPr>
        <w:t>万元、其他交通费</w:t>
      </w:r>
      <w:r>
        <w:rPr>
          <w:rFonts w:hint="eastAsia" w:ascii="仿宋_GB2312" w:hAnsi="仿宋_GB2312" w:eastAsia="仿宋_GB2312" w:cs="仿宋_GB2312"/>
          <w:sz w:val="30"/>
          <w:szCs w:val="30"/>
          <w:u w:val="single"/>
          <w:lang w:val="en-US" w:eastAsia="zh-CN"/>
        </w:rPr>
        <w:t>14.02</w:t>
      </w:r>
      <w:r>
        <w:rPr>
          <w:rFonts w:hint="eastAsia" w:ascii="仿宋_GB2312" w:hAnsi="仿宋_GB2312" w:eastAsia="仿宋_GB2312" w:cs="仿宋_GB2312"/>
          <w:sz w:val="30"/>
          <w:szCs w:val="30"/>
          <w:lang w:val="en-US" w:eastAsia="zh-CN"/>
        </w:rPr>
        <w:t>万元、其他商品和服务支出</w:t>
      </w:r>
      <w:r>
        <w:rPr>
          <w:rFonts w:hint="eastAsia" w:ascii="仿宋_GB2312" w:hAnsi="仿宋_GB2312" w:eastAsia="仿宋_GB2312" w:cs="仿宋_GB2312"/>
          <w:sz w:val="30"/>
          <w:szCs w:val="30"/>
          <w:u w:val="single"/>
          <w:lang w:val="en-US" w:eastAsia="zh-CN"/>
        </w:rPr>
        <w:t>0.13</w:t>
      </w:r>
      <w:r>
        <w:rPr>
          <w:rFonts w:hint="eastAsia" w:ascii="仿宋_GB2312" w:hAnsi="仿宋_GB2312" w:eastAsia="仿宋_GB2312" w:cs="仿宋_GB2312"/>
          <w:sz w:val="30"/>
          <w:szCs w:val="30"/>
          <w:lang w:val="en-US" w:eastAsia="zh-CN"/>
        </w:rPr>
        <w:t>万元。</w:t>
      </w:r>
    </w:p>
    <w:p>
      <w:pPr>
        <w:spacing w:line="600" w:lineRule="exact"/>
        <w:ind w:firstLine="602" w:firstLineChars="200"/>
        <w:rPr>
          <w:rFonts w:eastAsia="楷体_GB2312"/>
          <w:b/>
          <w:sz w:val="30"/>
          <w:szCs w:val="30"/>
        </w:rPr>
      </w:pPr>
      <w:r>
        <w:rPr>
          <w:rFonts w:hint="eastAsia" w:ascii="楷体" w:hAnsi="楷体" w:eastAsia="楷体" w:cs="仿宋_GB2312"/>
          <w:b/>
          <w:sz w:val="30"/>
          <w:szCs w:val="30"/>
        </w:rPr>
        <w:t>（二）</w:t>
      </w:r>
      <w:r>
        <w:rPr>
          <w:rFonts w:eastAsia="楷体_GB2312"/>
          <w:b/>
          <w:sz w:val="30"/>
          <w:szCs w:val="30"/>
        </w:rPr>
        <w:t>政府采购情况</w:t>
      </w:r>
      <w:r>
        <w:rPr>
          <w:rFonts w:hint="eastAsia" w:ascii="楷体" w:hAnsi="楷体" w:eastAsia="楷体" w:cs="仿宋_GB2312"/>
          <w:b/>
          <w:sz w:val="30"/>
          <w:szCs w:val="30"/>
        </w:rPr>
        <w:t>。</w:t>
      </w:r>
    </w:p>
    <w:p>
      <w:pPr>
        <w:spacing w:line="580" w:lineRule="exact"/>
        <w:ind w:firstLine="600" w:firstLineChars="200"/>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sz w:val="30"/>
          <w:szCs w:val="30"/>
        </w:rPr>
        <w:t>本部门2023年</w:t>
      </w:r>
      <w:r>
        <w:rPr>
          <w:rFonts w:hint="eastAsia" w:ascii="仿宋_GB2312" w:hAnsi="仿宋_GB2312" w:eastAsia="仿宋_GB2312" w:cs="仿宋_GB2312"/>
          <w:sz w:val="30"/>
          <w:szCs w:val="30"/>
        </w:rPr>
        <w:t>安排政府采购预算</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万元，</w:t>
      </w:r>
      <w:r>
        <w:rPr>
          <w:rFonts w:hint="eastAsia" w:ascii="仿宋_GB2312" w:hAnsi="仿宋_GB2312" w:eastAsia="仿宋_GB2312" w:cs="仿宋_GB2312"/>
          <w:color w:val="000000"/>
          <w:sz w:val="30"/>
          <w:szCs w:val="30"/>
        </w:rPr>
        <w:t>其中：政府采购货物支出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4.1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万元、政府采购工程支出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万元、政府采购服务支出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万元。</w:t>
      </w:r>
      <w:r>
        <w:rPr>
          <w:rFonts w:hint="eastAsia" w:ascii="仿宋_GB2312" w:hAnsi="仿宋_GB2312" w:eastAsia="仿宋_GB2312" w:cs="仿宋_GB2312"/>
          <w:color w:val="000000"/>
          <w:sz w:val="30"/>
          <w:szCs w:val="30"/>
          <w:lang w:eastAsia="zh-CN"/>
        </w:rPr>
        <w:t>主要用于</w:t>
      </w:r>
      <w:r>
        <w:rPr>
          <w:rFonts w:hint="eastAsia" w:ascii="宋体" w:hAnsi="宋体" w:eastAsia="宋体" w:cs="宋体"/>
          <w:i w:val="0"/>
          <w:color w:val="000000"/>
          <w:kern w:val="0"/>
          <w:sz w:val="30"/>
          <w:szCs w:val="30"/>
          <w:u w:val="none"/>
          <w:lang w:val="en-US" w:eastAsia="zh-CN" w:bidi="ar"/>
        </w:rPr>
        <w:t>复印纸</w:t>
      </w:r>
      <w:r>
        <w:rPr>
          <w:rFonts w:hint="eastAsia" w:ascii="宋体" w:hAnsi="宋体" w:cs="宋体"/>
          <w:i w:val="0"/>
          <w:color w:val="000000"/>
          <w:kern w:val="0"/>
          <w:sz w:val="30"/>
          <w:szCs w:val="30"/>
          <w:u w:val="none"/>
          <w:lang w:val="en-US" w:eastAsia="zh-CN" w:bidi="ar"/>
        </w:rPr>
        <w:t>0.6万元，</w:t>
      </w:r>
      <w:r>
        <w:rPr>
          <w:rFonts w:hint="eastAsia" w:ascii="宋体" w:hAnsi="宋体" w:eastAsia="宋体" w:cs="宋体"/>
          <w:i w:val="0"/>
          <w:color w:val="000000"/>
          <w:kern w:val="0"/>
          <w:sz w:val="30"/>
          <w:szCs w:val="30"/>
          <w:u w:val="none"/>
          <w:lang w:val="en-US" w:eastAsia="zh-CN" w:bidi="ar"/>
        </w:rPr>
        <w:t>激光打印机</w:t>
      </w:r>
      <w:r>
        <w:rPr>
          <w:rFonts w:hint="eastAsia" w:ascii="宋体" w:hAnsi="宋体" w:cs="宋体"/>
          <w:i w:val="0"/>
          <w:color w:val="000000"/>
          <w:kern w:val="0"/>
          <w:sz w:val="30"/>
          <w:szCs w:val="30"/>
          <w:u w:val="none"/>
          <w:lang w:val="en-US" w:eastAsia="zh-CN" w:bidi="ar"/>
        </w:rPr>
        <w:t>0.5万元，</w:t>
      </w:r>
      <w:r>
        <w:rPr>
          <w:rFonts w:hint="eastAsia" w:ascii="宋体" w:hAnsi="宋体" w:eastAsia="宋体" w:cs="宋体"/>
          <w:i w:val="0"/>
          <w:color w:val="000000"/>
          <w:kern w:val="0"/>
          <w:sz w:val="30"/>
          <w:szCs w:val="30"/>
          <w:u w:val="none"/>
          <w:lang w:val="en-US" w:eastAsia="zh-CN" w:bidi="ar"/>
        </w:rPr>
        <w:t>金属质柜类</w:t>
      </w:r>
      <w:r>
        <w:rPr>
          <w:rFonts w:hint="eastAsia" w:ascii="宋体" w:hAnsi="宋体" w:cs="宋体"/>
          <w:i w:val="0"/>
          <w:color w:val="000000"/>
          <w:kern w:val="0"/>
          <w:sz w:val="30"/>
          <w:szCs w:val="30"/>
          <w:u w:val="none"/>
          <w:lang w:val="en-US" w:eastAsia="zh-CN" w:bidi="ar"/>
        </w:rPr>
        <w:t>1万元，</w:t>
      </w:r>
      <w:r>
        <w:rPr>
          <w:rFonts w:hint="eastAsia" w:ascii="宋体" w:hAnsi="宋体" w:eastAsia="宋体" w:cs="宋体"/>
          <w:i w:val="0"/>
          <w:color w:val="000000"/>
          <w:kern w:val="0"/>
          <w:sz w:val="30"/>
          <w:szCs w:val="30"/>
          <w:u w:val="none"/>
          <w:lang w:val="en-US" w:eastAsia="zh-CN" w:bidi="ar"/>
        </w:rPr>
        <w:t>木质柜类</w:t>
      </w:r>
      <w:r>
        <w:rPr>
          <w:rFonts w:hint="eastAsia" w:ascii="宋体" w:hAnsi="宋体" w:cs="宋体"/>
          <w:i w:val="0"/>
          <w:color w:val="000000"/>
          <w:kern w:val="0"/>
          <w:sz w:val="30"/>
          <w:szCs w:val="30"/>
          <w:u w:val="none"/>
          <w:lang w:val="en-US" w:eastAsia="zh-CN" w:bidi="ar"/>
        </w:rPr>
        <w:t>1万元，</w:t>
      </w:r>
      <w:r>
        <w:rPr>
          <w:rFonts w:hint="eastAsia" w:ascii="宋体" w:hAnsi="宋体" w:eastAsia="宋体" w:cs="宋体"/>
          <w:i w:val="0"/>
          <w:color w:val="000000"/>
          <w:kern w:val="0"/>
          <w:sz w:val="30"/>
          <w:szCs w:val="30"/>
          <w:u w:val="none"/>
          <w:lang w:val="en-US" w:eastAsia="zh-CN" w:bidi="ar"/>
        </w:rPr>
        <w:t>台式计算机</w:t>
      </w:r>
      <w:r>
        <w:rPr>
          <w:rFonts w:hint="eastAsia" w:ascii="宋体" w:hAnsi="宋体" w:cs="宋体"/>
          <w:i w:val="0"/>
          <w:color w:val="000000"/>
          <w:kern w:val="0"/>
          <w:sz w:val="30"/>
          <w:szCs w:val="30"/>
          <w:u w:val="none"/>
          <w:lang w:val="en-US" w:eastAsia="zh-CN" w:bidi="ar"/>
        </w:rPr>
        <w:t>1万元。</w:t>
      </w:r>
    </w:p>
    <w:p>
      <w:pPr>
        <w:spacing w:line="600" w:lineRule="exact"/>
        <w:ind w:firstLine="602" w:firstLineChars="200"/>
        <w:rPr>
          <w:rFonts w:hint="eastAsia" w:eastAsia="楷体_GB2312"/>
          <w:b/>
          <w:sz w:val="30"/>
          <w:szCs w:val="30"/>
        </w:rPr>
      </w:pPr>
      <w:r>
        <w:rPr>
          <w:rFonts w:eastAsia="楷体_GB2312"/>
          <w:b/>
          <w:sz w:val="30"/>
          <w:szCs w:val="30"/>
        </w:rPr>
        <w:t>（</w:t>
      </w:r>
      <w:r>
        <w:rPr>
          <w:rFonts w:hint="eastAsia" w:eastAsia="楷体_GB2312"/>
          <w:b/>
          <w:sz w:val="30"/>
          <w:szCs w:val="30"/>
        </w:rPr>
        <w:t>三</w:t>
      </w:r>
      <w:r>
        <w:rPr>
          <w:rFonts w:eastAsia="楷体_GB2312"/>
          <w:b/>
          <w:sz w:val="30"/>
          <w:szCs w:val="30"/>
        </w:rPr>
        <w:t>）</w:t>
      </w:r>
      <w:r>
        <w:rPr>
          <w:rFonts w:hint="eastAsia" w:eastAsia="楷体_GB2312"/>
          <w:b/>
          <w:sz w:val="30"/>
          <w:szCs w:val="30"/>
        </w:rPr>
        <w:t>国有资产占用情况。</w:t>
      </w:r>
    </w:p>
    <w:p>
      <w:pPr>
        <w:spacing w:line="58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截至2022年12月底，</w:t>
      </w:r>
      <w:r>
        <w:rPr>
          <w:rFonts w:hint="eastAsia" w:ascii="仿宋_GB2312" w:hAnsi="仿宋_GB2312" w:eastAsia="仿宋_GB2312" w:cs="仿宋_GB2312"/>
          <w:sz w:val="30"/>
          <w:szCs w:val="30"/>
        </w:rPr>
        <w:t>本部门</w:t>
      </w:r>
      <w:r>
        <w:rPr>
          <w:rFonts w:hint="eastAsia" w:ascii="仿宋_GB2312" w:hAnsi="仿宋_GB2312" w:eastAsia="仿宋_GB2312" w:cs="仿宋_GB2312"/>
          <w:color w:val="000000"/>
          <w:sz w:val="30"/>
          <w:szCs w:val="30"/>
        </w:rPr>
        <w:t>各单位共有车辆</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辆，其中：副部（省）级及以上领导用车</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辆、主要领导干部用车</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辆、机要通信用车</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辆、应急保障用车</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辆、执法执勤用车</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辆、特种专业技术用车</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辆、离退休干部用车</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辆、</w:t>
      </w:r>
      <w:r>
        <w:rPr>
          <w:rFonts w:hint="eastAsia" w:ascii="仿宋_GB2312" w:hAnsi="仿宋_GB2312" w:eastAsia="仿宋_GB2312" w:cs="仿宋_GB2312"/>
          <w:color w:val="000000"/>
          <w:sz w:val="30"/>
          <w:szCs w:val="30"/>
        </w:rPr>
        <w:t>其他用车</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0</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辆，</w:t>
      </w:r>
      <w:r>
        <w:rPr>
          <w:rFonts w:hint="eastAsia" w:ascii="仿宋_GB2312" w:hAnsi="仿宋_GB2312" w:eastAsia="仿宋_GB2312" w:cs="仿宋_GB2312"/>
          <w:sz w:val="30"/>
          <w:szCs w:val="30"/>
        </w:rPr>
        <w:t>其他用车主要包括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。单价50万元以上的通用设备</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台（套），单价100万元以上的专用设备</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台（套）。</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四</w:t>
      </w:r>
      <w:r>
        <w:rPr>
          <w:rFonts w:eastAsia="楷体_GB2312"/>
          <w:b/>
          <w:sz w:val="30"/>
          <w:szCs w:val="30"/>
        </w:rPr>
        <w:t>）</w:t>
      </w:r>
      <w:r>
        <w:rPr>
          <w:rFonts w:hint="eastAsia" w:eastAsia="楷体_GB2312"/>
          <w:b/>
          <w:sz w:val="30"/>
          <w:szCs w:val="30"/>
        </w:rPr>
        <w:t>预算绩效情况说明。</w:t>
      </w:r>
    </w:p>
    <w:p>
      <w:pPr>
        <w:spacing w:line="580" w:lineRule="exact"/>
        <w:ind w:left="151" w:leftChars="63" w:firstLine="450" w:firstLineChars="15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本部门2023年实行绩效目标管理的项目</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1</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sz w:val="30"/>
          <w:szCs w:val="30"/>
        </w:rPr>
        <w:t>个，涉及预算金额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50</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rPr>
        <w:t>万</w:t>
      </w:r>
      <w:r>
        <w:rPr>
          <w:rFonts w:hint="eastAsia" w:ascii="仿宋_GB2312" w:hAnsi="仿宋_GB2312" w:eastAsia="仿宋_GB2312" w:cs="仿宋_GB2312"/>
          <w:color w:val="000000"/>
          <w:sz w:val="30"/>
          <w:szCs w:val="30"/>
        </w:rPr>
        <w:t>元。</w:t>
      </w:r>
    </w:p>
    <w:p>
      <w:pPr>
        <w:spacing w:line="580" w:lineRule="exact"/>
        <w:ind w:firstLine="600" w:firstLineChars="200"/>
        <w:jc w:val="both"/>
        <w:rPr>
          <w:rFonts w:hint="eastAsia" w:ascii="仿宋_GB2312" w:hAnsi="仿宋_GB2312" w:eastAsia="仿宋_GB2312" w:cs="仿宋_GB2312"/>
          <w:sz w:val="30"/>
          <w:szCs w:val="30"/>
        </w:rPr>
      </w:pPr>
    </w:p>
    <w:p>
      <w:pPr>
        <w:spacing w:line="580" w:lineRule="exact"/>
        <w:ind w:firstLine="600" w:firstLineChars="200"/>
        <w:jc w:val="both"/>
        <w:rPr>
          <w:rFonts w:hint="eastAsia" w:ascii="仿宋_GB2312" w:hAnsi="仿宋_GB2312" w:eastAsia="仿宋_GB2312" w:cs="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color w:val="000000"/>
          <w:sz w:val="30"/>
          <w:szCs w:val="30"/>
        </w:rPr>
      </w:pPr>
    </w:p>
    <w:p>
      <w:pPr>
        <w:spacing w:line="580" w:lineRule="exact"/>
        <w:ind w:firstLine="600" w:firstLineChars="200"/>
        <w:jc w:val="both"/>
        <w:rPr>
          <w:rFonts w:hint="eastAsia" w:eastAsia="仿宋_GB2312"/>
          <w:color w:val="000000"/>
          <w:sz w:val="30"/>
          <w:szCs w:val="30"/>
        </w:rPr>
      </w:pPr>
    </w:p>
    <w:p>
      <w:pPr>
        <w:spacing w:line="580" w:lineRule="exact"/>
        <w:ind w:firstLine="600" w:firstLineChars="200"/>
        <w:jc w:val="both"/>
        <w:rPr>
          <w:rFonts w:eastAsia="仿宋_GB2312"/>
          <w:color w:val="000000"/>
          <w:sz w:val="30"/>
          <w:szCs w:val="30"/>
        </w:rPr>
      </w:pPr>
    </w:p>
    <w:p>
      <w:pPr>
        <w:pStyle w:val="2"/>
        <w:spacing w:line="600" w:lineRule="exact"/>
        <w:jc w:val="center"/>
        <w:rPr>
          <w:rFonts w:hint="eastAsia" w:ascii="方正小标宋简体" w:hAnsi="方正小标宋简体" w:eastAsia="方正小标宋简体" w:cs="方正小标宋简体"/>
          <w:b w:val="0"/>
          <w:sz w:val="48"/>
          <w:szCs w:val="48"/>
        </w:rPr>
      </w:pPr>
      <w:bookmarkStart w:id="13" w:name="_Toc78784585"/>
      <w:r>
        <w:rPr>
          <w:rFonts w:hint="eastAsia" w:ascii="方正小标宋简体" w:hAnsi="方正小标宋简体" w:eastAsia="方正小标宋简体" w:cs="方正小标宋简体"/>
          <w:b w:val="0"/>
          <w:sz w:val="48"/>
          <w:szCs w:val="48"/>
        </w:rPr>
        <w:t>第三部分  名词解释</w:t>
      </w:r>
      <w:bookmarkEnd w:id="13"/>
    </w:p>
    <w:p>
      <w:pPr>
        <w:spacing w:line="600" w:lineRule="exact"/>
        <w:ind w:firstLine="600" w:firstLineChars="200"/>
        <w:rPr>
          <w:rFonts w:hint="eastAsia" w:ascii="仿宋_GB2312" w:eastAsia="仿宋_GB2312"/>
          <w:sz w:val="30"/>
          <w:szCs w:val="30"/>
        </w:rPr>
      </w:pPr>
    </w:p>
    <w:p>
      <w:p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1.部门预算。是指主管预算部门依据相关法律、法规和政策规定及其行使职能需要，组织所属预算单位编制并逐级上报、审核、汇总，经财政部门审核后按程序依法批准的部门综合收支计划。</w:t>
      </w:r>
    </w:p>
    <w:p>
      <w:pPr>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hint="eastAsia" w:eastAsia="楷体_GB2312"/>
          <w:sz w:val="30"/>
          <w:szCs w:val="30"/>
        </w:rPr>
      </w:pPr>
    </w:p>
    <w:p>
      <w:pPr>
        <w:spacing w:line="580" w:lineRule="exact"/>
        <w:ind w:firstLine="600" w:firstLineChars="200"/>
        <w:rPr>
          <w:rFonts w:eastAsia="楷体_GB2312"/>
          <w:sz w:val="30"/>
          <w:szCs w:val="30"/>
        </w:rPr>
      </w:pPr>
    </w:p>
    <w:p>
      <w:pPr>
        <w:pStyle w:val="2"/>
        <w:spacing w:line="600" w:lineRule="exact"/>
        <w:jc w:val="center"/>
        <w:rPr>
          <w:rFonts w:hint="eastAsia" w:ascii="方正小标宋简体" w:hAnsi="方正小标宋简体" w:eastAsia="方正小标宋简体" w:cs="方正小标宋简体"/>
          <w:b w:val="0"/>
          <w:sz w:val="48"/>
          <w:szCs w:val="48"/>
        </w:rPr>
      </w:pPr>
      <w:r>
        <w:rPr>
          <w:rFonts w:hint="eastAsia" w:ascii="方正小标宋简体" w:hAnsi="方正小标宋简体" w:eastAsia="方正小标宋简体" w:cs="方正小标宋简体"/>
          <w:b w:val="0"/>
          <w:sz w:val="48"/>
          <w:szCs w:val="48"/>
        </w:rPr>
        <w:t>第四部分  2023年部门预算表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一、《部门收支总体情况表》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二、《部门收入总体情况表》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三、《部门支出总体情况表》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四、《财政拨款收支总体情况表》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五、《一般公共预算支出情况表》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六、《一般公共预算基本支出情况表》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七、《一般公共预算“三公”经费支出情况表》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八、《政府性基金预算支出情况表》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九、《国有资本经营预算支出情况表》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十、《项目支出表》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十一、《</w:t>
      </w:r>
      <w:r>
        <w:rPr>
          <w:rFonts w:hint="eastAsia" w:ascii="楷体_GB2312" w:hAnsi="Times New Roman" w:eastAsia="楷体_GB2312"/>
          <w:b/>
          <w:sz w:val="30"/>
          <w:szCs w:val="30"/>
          <w:lang w:eastAsia="zh-CN"/>
        </w:rPr>
        <w:t>天津市北辰区人民政府合作交流办公室</w:t>
      </w:r>
      <w:r>
        <w:rPr>
          <w:rFonts w:hint="eastAsia" w:ascii="楷体_GB2312" w:hAnsi="Times New Roman" w:eastAsia="楷体_GB2312"/>
          <w:b/>
          <w:sz w:val="30"/>
          <w:szCs w:val="30"/>
        </w:rPr>
        <w:t>2023年政府采购预算表》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十二、《政策及项目绩效目标表》</w:t>
      </w:r>
    </w:p>
    <w:p>
      <w:pPr>
        <w:spacing w:line="560" w:lineRule="exact"/>
        <w:ind w:left="480" w:leftChars="200"/>
        <w:rPr>
          <w:rFonts w:hint="eastAsia" w:ascii="楷体_GB2312" w:hAnsi="Times New Roman" w:eastAsia="楷体_GB2312"/>
          <w:b/>
          <w:sz w:val="30"/>
          <w:szCs w:val="30"/>
        </w:rPr>
      </w:pPr>
      <w:r>
        <w:rPr>
          <w:rFonts w:hint="eastAsia" w:ascii="楷体_GB2312" w:hAnsi="Times New Roman" w:eastAsia="楷体_GB2312"/>
          <w:b/>
          <w:sz w:val="30"/>
          <w:szCs w:val="30"/>
        </w:rPr>
        <w:t>十三、关于空表的说明</w:t>
      </w:r>
      <w:r>
        <w:rPr>
          <w:rFonts w:hint="eastAsia" w:ascii="楷体_GB2312" w:hAnsi="Times New Roman" w:eastAsia="楷体_GB2312"/>
          <w:b/>
          <w:sz w:val="30"/>
          <w:szCs w:val="30"/>
        </w:rPr>
        <w:tab/>
      </w:r>
    </w:p>
    <w:p>
      <w:pPr>
        <w:spacing w:line="60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1.本部门202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年政府性基金预算支出表为空表</w:t>
      </w:r>
      <w:r>
        <w:rPr>
          <w:rFonts w:hint="eastAsia" w:ascii="仿宋_GB2312" w:hAnsi="仿宋_GB2312" w:eastAsia="仿宋_GB2312" w:cs="仿宋_GB2312"/>
          <w:sz w:val="30"/>
          <w:szCs w:val="30"/>
          <w:lang w:eastAsia="zh-CN"/>
        </w:rPr>
        <w:t>。</w:t>
      </w:r>
    </w:p>
    <w:p>
      <w:pPr>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本部门202</w:t>
      </w:r>
      <w:r>
        <w:rPr>
          <w:rFonts w:hint="eastAsia" w:ascii="仿宋_GB2312" w:hAnsi="仿宋_GB2312" w:eastAsia="仿宋_GB2312" w:cs="仿宋_GB2312"/>
          <w:sz w:val="30"/>
          <w:szCs w:val="30"/>
          <w:lang w:val="en-US" w:eastAsia="zh-CN"/>
        </w:rPr>
        <w:t>3年部门预算国有资本经营预算财政拨款支出表</w:t>
      </w:r>
      <w:r>
        <w:rPr>
          <w:rFonts w:hint="eastAsia" w:ascii="仿宋_GB2312" w:hAnsi="仿宋_GB2312" w:eastAsia="仿宋_GB2312" w:cs="仿宋_GB2312"/>
          <w:sz w:val="30"/>
          <w:szCs w:val="30"/>
        </w:rPr>
        <w:t>为空表</w:t>
      </w:r>
      <w:r>
        <w:rPr>
          <w:rFonts w:hint="eastAsia" w:ascii="仿宋_GB2312" w:hAnsi="仿宋_GB2312" w:eastAsia="仿宋_GB2312" w:cs="仿宋_GB2312"/>
          <w:sz w:val="30"/>
          <w:szCs w:val="30"/>
          <w:lang w:eastAsia="zh-CN"/>
        </w:rPr>
        <w:t>。</w:t>
      </w:r>
      <w:bookmarkStart w:id="14" w:name="_GoBack"/>
      <w:bookmarkEnd w:id="14"/>
    </w:p>
    <w:sectPr>
      <w:footerReference r:id="rId8" w:type="default"/>
      <w:pgSz w:w="11907" w:h="16840"/>
      <w:pgMar w:top="2098" w:right="1474" w:bottom="1304" w:left="1588" w:header="765" w:footer="765" w:gutter="0"/>
      <w:pgNumType w:fmt="numberInDash"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S Serif">
    <w:altName w:val="汉仪叶叶相思体简"/>
    <w:panose1 w:val="00000000000000000000"/>
    <w:charset w:val="00"/>
    <w:family w:val="roman"/>
    <w:pitch w:val="default"/>
    <w:sig w:usb0="00000000" w:usb1="00000000" w:usb2="00000000" w:usb3="00000000" w:csb0="00000001"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3 -</w:t>
    </w:r>
    <w:r>
      <w:fldChar w:fldCharType="end"/>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A5549"/>
    <w:multiLevelType w:val="singleLevel"/>
    <w:tmpl w:val="B85A554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77"/>
    <w:rsid w:val="0001204D"/>
    <w:rsid w:val="00014B7E"/>
    <w:rsid w:val="00020DAE"/>
    <w:rsid w:val="00025DCF"/>
    <w:rsid w:val="00026B49"/>
    <w:rsid w:val="000279BC"/>
    <w:rsid w:val="00035889"/>
    <w:rsid w:val="0003736F"/>
    <w:rsid w:val="00040A70"/>
    <w:rsid w:val="000546FB"/>
    <w:rsid w:val="00055156"/>
    <w:rsid w:val="000561F0"/>
    <w:rsid w:val="00066DA5"/>
    <w:rsid w:val="00081133"/>
    <w:rsid w:val="00082771"/>
    <w:rsid w:val="00093F1A"/>
    <w:rsid w:val="00097C4D"/>
    <w:rsid w:val="000A4C45"/>
    <w:rsid w:val="000A6A5A"/>
    <w:rsid w:val="000B1B04"/>
    <w:rsid w:val="000B5758"/>
    <w:rsid w:val="000C211F"/>
    <w:rsid w:val="000C3FFB"/>
    <w:rsid w:val="000C5349"/>
    <w:rsid w:val="000C704F"/>
    <w:rsid w:val="000D1BEF"/>
    <w:rsid w:val="000D7D6C"/>
    <w:rsid w:val="000E221E"/>
    <w:rsid w:val="000E5A14"/>
    <w:rsid w:val="000F2DDD"/>
    <w:rsid w:val="00103D12"/>
    <w:rsid w:val="001044EF"/>
    <w:rsid w:val="00107793"/>
    <w:rsid w:val="00107F74"/>
    <w:rsid w:val="00141FB3"/>
    <w:rsid w:val="00143640"/>
    <w:rsid w:val="00146622"/>
    <w:rsid w:val="00151DB8"/>
    <w:rsid w:val="00151E56"/>
    <w:rsid w:val="001574DB"/>
    <w:rsid w:val="001616F8"/>
    <w:rsid w:val="001639E6"/>
    <w:rsid w:val="0016548E"/>
    <w:rsid w:val="00167781"/>
    <w:rsid w:val="0017420B"/>
    <w:rsid w:val="0019552B"/>
    <w:rsid w:val="001A1316"/>
    <w:rsid w:val="001A58F7"/>
    <w:rsid w:val="001B47FB"/>
    <w:rsid w:val="001C525C"/>
    <w:rsid w:val="001E4814"/>
    <w:rsid w:val="001F43D8"/>
    <w:rsid w:val="001F69BB"/>
    <w:rsid w:val="0020344E"/>
    <w:rsid w:val="00217977"/>
    <w:rsid w:val="00222775"/>
    <w:rsid w:val="00223D56"/>
    <w:rsid w:val="00225E9E"/>
    <w:rsid w:val="002319C9"/>
    <w:rsid w:val="00235DDA"/>
    <w:rsid w:val="002456BF"/>
    <w:rsid w:val="00252DD7"/>
    <w:rsid w:val="002568D5"/>
    <w:rsid w:val="0026664B"/>
    <w:rsid w:val="00290082"/>
    <w:rsid w:val="00290EAC"/>
    <w:rsid w:val="00293ACA"/>
    <w:rsid w:val="002A1782"/>
    <w:rsid w:val="002A23DC"/>
    <w:rsid w:val="002A3DBF"/>
    <w:rsid w:val="002D67AE"/>
    <w:rsid w:val="002D715E"/>
    <w:rsid w:val="002E3C02"/>
    <w:rsid w:val="002F0601"/>
    <w:rsid w:val="002F0F40"/>
    <w:rsid w:val="002F0F49"/>
    <w:rsid w:val="00304097"/>
    <w:rsid w:val="003147A8"/>
    <w:rsid w:val="0032641E"/>
    <w:rsid w:val="003407F4"/>
    <w:rsid w:val="00343F3E"/>
    <w:rsid w:val="0035053A"/>
    <w:rsid w:val="0035182A"/>
    <w:rsid w:val="003609DB"/>
    <w:rsid w:val="00361453"/>
    <w:rsid w:val="00364050"/>
    <w:rsid w:val="003734E1"/>
    <w:rsid w:val="00381526"/>
    <w:rsid w:val="00386D08"/>
    <w:rsid w:val="00391275"/>
    <w:rsid w:val="003929CE"/>
    <w:rsid w:val="003A5370"/>
    <w:rsid w:val="003A7D0E"/>
    <w:rsid w:val="003B24BB"/>
    <w:rsid w:val="003B3A66"/>
    <w:rsid w:val="003C1B4D"/>
    <w:rsid w:val="003C2CCF"/>
    <w:rsid w:val="003D48A4"/>
    <w:rsid w:val="003D647A"/>
    <w:rsid w:val="003E3EA7"/>
    <w:rsid w:val="003F4CDB"/>
    <w:rsid w:val="00404E18"/>
    <w:rsid w:val="00406A09"/>
    <w:rsid w:val="004139C1"/>
    <w:rsid w:val="004178F1"/>
    <w:rsid w:val="00421C5C"/>
    <w:rsid w:val="00424A5A"/>
    <w:rsid w:val="00452C1F"/>
    <w:rsid w:val="004645C1"/>
    <w:rsid w:val="004654FD"/>
    <w:rsid w:val="004660E2"/>
    <w:rsid w:val="0046727B"/>
    <w:rsid w:val="0047004A"/>
    <w:rsid w:val="00472621"/>
    <w:rsid w:val="00474C09"/>
    <w:rsid w:val="0048352E"/>
    <w:rsid w:val="004A5DF5"/>
    <w:rsid w:val="004A6EE3"/>
    <w:rsid w:val="004B0888"/>
    <w:rsid w:val="004C0EED"/>
    <w:rsid w:val="004C1F92"/>
    <w:rsid w:val="004D2A21"/>
    <w:rsid w:val="004E5901"/>
    <w:rsid w:val="004E7F96"/>
    <w:rsid w:val="004F1D8F"/>
    <w:rsid w:val="004F304B"/>
    <w:rsid w:val="00513E0C"/>
    <w:rsid w:val="00531F24"/>
    <w:rsid w:val="00534FC8"/>
    <w:rsid w:val="005442FD"/>
    <w:rsid w:val="00547CCA"/>
    <w:rsid w:val="0055334A"/>
    <w:rsid w:val="0056218D"/>
    <w:rsid w:val="00563DE0"/>
    <w:rsid w:val="005717FD"/>
    <w:rsid w:val="00577762"/>
    <w:rsid w:val="00585D27"/>
    <w:rsid w:val="0058731A"/>
    <w:rsid w:val="00587691"/>
    <w:rsid w:val="0059010F"/>
    <w:rsid w:val="0059248B"/>
    <w:rsid w:val="005A319D"/>
    <w:rsid w:val="005B0F7B"/>
    <w:rsid w:val="005B3956"/>
    <w:rsid w:val="005B5E4D"/>
    <w:rsid w:val="005C0A1F"/>
    <w:rsid w:val="005C3C59"/>
    <w:rsid w:val="005D0C85"/>
    <w:rsid w:val="005D5F3F"/>
    <w:rsid w:val="005E595A"/>
    <w:rsid w:val="005E5D2D"/>
    <w:rsid w:val="005E642E"/>
    <w:rsid w:val="005F3D28"/>
    <w:rsid w:val="005F52AE"/>
    <w:rsid w:val="005F6E16"/>
    <w:rsid w:val="00602A30"/>
    <w:rsid w:val="006054BF"/>
    <w:rsid w:val="00617301"/>
    <w:rsid w:val="00646289"/>
    <w:rsid w:val="00646C58"/>
    <w:rsid w:val="0065320E"/>
    <w:rsid w:val="00664752"/>
    <w:rsid w:val="00673ABE"/>
    <w:rsid w:val="006777CE"/>
    <w:rsid w:val="006934E1"/>
    <w:rsid w:val="00694200"/>
    <w:rsid w:val="0069616E"/>
    <w:rsid w:val="006A0604"/>
    <w:rsid w:val="006A7042"/>
    <w:rsid w:val="006A7123"/>
    <w:rsid w:val="006B0F4B"/>
    <w:rsid w:val="006D456D"/>
    <w:rsid w:val="006D7313"/>
    <w:rsid w:val="006E5C14"/>
    <w:rsid w:val="006F408B"/>
    <w:rsid w:val="00703777"/>
    <w:rsid w:val="00716804"/>
    <w:rsid w:val="00737A20"/>
    <w:rsid w:val="0074381E"/>
    <w:rsid w:val="00754417"/>
    <w:rsid w:val="00795DC2"/>
    <w:rsid w:val="007B750A"/>
    <w:rsid w:val="007C0CD1"/>
    <w:rsid w:val="007C220B"/>
    <w:rsid w:val="007C257B"/>
    <w:rsid w:val="007C4FF4"/>
    <w:rsid w:val="007E0D5B"/>
    <w:rsid w:val="007E2276"/>
    <w:rsid w:val="007F218B"/>
    <w:rsid w:val="00810D0C"/>
    <w:rsid w:val="00824025"/>
    <w:rsid w:val="008277F5"/>
    <w:rsid w:val="0083475B"/>
    <w:rsid w:val="008370F2"/>
    <w:rsid w:val="00841058"/>
    <w:rsid w:val="00844953"/>
    <w:rsid w:val="00846C2E"/>
    <w:rsid w:val="00847B3C"/>
    <w:rsid w:val="00851ECC"/>
    <w:rsid w:val="00861D45"/>
    <w:rsid w:val="00866211"/>
    <w:rsid w:val="00890F33"/>
    <w:rsid w:val="008A2192"/>
    <w:rsid w:val="008A584F"/>
    <w:rsid w:val="008B0BE1"/>
    <w:rsid w:val="008C6A37"/>
    <w:rsid w:val="008D0B65"/>
    <w:rsid w:val="008D7A7F"/>
    <w:rsid w:val="008E4B67"/>
    <w:rsid w:val="008F0A65"/>
    <w:rsid w:val="008F7F2F"/>
    <w:rsid w:val="0090543A"/>
    <w:rsid w:val="00912DED"/>
    <w:rsid w:val="009224E2"/>
    <w:rsid w:val="00922C71"/>
    <w:rsid w:val="00931ADF"/>
    <w:rsid w:val="009339F5"/>
    <w:rsid w:val="00933DD8"/>
    <w:rsid w:val="00934F3E"/>
    <w:rsid w:val="00937D77"/>
    <w:rsid w:val="00946BC0"/>
    <w:rsid w:val="00956438"/>
    <w:rsid w:val="00962587"/>
    <w:rsid w:val="0098061D"/>
    <w:rsid w:val="009822BE"/>
    <w:rsid w:val="00990C9A"/>
    <w:rsid w:val="009970B7"/>
    <w:rsid w:val="009A08A7"/>
    <w:rsid w:val="009A3307"/>
    <w:rsid w:val="009A45FD"/>
    <w:rsid w:val="009A47C1"/>
    <w:rsid w:val="009B0D59"/>
    <w:rsid w:val="009B0FCC"/>
    <w:rsid w:val="009C3FA3"/>
    <w:rsid w:val="009C4227"/>
    <w:rsid w:val="009C5EC4"/>
    <w:rsid w:val="009D1FD1"/>
    <w:rsid w:val="009D2134"/>
    <w:rsid w:val="009E6A2C"/>
    <w:rsid w:val="009F0927"/>
    <w:rsid w:val="00A01A53"/>
    <w:rsid w:val="00A020B8"/>
    <w:rsid w:val="00A1342C"/>
    <w:rsid w:val="00A169EE"/>
    <w:rsid w:val="00A25266"/>
    <w:rsid w:val="00A325D0"/>
    <w:rsid w:val="00A37FB3"/>
    <w:rsid w:val="00A410A3"/>
    <w:rsid w:val="00A43941"/>
    <w:rsid w:val="00A50357"/>
    <w:rsid w:val="00A52A4D"/>
    <w:rsid w:val="00A54C43"/>
    <w:rsid w:val="00A54C55"/>
    <w:rsid w:val="00A62D36"/>
    <w:rsid w:val="00A64852"/>
    <w:rsid w:val="00A74096"/>
    <w:rsid w:val="00A8081F"/>
    <w:rsid w:val="00A8708A"/>
    <w:rsid w:val="00A918A4"/>
    <w:rsid w:val="00A91C28"/>
    <w:rsid w:val="00A96D04"/>
    <w:rsid w:val="00AB093E"/>
    <w:rsid w:val="00AB791A"/>
    <w:rsid w:val="00AC0500"/>
    <w:rsid w:val="00AC4DF4"/>
    <w:rsid w:val="00AD51D9"/>
    <w:rsid w:val="00AD6740"/>
    <w:rsid w:val="00AD6772"/>
    <w:rsid w:val="00AE14F7"/>
    <w:rsid w:val="00AE3DA6"/>
    <w:rsid w:val="00AF0A58"/>
    <w:rsid w:val="00AF121D"/>
    <w:rsid w:val="00AF38CA"/>
    <w:rsid w:val="00B03433"/>
    <w:rsid w:val="00B100CB"/>
    <w:rsid w:val="00B1463F"/>
    <w:rsid w:val="00B25010"/>
    <w:rsid w:val="00B370F4"/>
    <w:rsid w:val="00B4348E"/>
    <w:rsid w:val="00B45D35"/>
    <w:rsid w:val="00B47C04"/>
    <w:rsid w:val="00B53EC1"/>
    <w:rsid w:val="00B66FA2"/>
    <w:rsid w:val="00B757C2"/>
    <w:rsid w:val="00B90553"/>
    <w:rsid w:val="00B91BBF"/>
    <w:rsid w:val="00B93818"/>
    <w:rsid w:val="00BA2588"/>
    <w:rsid w:val="00BA3C6F"/>
    <w:rsid w:val="00BA407A"/>
    <w:rsid w:val="00BB359F"/>
    <w:rsid w:val="00BB423E"/>
    <w:rsid w:val="00BC0DF6"/>
    <w:rsid w:val="00BC3841"/>
    <w:rsid w:val="00BC5E5F"/>
    <w:rsid w:val="00BC76FF"/>
    <w:rsid w:val="00BF3615"/>
    <w:rsid w:val="00BF54DA"/>
    <w:rsid w:val="00BF7933"/>
    <w:rsid w:val="00C1455B"/>
    <w:rsid w:val="00C148BB"/>
    <w:rsid w:val="00C149C4"/>
    <w:rsid w:val="00C17C17"/>
    <w:rsid w:val="00C24562"/>
    <w:rsid w:val="00C378B1"/>
    <w:rsid w:val="00C435D4"/>
    <w:rsid w:val="00C50520"/>
    <w:rsid w:val="00C63085"/>
    <w:rsid w:val="00C64EC0"/>
    <w:rsid w:val="00C70269"/>
    <w:rsid w:val="00C77359"/>
    <w:rsid w:val="00C8411D"/>
    <w:rsid w:val="00C84F06"/>
    <w:rsid w:val="00C96C5A"/>
    <w:rsid w:val="00CA1B19"/>
    <w:rsid w:val="00CA68E2"/>
    <w:rsid w:val="00CB0036"/>
    <w:rsid w:val="00CB119F"/>
    <w:rsid w:val="00CC066C"/>
    <w:rsid w:val="00CE05B1"/>
    <w:rsid w:val="00CE5A0A"/>
    <w:rsid w:val="00CE6EAE"/>
    <w:rsid w:val="00CE7964"/>
    <w:rsid w:val="00CE7AC9"/>
    <w:rsid w:val="00CE7B3E"/>
    <w:rsid w:val="00CF3C5E"/>
    <w:rsid w:val="00D055B0"/>
    <w:rsid w:val="00D07F2D"/>
    <w:rsid w:val="00D13688"/>
    <w:rsid w:val="00D14C1F"/>
    <w:rsid w:val="00D15FA8"/>
    <w:rsid w:val="00D23D4D"/>
    <w:rsid w:val="00D27938"/>
    <w:rsid w:val="00D27B83"/>
    <w:rsid w:val="00D51CC5"/>
    <w:rsid w:val="00D55851"/>
    <w:rsid w:val="00D574FF"/>
    <w:rsid w:val="00D608C7"/>
    <w:rsid w:val="00D8056F"/>
    <w:rsid w:val="00D877BB"/>
    <w:rsid w:val="00D92B61"/>
    <w:rsid w:val="00DB28E7"/>
    <w:rsid w:val="00DB3194"/>
    <w:rsid w:val="00DC08C9"/>
    <w:rsid w:val="00DD6E45"/>
    <w:rsid w:val="00DE477D"/>
    <w:rsid w:val="00DE5D74"/>
    <w:rsid w:val="00DE7CDF"/>
    <w:rsid w:val="00DF0B81"/>
    <w:rsid w:val="00DF2103"/>
    <w:rsid w:val="00DF4EF1"/>
    <w:rsid w:val="00DF6570"/>
    <w:rsid w:val="00E01833"/>
    <w:rsid w:val="00E27103"/>
    <w:rsid w:val="00E37F65"/>
    <w:rsid w:val="00E51564"/>
    <w:rsid w:val="00E62551"/>
    <w:rsid w:val="00E65451"/>
    <w:rsid w:val="00E65BBC"/>
    <w:rsid w:val="00E74166"/>
    <w:rsid w:val="00E75826"/>
    <w:rsid w:val="00E804B9"/>
    <w:rsid w:val="00E8177A"/>
    <w:rsid w:val="00E839D5"/>
    <w:rsid w:val="00E872DD"/>
    <w:rsid w:val="00E90B38"/>
    <w:rsid w:val="00E90C89"/>
    <w:rsid w:val="00E95C79"/>
    <w:rsid w:val="00EA4975"/>
    <w:rsid w:val="00EA6A5C"/>
    <w:rsid w:val="00EB06BE"/>
    <w:rsid w:val="00EB6AAF"/>
    <w:rsid w:val="00EE59CA"/>
    <w:rsid w:val="00F11449"/>
    <w:rsid w:val="00F211C0"/>
    <w:rsid w:val="00F224AE"/>
    <w:rsid w:val="00F5220F"/>
    <w:rsid w:val="00F54E60"/>
    <w:rsid w:val="00F5688C"/>
    <w:rsid w:val="00F619E7"/>
    <w:rsid w:val="00F67141"/>
    <w:rsid w:val="00F729CE"/>
    <w:rsid w:val="00F81314"/>
    <w:rsid w:val="00F86B2D"/>
    <w:rsid w:val="00F86C27"/>
    <w:rsid w:val="00F86DF0"/>
    <w:rsid w:val="00F943D8"/>
    <w:rsid w:val="00FB4035"/>
    <w:rsid w:val="00FC57FA"/>
    <w:rsid w:val="00FE3D89"/>
    <w:rsid w:val="00FE7BA7"/>
    <w:rsid w:val="00FF1C3D"/>
    <w:rsid w:val="01A00F35"/>
    <w:rsid w:val="01C738ED"/>
    <w:rsid w:val="01FC3A1D"/>
    <w:rsid w:val="04FADFF4"/>
    <w:rsid w:val="054C04E1"/>
    <w:rsid w:val="062B5C67"/>
    <w:rsid w:val="0677304A"/>
    <w:rsid w:val="081545DF"/>
    <w:rsid w:val="084E6A62"/>
    <w:rsid w:val="08500AF3"/>
    <w:rsid w:val="085C4855"/>
    <w:rsid w:val="0B4D3991"/>
    <w:rsid w:val="0EB8418C"/>
    <w:rsid w:val="10C25100"/>
    <w:rsid w:val="10C93D55"/>
    <w:rsid w:val="1166283C"/>
    <w:rsid w:val="121116F5"/>
    <w:rsid w:val="1261764A"/>
    <w:rsid w:val="13D6282D"/>
    <w:rsid w:val="154E3176"/>
    <w:rsid w:val="15810F2B"/>
    <w:rsid w:val="1AD64CA1"/>
    <w:rsid w:val="1BA74C54"/>
    <w:rsid w:val="1D681DEC"/>
    <w:rsid w:val="1D715234"/>
    <w:rsid w:val="1E5B2A2A"/>
    <w:rsid w:val="1F9778AD"/>
    <w:rsid w:val="1FEA50F2"/>
    <w:rsid w:val="20851A4B"/>
    <w:rsid w:val="21661157"/>
    <w:rsid w:val="23FC13AB"/>
    <w:rsid w:val="25975A55"/>
    <w:rsid w:val="268758BC"/>
    <w:rsid w:val="283A176A"/>
    <w:rsid w:val="297C9FFE"/>
    <w:rsid w:val="29FE0EA3"/>
    <w:rsid w:val="2A196047"/>
    <w:rsid w:val="2B1E2B1F"/>
    <w:rsid w:val="2BCB5284"/>
    <w:rsid w:val="2CB113CA"/>
    <w:rsid w:val="2CE94EF5"/>
    <w:rsid w:val="30AF403B"/>
    <w:rsid w:val="312A5656"/>
    <w:rsid w:val="32CC176F"/>
    <w:rsid w:val="32D14B5E"/>
    <w:rsid w:val="34425544"/>
    <w:rsid w:val="350B54C8"/>
    <w:rsid w:val="3557428F"/>
    <w:rsid w:val="376E07B8"/>
    <w:rsid w:val="382C5AC7"/>
    <w:rsid w:val="385F41D9"/>
    <w:rsid w:val="38C67921"/>
    <w:rsid w:val="3C7B3E9A"/>
    <w:rsid w:val="3D407E3C"/>
    <w:rsid w:val="3DBBB05E"/>
    <w:rsid w:val="3FA14DF3"/>
    <w:rsid w:val="3FCB28EB"/>
    <w:rsid w:val="40956B0D"/>
    <w:rsid w:val="41914E5E"/>
    <w:rsid w:val="41F86EF7"/>
    <w:rsid w:val="434A63BD"/>
    <w:rsid w:val="442C1488"/>
    <w:rsid w:val="4598490F"/>
    <w:rsid w:val="46F5401E"/>
    <w:rsid w:val="47486422"/>
    <w:rsid w:val="477F4934"/>
    <w:rsid w:val="47B410A3"/>
    <w:rsid w:val="4D2F6182"/>
    <w:rsid w:val="4D5F39EE"/>
    <w:rsid w:val="4E1E02D7"/>
    <w:rsid w:val="4ED92CDF"/>
    <w:rsid w:val="4F204931"/>
    <w:rsid w:val="4F7131CE"/>
    <w:rsid w:val="4F9E54A4"/>
    <w:rsid w:val="4FEC1CDB"/>
    <w:rsid w:val="519D3D71"/>
    <w:rsid w:val="546100AE"/>
    <w:rsid w:val="553E1D9B"/>
    <w:rsid w:val="565D3681"/>
    <w:rsid w:val="570B20EC"/>
    <w:rsid w:val="576F5983"/>
    <w:rsid w:val="5BFE3677"/>
    <w:rsid w:val="5D3253CE"/>
    <w:rsid w:val="5DF768B6"/>
    <w:rsid w:val="5F0C3CD1"/>
    <w:rsid w:val="60101243"/>
    <w:rsid w:val="60752339"/>
    <w:rsid w:val="618D1837"/>
    <w:rsid w:val="61A751BE"/>
    <w:rsid w:val="61BA1DB0"/>
    <w:rsid w:val="62783E92"/>
    <w:rsid w:val="62C13080"/>
    <w:rsid w:val="636050FF"/>
    <w:rsid w:val="65F412BF"/>
    <w:rsid w:val="67A62B10"/>
    <w:rsid w:val="68F9321D"/>
    <w:rsid w:val="693A5856"/>
    <w:rsid w:val="6A2D5246"/>
    <w:rsid w:val="6B9C1C35"/>
    <w:rsid w:val="6D9E487F"/>
    <w:rsid w:val="6DF149F5"/>
    <w:rsid w:val="6F671049"/>
    <w:rsid w:val="6FCE47E7"/>
    <w:rsid w:val="71F877AE"/>
    <w:rsid w:val="72957B62"/>
    <w:rsid w:val="73491A6D"/>
    <w:rsid w:val="73A82400"/>
    <w:rsid w:val="73AC53BD"/>
    <w:rsid w:val="73E1777C"/>
    <w:rsid w:val="748F20DD"/>
    <w:rsid w:val="77A30337"/>
    <w:rsid w:val="78913698"/>
    <w:rsid w:val="79F03F41"/>
    <w:rsid w:val="7AFC29D3"/>
    <w:rsid w:val="7C81468E"/>
    <w:rsid w:val="7CDD14D8"/>
    <w:rsid w:val="7E9B1B74"/>
    <w:rsid w:val="7ECE503D"/>
    <w:rsid w:val="7F1366D6"/>
    <w:rsid w:val="7FE71D12"/>
    <w:rsid w:val="7FF7C224"/>
    <w:rsid w:val="DFBBFAF0"/>
    <w:rsid w:val="DFFD01EF"/>
    <w:rsid w:val="EDFD8915"/>
    <w:rsid w:val="F3D728C5"/>
    <w:rsid w:val="F3DE24B1"/>
    <w:rsid w:val="F745DEBF"/>
    <w:rsid w:val="FF6355F5"/>
    <w:rsid w:val="FFF620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MS Serif" w:hAnsi="MS Serif" w:eastAsia="宋体" w:cs="Times New Roman"/>
      <w:sz w:val="24"/>
      <w:lang w:val="en-US" w:eastAsia="zh-CN" w:bidi="ar-SA"/>
    </w:rPr>
  </w:style>
  <w:style w:type="paragraph" w:styleId="2">
    <w:name w:val="heading 1"/>
    <w:basedOn w:val="1"/>
    <w:next w:val="1"/>
    <w:link w:val="15"/>
    <w:qFormat/>
    <w:uiPriority w:val="9"/>
    <w:pPr>
      <w:keepNext/>
      <w:keepLines/>
      <w:spacing w:before="340" w:after="330" w:line="578" w:lineRule="atLeast"/>
      <w:outlineLvl w:val="0"/>
    </w:pPr>
    <w:rPr>
      <w:rFonts w:ascii="Times New Roman" w:hAnsi="Times New Roman"/>
      <w:b/>
      <w:bCs/>
      <w:kern w:val="44"/>
      <w:sz w:val="44"/>
      <w:szCs w:val="44"/>
    </w:rPr>
  </w:style>
  <w:style w:type="paragraph" w:styleId="3">
    <w:name w:val="heading 2"/>
    <w:basedOn w:val="1"/>
    <w:next w:val="1"/>
    <w:link w:val="16"/>
    <w:qFormat/>
    <w:uiPriority w:val="9"/>
    <w:pPr>
      <w:keepNext/>
      <w:keepLines/>
      <w:spacing w:before="260" w:after="260" w:line="416" w:lineRule="atLeast"/>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Balloon Text"/>
    <w:basedOn w:val="1"/>
    <w:link w:val="12"/>
    <w:qFormat/>
    <w:uiPriority w:val="0"/>
    <w:pPr>
      <w:spacing w:line="240" w:lineRule="auto"/>
    </w:pPr>
    <w:rPr>
      <w:sz w:val="18"/>
      <w:szCs w:val="18"/>
    </w:rPr>
  </w:style>
  <w:style w:type="paragraph" w:styleId="6">
    <w:name w:val="footer"/>
    <w:basedOn w:val="1"/>
    <w:link w:val="17"/>
    <w:qFormat/>
    <w:uiPriority w:val="99"/>
    <w:pPr>
      <w:tabs>
        <w:tab w:val="center" w:pos="4153"/>
        <w:tab w:val="right" w:pos="8306"/>
      </w:tabs>
      <w:snapToGrid w:val="0"/>
      <w:spacing w:line="240" w:lineRule="atLeas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2"/>
    <w:basedOn w:val="1"/>
    <w:next w:val="1"/>
    <w:unhideWhenUsed/>
    <w:qFormat/>
    <w:uiPriority w:val="39"/>
    <w:pPr>
      <w:widowControl/>
      <w:adjustRightInd/>
      <w:spacing w:after="100" w:line="276" w:lineRule="auto"/>
      <w:ind w:left="220"/>
      <w:textAlignment w:val="auto"/>
    </w:pPr>
    <w:rPr>
      <w:rFonts w:ascii="Calibri" w:hAnsi="Calibri"/>
      <w:sz w:val="22"/>
      <w:szCs w:val="22"/>
    </w:rPr>
  </w:style>
  <w:style w:type="character" w:styleId="11">
    <w:name w:val="page number"/>
    <w:basedOn w:val="10"/>
    <w:qFormat/>
    <w:uiPriority w:val="0"/>
  </w:style>
  <w:style w:type="character" w:customStyle="1" w:styleId="12">
    <w:name w:val="批注框文本 Char"/>
    <w:link w:val="5"/>
    <w:qFormat/>
    <w:uiPriority w:val="0"/>
    <w:rPr>
      <w:sz w:val="18"/>
      <w:szCs w:val="18"/>
    </w:rPr>
  </w:style>
  <w:style w:type="paragraph" w:customStyle="1" w:styleId="13">
    <w:name w:val="Char Char"/>
    <w:basedOn w:val="4"/>
    <w:qFormat/>
    <w:uiPriority w:val="0"/>
    <w:pPr>
      <w:adjustRightInd/>
      <w:spacing w:line="240" w:lineRule="auto"/>
      <w:jc w:val="both"/>
      <w:textAlignment w:val="auto"/>
    </w:pPr>
  </w:style>
  <w:style w:type="paragraph" w:styleId="14">
    <w:name w:val="List Paragraph"/>
    <w:basedOn w:val="1"/>
    <w:qFormat/>
    <w:uiPriority w:val="34"/>
    <w:pPr>
      <w:adjustRightInd/>
      <w:spacing w:line="240" w:lineRule="auto"/>
      <w:ind w:firstLine="420" w:firstLineChars="200"/>
      <w:jc w:val="both"/>
      <w:textAlignment w:val="auto"/>
    </w:pPr>
    <w:rPr>
      <w:rFonts w:ascii="Calibri" w:hAnsi="Calibri" w:eastAsia="宋体" w:cs="Times New Roman"/>
      <w:kern w:val="2"/>
      <w:sz w:val="21"/>
      <w:szCs w:val="22"/>
    </w:rPr>
  </w:style>
  <w:style w:type="character" w:customStyle="1" w:styleId="15">
    <w:name w:val="标题 1 Char"/>
    <w:link w:val="2"/>
    <w:qFormat/>
    <w:uiPriority w:val="9"/>
    <w:rPr>
      <w:rFonts w:ascii="Times New Roman" w:hAnsi="Times New Roman"/>
      <w:b/>
      <w:bCs/>
      <w:kern w:val="44"/>
      <w:sz w:val="44"/>
      <w:szCs w:val="44"/>
    </w:rPr>
  </w:style>
  <w:style w:type="character" w:customStyle="1" w:styleId="16">
    <w:name w:val="标题 2 Char"/>
    <w:link w:val="3"/>
    <w:qFormat/>
    <w:uiPriority w:val="9"/>
    <w:rPr>
      <w:rFonts w:ascii="Cambria" w:hAnsi="Cambria"/>
      <w:b/>
      <w:bCs/>
      <w:sz w:val="32"/>
      <w:szCs w:val="32"/>
    </w:rPr>
  </w:style>
  <w:style w:type="character" w:customStyle="1" w:styleId="17">
    <w:name w:val="页脚 Char"/>
    <w:link w:val="6"/>
    <w:qFormat/>
    <w:uiPriority w:val="99"/>
    <w:rPr>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733</Words>
  <Characters>4184</Characters>
  <Lines>34</Lines>
  <Paragraphs>9</Paragraphs>
  <TotalTime>1</TotalTime>
  <ScaleCrop>false</ScaleCrop>
  <LinksUpToDate>false</LinksUpToDate>
  <CharactersWithSpaces>4908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2019-02-01T23:44:00Z</dcterms:created>
  <dc:creator>朱春礼</dc:creator>
  <cp:lastModifiedBy>greatwall</cp:lastModifiedBy>
  <cp:lastPrinted>2022-01-20T01:13:00Z</cp:lastPrinted>
  <dcterms:modified xsi:type="dcterms:W3CDTF">2023-02-02T17:39:48Z</dcterms:modified>
  <cp:revision>101</cp:revision>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FE72F47521C7440DBBE9E54214C15972</vt:lpwstr>
  </property>
</Properties>
</file>