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ordWrap/>
        <w:overflowPunct/>
        <w:topLinePunct w:val="0"/>
        <w:bidi w:val="0"/>
        <w:spacing w:line="500" w:lineRule="exact"/>
        <w:rPr>
          <w:rFonts w:hint="eastAsia" w:cs="Times New Roman"/>
          <w:u w:val="none"/>
          <w:lang w:eastAsia="zh-CN"/>
        </w:rPr>
      </w:pPr>
      <w:bookmarkStart w:id="0" w:name="_Toc27865"/>
      <w:bookmarkStart w:id="1" w:name="_Toc76683363"/>
      <w:r>
        <w:rPr>
          <w:rFonts w:hint="eastAsia" w:cs="Times New Roman"/>
          <w:u w:val="none"/>
          <w:lang w:eastAsia="zh-CN"/>
        </w:rPr>
        <w:t>天</w:t>
      </w:r>
      <w:r>
        <w:rPr>
          <w:rFonts w:hint="eastAsia" w:cs="Times New Roman"/>
          <w:u w:val="none"/>
          <w:lang w:eastAsia="zh-CN"/>
        </w:rPr>
        <w:t>津市北辰区市场监督管理局</w:t>
      </w:r>
      <w:bookmarkEnd w:id="0"/>
      <w:bookmarkEnd w:id="1"/>
    </w:p>
    <w:p>
      <w:pPr>
        <w:pStyle w:val="3"/>
        <w:pageBreakBefore w:val="0"/>
        <w:wordWrap/>
        <w:overflowPunct/>
        <w:topLinePunct w:val="0"/>
        <w:bidi w:val="0"/>
        <w:spacing w:line="500" w:lineRule="exact"/>
        <w:rPr>
          <w:rFonts w:hint="eastAsia" w:cs="Times New Roman"/>
          <w:u w:val="none"/>
          <w:lang w:eastAsia="zh-CN"/>
        </w:rPr>
      </w:pPr>
      <w:bookmarkStart w:id="2" w:name="_Toc76683364"/>
      <w:r>
        <w:rPr>
          <w:rFonts w:hint="eastAsia" w:cs="Times New Roman"/>
          <w:u w:val="none"/>
          <w:lang w:eastAsia="zh-CN"/>
        </w:rPr>
        <w:t>行政处罚决定书</w:t>
      </w:r>
      <w:bookmarkEnd w:id="2"/>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津辰市监处罚〔2021〕</w:t>
      </w:r>
      <w:r>
        <w:rPr>
          <w:rFonts w:hint="default" w:ascii="Times New Roman" w:hAnsi="Times New Roman" w:eastAsia="仿宋_GB2312" w:cs="仿宋"/>
          <w:color w:val="000000"/>
          <w:sz w:val="32"/>
          <w:szCs w:val="32"/>
          <w:u w:val="none"/>
          <w:lang w:val="en" w:eastAsia="zh-CN"/>
        </w:rPr>
        <w:t>1097</w:t>
      </w:r>
      <w:r>
        <w:rPr>
          <w:rFonts w:hint="eastAsia" w:ascii="Times New Roman" w:hAnsi="Times New Roman" w:eastAsia="仿宋_GB2312" w:cs="仿宋"/>
          <w:color w:val="000000"/>
          <w:sz w:val="32"/>
          <w:szCs w:val="32"/>
          <w:u w:val="none"/>
          <w:lang w:eastAsia="zh-CN"/>
        </w:rPr>
        <w:t>号</w:t>
      </w:r>
      <w:r>
        <w:rPr>
          <w:rFonts w:hint="eastAsia" w:ascii="Times New Roman" w:hAnsi="Times New Roman" w:eastAsia="仿宋_GB2312" w:cs="仿宋"/>
          <w:color w:val="000000"/>
          <w:sz w:val="32"/>
          <w:szCs w:val="32"/>
          <w:u w:val="none"/>
          <w:lang w:eastAsia="zh-CN"/>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当事人：天津市</w:t>
      </w:r>
      <w:r>
        <w:rPr>
          <w:rFonts w:hint="eastAsia" w:ascii="Times New Roman" w:hAnsi="Times New Roman" w:eastAsia="仿宋_GB2312" w:cs="微软雅黑"/>
          <w:kern w:val="1"/>
          <w:sz w:val="32"/>
          <w:szCs w:val="32"/>
          <w:u w:val="none"/>
          <w:lang w:eastAsia="zh-CN"/>
        </w:rPr>
        <w:t>盛斋元</w:t>
      </w:r>
      <w:r>
        <w:rPr>
          <w:rFonts w:hint="eastAsia" w:ascii="Times New Roman" w:hAnsi="Times New Roman" w:eastAsia="仿宋_GB2312" w:cs="微软雅黑"/>
          <w:kern w:val="1"/>
          <w:sz w:val="32"/>
          <w:szCs w:val="32"/>
          <w:u w:val="none"/>
        </w:rPr>
        <w:t xml:space="preserve">食品有限公司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 xml:space="preserve">主体资格证照名称： 营业执照                                     </w:t>
      </w:r>
    </w:p>
    <w:p>
      <w:pPr>
        <w:spacing w:line="560" w:lineRule="exact"/>
        <w:rPr>
          <w:rFonts w:hint="default" w:ascii="Times New Roman" w:hAnsi="Times New Roman" w:eastAsia="仿宋_GB2312" w:cs="微软雅黑"/>
          <w:kern w:val="1"/>
          <w:sz w:val="32"/>
          <w:szCs w:val="32"/>
          <w:u w:val="none"/>
          <w:lang w:val="en"/>
        </w:rPr>
      </w:pPr>
      <w:r>
        <w:rPr>
          <w:rFonts w:hint="eastAsia" w:ascii="Times New Roman" w:hAnsi="Times New Roman" w:eastAsia="仿宋_GB2312" w:cs="微软雅黑"/>
          <w:kern w:val="1"/>
          <w:sz w:val="32"/>
          <w:szCs w:val="32"/>
          <w:u w:val="none"/>
        </w:rPr>
        <w:t>统一社会信用代码：</w:t>
      </w:r>
      <w:r>
        <w:rPr>
          <w:rFonts w:hint="default" w:ascii="Times New Roman" w:hAnsi="Times New Roman" w:eastAsia="仿宋_GB2312" w:cs="微软雅黑"/>
          <w:kern w:val="1"/>
          <w:sz w:val="32"/>
          <w:szCs w:val="32"/>
          <w:u w:val="none"/>
          <w:lang w:val="en"/>
        </w:rPr>
        <w:t>9</w:t>
      </w:r>
      <w:r>
        <w:rPr>
          <w:rFonts w:hint="eastAsia" w:ascii="Times New Roman" w:hAnsi="Times New Roman" w:eastAsia="仿宋_GB2312" w:cs="微软雅黑"/>
          <w:kern w:val="1"/>
          <w:sz w:val="32"/>
          <w:szCs w:val="32"/>
          <w:u w:val="none"/>
          <w:lang w:val="en-US" w:eastAsia="zh-CN"/>
        </w:rPr>
        <w:t>1</w:t>
      </w:r>
      <w:r>
        <w:rPr>
          <w:rFonts w:hint="default" w:ascii="Times New Roman" w:hAnsi="Times New Roman" w:eastAsia="仿宋_GB2312" w:cs="微软雅黑"/>
          <w:kern w:val="1"/>
          <w:sz w:val="32"/>
          <w:szCs w:val="32"/>
          <w:u w:val="none"/>
          <w:lang w:val="en"/>
        </w:rPr>
        <w:t>120113</w:t>
      </w:r>
      <w:r>
        <w:rPr>
          <w:rFonts w:hint="eastAsia" w:ascii="Times New Roman" w:hAnsi="Times New Roman" w:eastAsia="仿宋_GB2312" w:cs="微软雅黑"/>
          <w:kern w:val="1"/>
          <w:sz w:val="32"/>
          <w:szCs w:val="32"/>
          <w:u w:val="none"/>
          <w:lang w:val="en-US" w:eastAsia="zh-CN"/>
        </w:rPr>
        <w:t>MA05P5QX7L</w:t>
      </w:r>
      <w:r>
        <w:rPr>
          <w:rFonts w:hint="default" w:ascii="Times New Roman" w:hAnsi="Times New Roman" w:eastAsia="仿宋_GB2312" w:cs="微软雅黑"/>
          <w:kern w:val="1"/>
          <w:sz w:val="32"/>
          <w:szCs w:val="32"/>
          <w:u w:val="none"/>
          <w:lang w:val="en" w:eastAsia="zh-CN"/>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住所（住址）：天津市北辰区双街镇</w:t>
      </w:r>
      <w:r>
        <w:rPr>
          <w:rFonts w:hint="eastAsia" w:ascii="Times New Roman" w:hAnsi="Times New Roman" w:eastAsia="仿宋_GB2312" w:cs="微软雅黑"/>
          <w:kern w:val="1"/>
          <w:sz w:val="32"/>
          <w:szCs w:val="32"/>
          <w:u w:val="none"/>
          <w:lang w:eastAsia="zh-CN"/>
        </w:rPr>
        <w:t>引河桥北有色线材厂内</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法定代表人（负责人、经营者）：</w:t>
      </w:r>
      <w:r>
        <w:rPr>
          <w:rFonts w:hint="eastAsia" w:ascii="Times New Roman" w:hAnsi="Times New Roman" w:eastAsia="仿宋_GB2312" w:cs="微软雅黑"/>
          <w:kern w:val="1"/>
          <w:sz w:val="32"/>
          <w:szCs w:val="32"/>
          <w:u w:val="none"/>
          <w:lang w:eastAsia="zh-CN"/>
        </w:rPr>
        <w:t>穆瑞娜</w:t>
      </w:r>
      <w:r>
        <w:rPr>
          <w:rFonts w:hint="eastAsia" w:ascii="Times New Roman" w:hAnsi="Times New Roman" w:eastAsia="仿宋_GB2312" w:cs="微软雅黑"/>
          <w:kern w:val="1"/>
          <w:sz w:val="32"/>
          <w:szCs w:val="32"/>
          <w:u w:val="none"/>
        </w:rPr>
        <w:t xml:space="preserve">                                 </w:t>
      </w:r>
    </w:p>
    <w:p>
      <w:pPr>
        <w:spacing w:line="560" w:lineRule="exact"/>
        <w:rPr>
          <w:rFonts w:hint="default" w:ascii="Times New Roman" w:hAnsi="Times New Roman" w:eastAsia="仿宋_GB2312" w:cs="微软雅黑"/>
          <w:kern w:val="1"/>
          <w:sz w:val="32"/>
          <w:szCs w:val="32"/>
          <w:u w:val="none"/>
          <w:lang w:val="en"/>
        </w:rPr>
      </w:pPr>
      <w:r>
        <w:rPr>
          <w:rFonts w:hint="eastAsia" w:ascii="Times New Roman" w:hAnsi="Times New Roman" w:eastAsia="仿宋_GB2312" w:cs="微软雅黑"/>
          <w:kern w:val="1"/>
          <w:sz w:val="32"/>
          <w:szCs w:val="32"/>
          <w:u w:val="none"/>
        </w:rPr>
        <w:t xml:space="preserve">身份证件号码： </w:t>
      </w:r>
      <w:r>
        <w:rPr>
          <w:rFonts w:hint="eastAsia" w:ascii="Times New Roman" w:hAnsi="Times New Roman" w:eastAsia="仿宋_GB2312" w:cs="微软雅黑"/>
          <w:kern w:val="1"/>
          <w:sz w:val="32"/>
          <w:szCs w:val="32"/>
          <w:u w:val="none"/>
          <w:lang w:val="en-US" w:eastAsia="zh-CN"/>
        </w:rPr>
        <w:t>******************</w:t>
      </w:r>
      <w:r>
        <w:rPr>
          <w:rFonts w:hint="default" w:ascii="Times New Roman" w:hAnsi="Times New Roman" w:eastAsia="仿宋_GB2312" w:cs="微软雅黑"/>
          <w:kern w:val="1"/>
          <w:sz w:val="32"/>
          <w:szCs w:val="32"/>
          <w:u w:val="none"/>
          <w:lang w:val="en"/>
        </w:rPr>
        <w:t xml:space="preserve">                         </w:t>
      </w:r>
    </w:p>
    <w:p>
      <w:pPr>
        <w:spacing w:line="240" w:lineRule="auto"/>
        <w:ind w:firstLine="640" w:firstLineChars="200"/>
        <w:rPr>
          <w:rFonts w:ascii="仿宋_GB2312" w:hAnsi="Calibri" w:eastAsia="仿宋_GB2312" w:cs="仿宋_GB2312"/>
          <w:color w:val="000000" w:themeColor="text1"/>
          <w:kern w:val="1"/>
          <w:sz w:val="32"/>
          <w:szCs w:val="32"/>
          <w:lang w:val="en-US" w:eastAsia="zh-CN" w:bidi="ar-SA"/>
          <w14:textFill>
            <w14:solidFill>
              <w14:schemeClr w14:val="tx1"/>
            </w14:solidFill>
          </w14:textFill>
        </w:rPr>
      </w:pP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2021年11月15日执法人员对当事人进行检查时，发现其成品冷库内存放的香辣羊肝200袋（50g/袋）、麻辣板筋80袋（50g/袋）、牛肚100袋（50g/袋）、盐水牛肉100袋（50g/袋）、牛舌80袋（50g/袋），标签上未标注生产日期。经局领导审批，执法人员依法对上述标签不符合食品安全法规定的食品实施扣押</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强制措施</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，现场送达了《实施行政强制措施决定书》（津辰市监双街实强〔20</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21</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〕19号），并告知采取行政强制措施的理由、依据及当事人依法享有的权利、救济途径。当事人放弃陈述、申辩。</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2021年</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11</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月</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19</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日</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，执法人员报经局领导批准，予以立案调查。此案现已调查终结。</w:t>
      </w:r>
    </w:p>
    <w:p>
      <w:pPr>
        <w:spacing w:line="240" w:lineRule="auto"/>
        <w:ind w:firstLine="640" w:firstLineChars="200"/>
        <w:rPr>
          <w:rFonts w:hint="default" w:ascii="仿宋_GB2312" w:eastAsia="仿宋_GB2312" w:cs="仿宋_GB2312"/>
          <w:color w:val="000000" w:themeColor="text1"/>
          <w:kern w:val="1"/>
          <w:sz w:val="32"/>
          <w:szCs w:val="32"/>
          <w:lang w:val="en"/>
          <w14:textFill>
            <w14:solidFill>
              <w14:schemeClr w14:val="tx1"/>
            </w14:solidFill>
          </w14:textFill>
        </w:rPr>
      </w:pP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经查，当事人于</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20</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17</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年</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6</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月</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15</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日取得食品</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生产</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许可证，</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在天津市</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北辰区双街镇</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引河桥北（有色线材厂内）从事肉制品加工销售。当事人在2</w:t>
      </w:r>
      <w:r>
        <w:rPr>
          <w:rFonts w:ascii="仿宋_GB2312" w:hAnsi="Calibri" w:eastAsia="仿宋_GB2312" w:cs="仿宋_GB2312"/>
          <w:color w:val="000000" w:themeColor="text1"/>
          <w:kern w:val="1"/>
          <w:sz w:val="32"/>
          <w:szCs w:val="32"/>
          <w:lang w:val="en-US" w:eastAsia="zh-CN" w:bidi="ar-SA"/>
          <w14:textFill>
            <w14:solidFill>
              <w14:schemeClr w14:val="tx1"/>
            </w14:solidFill>
          </w14:textFill>
        </w:rPr>
        <w:t>021年</w:t>
      </w:r>
      <w:r>
        <w:rPr>
          <w:rFonts w:hint="eastAsia" w:ascii="仿宋_GB2312" w:hAnsi="Calibri" w:eastAsia="仿宋_GB2312" w:cs="仿宋_GB2312"/>
          <w:color w:val="000000" w:themeColor="text1"/>
          <w:kern w:val="1"/>
          <w:sz w:val="32"/>
          <w:szCs w:val="32"/>
          <w:lang w:val="en-US" w:eastAsia="zh-CN" w:bidi="ar-SA"/>
          <w14:textFill>
            <w14:solidFill>
              <w14:schemeClr w14:val="tx1"/>
            </w14:solidFill>
          </w14:textFill>
        </w:rPr>
        <w:t>11月13日共生产香辣羊肝200袋（50g/袋）、麻辣板筋80袋（50g/袋）、牛肚100袋（50g/袋）、盐水牛肉100袋（50g/袋）、牛舌80袋（50g/袋）均未标注生产日期，当事人计划从厂区送到经销商门店后再标注生产日期，但在上述违法产品出厂前被执法人员在成品库发现。当事人可以提供投料记录、留样记录、原料供货商资质和进货票据。根据负责人提供的成本核算，产品香辣羊肝成本价2.5元/袋，售价4元/袋，麻辣板筋成本6元/袋，售价8元/袋，牛肚成本6元/袋，售价8元/袋，盐水牛肉成本7元/袋，售价10元/袋，牛舌成本7元/袋，售价8元/袋，货值金额3880元，目前尚未售出，无违法所得，上述行为满足生产经营标签不符合食品安全法规定的食品构成要件。</w:t>
      </w:r>
    </w:p>
    <w:p>
      <w:pPr>
        <w:pStyle w:val="2"/>
        <w:tabs>
          <w:tab w:val="left" w:pos="8240"/>
        </w:tabs>
        <w:spacing w:line="276" w:lineRule="auto"/>
        <w:ind w:firstLine="640" w:firstLineChars="200"/>
        <w:jc w:val="both"/>
        <w:rPr>
          <w:rFonts w:ascii="仿宋_GB2312" w:hAnsi="Calibri" w:eastAsia="仿宋_GB2312" w:cs="仿宋_GB2312"/>
          <w:color w:val="000000" w:themeColor="text1"/>
          <w:kern w:val="1"/>
          <w14:textFill>
            <w14:solidFill>
              <w14:schemeClr w14:val="tx1"/>
            </w14:solidFill>
          </w14:textFill>
        </w:rPr>
      </w:pPr>
      <w:r>
        <w:rPr>
          <w:rFonts w:ascii="仿宋_GB2312" w:hAnsi="Calibri" w:eastAsia="仿宋_GB2312" w:cs="仿宋_GB2312"/>
          <w:color w:val="000000" w:themeColor="text1"/>
          <w:kern w:val="1"/>
          <w14:textFill>
            <w14:solidFill>
              <w14:schemeClr w14:val="tx1"/>
            </w14:solidFill>
          </w14:textFill>
        </w:rPr>
        <w:t>上述事实，主要有以下证据证明：</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hint="eastAsia" w:ascii="仿宋_GB2312" w:eastAsia="仿宋_GB2312"/>
          <w:sz w:val="32"/>
          <w:szCs w:val="32"/>
          <w:u w:val="none"/>
          <w:lang w:eastAsia="zh-CN"/>
        </w:rPr>
        <w:t>生产</w:t>
      </w:r>
      <w:r>
        <w:rPr>
          <w:rFonts w:ascii="仿宋_GB2312" w:eastAsia="仿宋_GB2312"/>
          <w:sz w:val="32"/>
          <w:szCs w:val="32"/>
          <w:u w:val="none"/>
        </w:rPr>
        <w:t>许可证复印件、</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w:t>
      </w:r>
      <w:r>
        <w:rPr>
          <w:rFonts w:hint="eastAsia" w:ascii="仿宋_GB2312" w:eastAsia="仿宋_GB2312"/>
          <w:sz w:val="32"/>
          <w:szCs w:val="32"/>
          <w:u w:val="none"/>
          <w:lang w:eastAsia="zh-CN"/>
        </w:rPr>
        <w:t>、委托书、被委托书人身份证复印件</w:t>
      </w:r>
      <w:r>
        <w:rPr>
          <w:rFonts w:hint="eastAsia" w:ascii="仿宋_GB2312" w:eastAsia="仿宋_GB2312"/>
          <w:sz w:val="32"/>
          <w:szCs w:val="32"/>
          <w:u w:val="none"/>
        </w:rPr>
        <w:t>，证明当事人的主体资格；</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2、现场笔录、</w:t>
      </w:r>
      <w:r>
        <w:rPr>
          <w:rFonts w:hint="eastAsia" w:ascii="仿宋_GB2312" w:eastAsia="仿宋_GB2312"/>
          <w:color w:val="auto"/>
          <w:sz w:val="32"/>
          <w:szCs w:val="32"/>
          <w:u w:val="none"/>
        </w:rPr>
        <w:t>现场照片</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lang w:eastAsia="zh-CN"/>
        </w:rPr>
        <w:t>当事人生产</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标签不符合食品安全法规定的食品</w:t>
      </w:r>
      <w:r>
        <w:rPr>
          <w:rFonts w:hint="eastAsia" w:ascii="仿宋_GB2312" w:eastAsia="仿宋_GB2312"/>
          <w:sz w:val="32"/>
          <w:szCs w:val="32"/>
          <w:u w:val="none"/>
        </w:rPr>
        <w:t>的事实；</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3、</w:t>
      </w:r>
      <w:r>
        <w:rPr>
          <w:rFonts w:hint="eastAsia" w:ascii="仿宋_GB2312" w:eastAsia="仿宋_GB2312"/>
          <w:color w:val="auto"/>
          <w:sz w:val="32"/>
          <w:szCs w:val="32"/>
          <w:u w:val="none"/>
          <w:lang w:eastAsia="zh-CN"/>
        </w:rPr>
        <w:t>询问笔录</w:t>
      </w:r>
      <w:r>
        <w:rPr>
          <w:rFonts w:hint="eastAsia" w:ascii="仿宋_GB2312" w:eastAsia="仿宋_GB2312"/>
          <w:sz w:val="32"/>
          <w:szCs w:val="32"/>
          <w:u w:val="none"/>
        </w:rPr>
        <w:t>, 证明</w:t>
      </w:r>
      <w:r>
        <w:rPr>
          <w:rFonts w:hint="eastAsia" w:ascii="仿宋_GB2312" w:hAnsi="Times New Roman" w:eastAsia="仿宋_GB2312" w:cs="仿宋_GB2312"/>
          <w:bCs/>
          <w:sz w:val="32"/>
          <w:szCs w:val="32"/>
          <w:u w:val="none"/>
          <w:lang w:eastAsia="zh-CN"/>
        </w:rPr>
        <w:t>当事人生产</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标签不符合食品安全法规定的食品</w:t>
      </w:r>
      <w:r>
        <w:rPr>
          <w:rFonts w:hint="eastAsia" w:ascii="仿宋_GB2312" w:eastAsia="仿宋_GB2312"/>
          <w:sz w:val="32"/>
          <w:szCs w:val="32"/>
          <w:u w:val="none"/>
        </w:rPr>
        <w:t>的事实；</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eastAsia="zh-CN"/>
        </w:rPr>
        <w:t>投料</w:t>
      </w:r>
      <w:r>
        <w:rPr>
          <w:rFonts w:hint="eastAsia" w:ascii="仿宋_GB2312" w:eastAsia="仿宋_GB2312"/>
          <w:color w:val="auto"/>
          <w:sz w:val="32"/>
          <w:szCs w:val="32"/>
          <w:u w:val="none"/>
          <w:lang w:eastAsia="zh-CN"/>
        </w:rPr>
        <w:t>记录、留样记录、出厂检验报</w:t>
      </w:r>
      <w:r>
        <w:rPr>
          <w:rFonts w:hint="eastAsia" w:ascii="仿宋_GB2312" w:eastAsia="仿宋_GB2312"/>
          <w:sz w:val="32"/>
          <w:szCs w:val="32"/>
          <w:u w:val="none"/>
          <w:lang w:eastAsia="zh-CN"/>
        </w:rPr>
        <w:t>告</w:t>
      </w:r>
      <w:r>
        <w:rPr>
          <w:rFonts w:ascii="仿宋_GB2312" w:eastAsia="仿宋_GB2312"/>
          <w:sz w:val="32"/>
          <w:szCs w:val="32"/>
          <w:u w:val="none"/>
        </w:rPr>
        <w:t>，</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lang w:eastAsia="zh-CN"/>
        </w:rPr>
        <w:t>当事人生产</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标签不符合食品安全法规定的食品</w:t>
      </w:r>
      <w:r>
        <w:rPr>
          <w:rFonts w:hint="eastAsia" w:ascii="仿宋_GB2312" w:eastAsia="仿宋_GB2312"/>
          <w:sz w:val="32"/>
          <w:szCs w:val="32"/>
          <w:u w:val="none"/>
        </w:rPr>
        <w:t>的事实；</w:t>
      </w:r>
    </w:p>
    <w:p>
      <w:pPr>
        <w:spacing w:line="240" w:lineRule="auto"/>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5、货值金额计算表，证明</w:t>
      </w:r>
      <w:r>
        <w:rPr>
          <w:rFonts w:hint="eastAsia" w:ascii="仿宋_GB2312" w:hAnsi="Times New Roman" w:eastAsia="仿宋_GB2312" w:cs="仿宋_GB2312"/>
          <w:bCs/>
          <w:sz w:val="32"/>
          <w:szCs w:val="32"/>
          <w:u w:val="none"/>
          <w:lang w:eastAsia="zh-CN"/>
        </w:rPr>
        <w:t>当事人生产</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标签不符合食品安全法规定的食品的</w:t>
      </w:r>
      <w:r>
        <w:rPr>
          <w:rFonts w:hint="eastAsia" w:ascii="仿宋_GB2312" w:eastAsia="仿宋_GB2312"/>
          <w:sz w:val="32"/>
          <w:szCs w:val="32"/>
          <w:u w:val="none"/>
          <w:lang w:eastAsia="zh-CN"/>
        </w:rPr>
        <w:t>货值金额；</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6</w:t>
      </w:r>
      <w:r>
        <w:rPr>
          <w:rFonts w:hint="eastAsia" w:ascii="仿宋_GB2312" w:eastAsia="仿宋_GB2312"/>
          <w:sz w:val="32"/>
          <w:szCs w:val="32"/>
          <w:u w:val="none"/>
        </w:rPr>
        <w:t>、</w:t>
      </w:r>
      <w:r>
        <w:rPr>
          <w:rFonts w:hint="eastAsia" w:ascii="仿宋_GB2312" w:eastAsia="仿宋_GB2312"/>
          <w:sz w:val="32"/>
          <w:szCs w:val="32"/>
          <w:u w:val="none"/>
          <w:lang w:eastAsia="zh-CN"/>
        </w:rPr>
        <w:t>原料进货验收记录和供货商资质复印件</w:t>
      </w:r>
      <w:r>
        <w:rPr>
          <w:rFonts w:hint="eastAsia" w:ascii="仿宋_GB2312" w:eastAsia="仿宋_GB2312"/>
          <w:sz w:val="32"/>
          <w:szCs w:val="32"/>
          <w:u w:val="none"/>
        </w:rPr>
        <w:t>，证明当事人</w:t>
      </w:r>
      <w:r>
        <w:rPr>
          <w:rFonts w:ascii="仿宋_GB2312" w:eastAsia="仿宋_GB2312"/>
          <w:sz w:val="32"/>
          <w:szCs w:val="32"/>
          <w:u w:val="none"/>
        </w:rPr>
        <w:t>履行了</w:t>
      </w:r>
      <w:r>
        <w:rPr>
          <w:rFonts w:hint="eastAsia" w:ascii="仿宋_GB2312" w:eastAsia="仿宋_GB2312"/>
          <w:sz w:val="32"/>
          <w:szCs w:val="32"/>
          <w:u w:val="none"/>
          <w:lang w:eastAsia="zh-CN"/>
        </w:rPr>
        <w:t>原料</w:t>
      </w:r>
      <w:r>
        <w:rPr>
          <w:rFonts w:ascii="仿宋_GB2312" w:eastAsia="仿宋_GB2312"/>
          <w:sz w:val="32"/>
          <w:szCs w:val="32"/>
          <w:u w:val="none"/>
        </w:rPr>
        <w:t>进货查验的义务</w:t>
      </w:r>
      <w:r>
        <w:rPr>
          <w:rFonts w:hint="eastAsia" w:ascii="仿宋_GB2312" w:eastAsia="仿宋_GB2312"/>
          <w:sz w:val="32"/>
          <w:szCs w:val="32"/>
          <w:u w:val="none"/>
        </w:rPr>
        <w:t>。</w:t>
      </w:r>
    </w:p>
    <w:p>
      <w:pPr>
        <w:snapToGrid w:val="0"/>
        <w:spacing w:line="276" w:lineRule="auto"/>
        <w:ind w:left="105" w:leftChars="50" w:firstLine="537" w:firstLineChars="168"/>
        <w:rPr>
          <w:rFonts w:ascii="仿宋_GB2312" w:eastAsia="仿宋_GB2312" w:cs="仿宋_GB2312"/>
          <w:color w:val="000000" w:themeColor="text1"/>
          <w:kern w:val="1"/>
          <w:sz w:val="32"/>
          <w:szCs w:val="32"/>
          <w14:textFill>
            <w14:solidFill>
              <w14:schemeClr w14:val="tx1"/>
            </w14:solidFill>
          </w14:textFill>
        </w:rPr>
      </w:pPr>
      <w:r>
        <w:rPr>
          <w:rFonts w:hint="eastAsia" w:ascii="仿宋_GB2312" w:eastAsia="仿宋_GB2312" w:cs="仿宋_GB2312"/>
          <w:color w:val="000000" w:themeColor="text1"/>
          <w:kern w:val="1"/>
          <w:sz w:val="32"/>
          <w:szCs w:val="32"/>
          <w14:textFill>
            <w14:solidFill>
              <w14:schemeClr w14:val="tx1"/>
            </w14:solidFill>
          </w14:textFill>
        </w:rPr>
        <w:t>本局于</w:t>
      </w:r>
      <w:r>
        <w:rPr>
          <w:rFonts w:ascii="仿宋_GB2312" w:eastAsia="仿宋_GB2312" w:cs="仿宋_GB2312"/>
          <w:color w:val="000000" w:themeColor="text1"/>
          <w:kern w:val="1"/>
          <w:sz w:val="32"/>
          <w:szCs w:val="32"/>
          <w14:textFill>
            <w14:solidFill>
              <w14:schemeClr w14:val="tx1"/>
            </w14:solidFill>
          </w14:textFill>
        </w:rPr>
        <w:t>202</w:t>
      </w:r>
      <w:r>
        <w:rPr>
          <w:rFonts w:hint="default" w:ascii="仿宋_GB2312" w:eastAsia="仿宋_GB2312" w:cs="仿宋_GB2312"/>
          <w:color w:val="000000" w:themeColor="text1"/>
          <w:kern w:val="1"/>
          <w:sz w:val="32"/>
          <w:szCs w:val="32"/>
          <w:lang w:val="en"/>
          <w14:textFill>
            <w14:solidFill>
              <w14:schemeClr w14:val="tx1"/>
            </w14:solidFill>
          </w14:textFill>
        </w:rPr>
        <w:t>2</w:t>
      </w:r>
      <w:r>
        <w:rPr>
          <w:rFonts w:hint="eastAsia" w:ascii="仿宋_GB2312" w:eastAsia="仿宋_GB2312" w:cs="仿宋_GB2312"/>
          <w:color w:val="000000" w:themeColor="text1"/>
          <w:kern w:val="1"/>
          <w:sz w:val="32"/>
          <w:szCs w:val="32"/>
          <w14:textFill>
            <w14:solidFill>
              <w14:schemeClr w14:val="tx1"/>
            </w14:solidFill>
          </w14:textFill>
        </w:rPr>
        <w:t>年</w:t>
      </w:r>
      <w:r>
        <w:rPr>
          <w:rFonts w:hint="default" w:ascii="仿宋_GB2312" w:eastAsia="仿宋_GB2312" w:cs="仿宋_GB2312"/>
          <w:color w:val="000000" w:themeColor="text1"/>
          <w:kern w:val="1"/>
          <w:sz w:val="32"/>
          <w:szCs w:val="32"/>
          <w:lang w:val="en"/>
          <w14:textFill>
            <w14:solidFill>
              <w14:schemeClr w14:val="tx1"/>
            </w14:solidFill>
          </w14:textFill>
        </w:rPr>
        <w:t>1</w:t>
      </w:r>
      <w:r>
        <w:rPr>
          <w:rFonts w:hint="eastAsia" w:ascii="仿宋_GB2312" w:eastAsia="仿宋_GB2312" w:cs="仿宋_GB2312"/>
          <w:color w:val="000000" w:themeColor="text1"/>
          <w:kern w:val="1"/>
          <w:sz w:val="32"/>
          <w:szCs w:val="32"/>
          <w14:textFill>
            <w14:solidFill>
              <w14:schemeClr w14:val="tx1"/>
            </w14:solidFill>
          </w14:textFill>
        </w:rPr>
        <w:t>月</w:t>
      </w:r>
      <w:r>
        <w:rPr>
          <w:rFonts w:hint="default" w:ascii="仿宋_GB2312" w:eastAsia="仿宋_GB2312" w:cs="仿宋_GB2312"/>
          <w:color w:val="000000" w:themeColor="text1"/>
          <w:kern w:val="1"/>
          <w:sz w:val="32"/>
          <w:szCs w:val="32"/>
          <w:lang w:val="en"/>
          <w14:textFill>
            <w14:solidFill>
              <w14:schemeClr w14:val="tx1"/>
            </w14:solidFill>
          </w14:textFill>
        </w:rPr>
        <w:t>10</w:t>
      </w:r>
      <w:r>
        <w:rPr>
          <w:rFonts w:hint="eastAsia" w:ascii="仿宋_GB2312" w:eastAsia="仿宋_GB2312" w:cs="仿宋_GB2312"/>
          <w:color w:val="000000" w:themeColor="text1"/>
          <w:kern w:val="1"/>
          <w:sz w:val="32"/>
          <w:szCs w:val="32"/>
          <w14:textFill>
            <w14:solidFill>
              <w14:schemeClr w14:val="tx1"/>
            </w14:solidFill>
          </w14:textFill>
        </w:rPr>
        <w:t>日依法向当事人送达了《行政处罚告知书》（津辰市监罚告〔</w:t>
      </w:r>
      <w:r>
        <w:rPr>
          <w:rFonts w:ascii="仿宋_GB2312" w:eastAsia="仿宋_GB2312" w:cs="仿宋_GB2312"/>
          <w:color w:val="000000" w:themeColor="text1"/>
          <w:kern w:val="1"/>
          <w:sz w:val="32"/>
          <w:szCs w:val="32"/>
          <w14:textFill>
            <w14:solidFill>
              <w14:schemeClr w14:val="tx1"/>
            </w14:solidFill>
          </w14:textFill>
        </w:rPr>
        <w:t>2021</w:t>
      </w:r>
      <w:r>
        <w:rPr>
          <w:rFonts w:hint="eastAsia" w:ascii="仿宋_GB2312" w:eastAsia="仿宋_GB2312" w:cs="仿宋_GB2312"/>
          <w:color w:val="000000" w:themeColor="text1"/>
          <w:kern w:val="1"/>
          <w:sz w:val="32"/>
          <w:szCs w:val="32"/>
          <w14:textFill>
            <w14:solidFill>
              <w14:schemeClr w14:val="tx1"/>
            </w14:solidFill>
          </w14:textFill>
        </w:rPr>
        <w:t>〕</w:t>
      </w:r>
      <w:r>
        <w:rPr>
          <w:rFonts w:hint="default" w:ascii="仿宋_GB2312" w:eastAsia="仿宋_GB2312" w:cs="仿宋_GB2312"/>
          <w:color w:val="000000" w:themeColor="text1"/>
          <w:kern w:val="1"/>
          <w:sz w:val="32"/>
          <w:szCs w:val="32"/>
          <w:lang w:val="en"/>
          <w14:textFill>
            <w14:solidFill>
              <w14:schemeClr w14:val="tx1"/>
            </w14:solidFill>
          </w14:textFill>
        </w:rPr>
        <w:t>1097</w:t>
      </w:r>
      <w:r>
        <w:rPr>
          <w:rFonts w:hint="eastAsia" w:ascii="仿宋_GB2312" w:eastAsia="仿宋_GB2312" w:cs="仿宋_GB2312"/>
          <w:color w:val="000000" w:themeColor="text1"/>
          <w:kern w:val="1"/>
          <w:sz w:val="32"/>
          <w:szCs w:val="32"/>
          <w14:textFill>
            <w14:solidFill>
              <w14:schemeClr w14:val="tx1"/>
            </w14:solidFill>
          </w14:textFill>
        </w:rPr>
        <w:t>号），当事人没有陈述申辩意见。</w:t>
      </w:r>
    </w:p>
    <w:p>
      <w:pPr>
        <w:keepNext w:val="0"/>
        <w:keepLines w:val="0"/>
        <w:widowControl/>
        <w:suppressLineNumbers w:val="0"/>
        <w:ind w:firstLine="640" w:firstLineChars="200"/>
        <w:jc w:val="left"/>
        <w:rPr>
          <w:rFonts w:ascii="仿宋_GB2312" w:eastAsia="仿宋_GB2312" w:cs="仿宋_GB2312"/>
          <w:color w:val="000000" w:themeColor="text1"/>
          <w:kern w:val="1"/>
          <w:sz w:val="32"/>
          <w:szCs w:val="32"/>
          <w14:textFill>
            <w14:solidFill>
              <w14:schemeClr w14:val="tx1"/>
            </w14:solidFill>
          </w14:textFill>
        </w:rPr>
      </w:pPr>
      <w:r>
        <w:rPr>
          <w:rFonts w:hint="eastAsia" w:ascii="仿宋_GB2312" w:eastAsia="仿宋_GB2312" w:cs="仿宋_GB2312"/>
          <w:color w:val="000000" w:themeColor="text1"/>
          <w:kern w:val="1"/>
          <w:sz w:val="32"/>
          <w:szCs w:val="32"/>
          <w14:textFill>
            <w14:solidFill>
              <w14:schemeClr w14:val="tx1"/>
            </w14:solidFill>
          </w14:textFill>
        </w:rPr>
        <w:t>本局认为，当事人上述行为已违反《中华人民共和国食品安全法》</w:t>
      </w:r>
      <w:r>
        <w:rPr>
          <w:rFonts w:hint="eastAsia" w:ascii="仿宋_GB2312" w:eastAsia="仿宋_GB2312" w:cs="仿宋_GB2312"/>
          <w:color w:val="000000" w:themeColor="text1"/>
          <w:kern w:val="1"/>
          <w:sz w:val="32"/>
          <w:szCs w:val="32"/>
          <w:lang w:val="en-US" w:eastAsia="zh-CN"/>
          <w14:textFill>
            <w14:solidFill>
              <w14:schemeClr w14:val="tx1"/>
            </w14:solidFill>
          </w14:textFill>
        </w:rPr>
        <w:t>第六十七条第一款</w:t>
      </w:r>
      <w:r>
        <w:rPr>
          <w:rFonts w:hint="eastAsia" w:ascii="仿宋_GB2312" w:eastAsia="仿宋_GB2312" w:cs="仿宋_GB2312"/>
          <w:color w:val="000000" w:themeColor="text1"/>
          <w:kern w:val="1"/>
          <w:sz w:val="32"/>
          <w:szCs w:val="32"/>
          <w14:textFill>
            <w14:solidFill>
              <w14:schemeClr w14:val="tx1"/>
            </w14:solidFill>
          </w14:textFill>
        </w:rPr>
        <w:t>第</w:t>
      </w:r>
      <w:r>
        <w:rPr>
          <w:rFonts w:hint="eastAsia" w:ascii="仿宋_GB2312" w:eastAsia="仿宋_GB2312" w:cs="仿宋_GB2312"/>
          <w:color w:val="000000" w:themeColor="text1"/>
          <w:kern w:val="1"/>
          <w:sz w:val="32"/>
          <w:szCs w:val="32"/>
          <w:lang w:eastAsia="zh-CN"/>
          <w14:textFill>
            <w14:solidFill>
              <w14:schemeClr w14:val="tx1"/>
            </w14:solidFill>
          </w14:textFill>
        </w:rPr>
        <w:t>（一）</w:t>
      </w:r>
      <w:r>
        <w:rPr>
          <w:rFonts w:hint="eastAsia" w:ascii="仿宋_GB2312" w:eastAsia="仿宋_GB2312" w:cs="仿宋_GB2312"/>
          <w:color w:val="000000" w:themeColor="text1"/>
          <w:kern w:val="1"/>
          <w:sz w:val="32"/>
          <w:szCs w:val="32"/>
          <w14:textFill>
            <w14:solidFill>
              <w14:schemeClr w14:val="tx1"/>
            </w14:solidFill>
          </w14:textFill>
        </w:rPr>
        <w:t>项的规定“</w:t>
      </w:r>
      <w:r>
        <w:rPr>
          <w:rFonts w:hint="eastAsia" w:ascii="仿宋_GB2312" w:eastAsia="仿宋_GB2312" w:cs="仿宋_GB2312"/>
          <w:color w:val="000000" w:themeColor="text1"/>
          <w:kern w:val="1"/>
          <w:sz w:val="32"/>
          <w:szCs w:val="32"/>
          <w:lang w:val="en-US" w:eastAsia="zh-CN"/>
          <w14:textFill>
            <w14:solidFill>
              <w14:schemeClr w14:val="tx1"/>
            </w14:solidFill>
          </w14:textFill>
        </w:rPr>
        <w:t>预包装食品的包装上应当有标签。标签应当标明下列事项：（一）名称、规格、净含量、生产日期；</w:t>
      </w:r>
      <w:r>
        <w:rPr>
          <w:rFonts w:hint="eastAsia" w:ascii="仿宋_GB2312" w:eastAsia="仿宋_GB2312" w:cs="仿宋_GB2312"/>
          <w:color w:val="000000" w:themeColor="text1"/>
          <w:kern w:val="1"/>
          <w:sz w:val="32"/>
          <w:szCs w:val="32"/>
          <w14:textFill>
            <w14:solidFill>
              <w14:schemeClr w14:val="tx1"/>
            </w14:solidFill>
          </w14:textFill>
        </w:rPr>
        <w:t>”的规定。</w:t>
      </w:r>
    </w:p>
    <w:p>
      <w:pPr>
        <w:snapToGrid w:val="0"/>
        <w:spacing w:line="360" w:lineRule="auto"/>
        <w:ind w:firstLine="640" w:firstLineChars="200"/>
        <w:rPr>
          <w:rFonts w:ascii="仿宋_GB2312" w:eastAsia="仿宋_GB2312" w:cs="仿宋_GB2312"/>
          <w:color w:val="000000" w:themeColor="text1"/>
          <w:kern w:val="1"/>
          <w:sz w:val="32"/>
          <w:szCs w:val="32"/>
          <w14:textFill>
            <w14:solidFill>
              <w14:schemeClr w14:val="tx1"/>
            </w14:solidFill>
          </w14:textFill>
        </w:rPr>
      </w:pPr>
      <w:r>
        <w:rPr>
          <w:rFonts w:hint="eastAsia" w:ascii="仿宋_GB2312" w:eastAsia="仿宋_GB2312" w:cs="仿宋_GB2312"/>
          <w:color w:val="000000" w:themeColor="text1"/>
          <w:kern w:val="1"/>
          <w:sz w:val="32"/>
          <w:szCs w:val="32"/>
          <w14:textFill>
            <w14:solidFill>
              <w14:schemeClr w14:val="tx1"/>
            </w14:solidFill>
          </w14:textFill>
        </w:rPr>
        <w:t>自由裁量理由等其他需要说明的事项：</w:t>
      </w:r>
      <w:r>
        <w:rPr>
          <w:rFonts w:hint="eastAsia" w:ascii="仿宋_GB2312" w:eastAsia="仿宋_GB2312" w:cs="仿宋_GB2312"/>
          <w:color w:val="000000" w:themeColor="text1"/>
          <w:kern w:val="1"/>
          <w:sz w:val="32"/>
          <w:szCs w:val="32"/>
          <w:lang w:eastAsia="zh-CN"/>
          <w14:textFill>
            <w14:solidFill>
              <w14:schemeClr w14:val="tx1"/>
            </w14:solidFill>
          </w14:textFill>
        </w:rPr>
        <w:t>无</w:t>
      </w:r>
      <w:r>
        <w:rPr>
          <w:rFonts w:hint="eastAsia" w:ascii="仿宋_GB2312" w:eastAsia="仿宋_GB2312" w:cs="仿宋_GB2312"/>
          <w:color w:val="000000" w:themeColor="text1"/>
          <w:kern w:val="1"/>
          <w:sz w:val="32"/>
          <w:szCs w:val="32"/>
          <w14:textFill>
            <w14:solidFill>
              <w14:schemeClr w14:val="tx1"/>
            </w14:solidFill>
          </w14:textFill>
        </w:rPr>
        <w:t>。</w:t>
      </w:r>
    </w:p>
    <w:p>
      <w:pPr>
        <w:keepNext w:val="0"/>
        <w:keepLines w:val="0"/>
        <w:widowControl/>
        <w:suppressLineNumbers w:val="0"/>
        <w:ind w:firstLine="640" w:firstLineChars="200"/>
        <w:jc w:val="left"/>
        <w:rPr>
          <w:rFonts w:hint="eastAsia" w:ascii="仿宋_GB2312" w:eastAsia="仿宋_GB2312" w:cs="仿宋_GB2312"/>
          <w:color w:val="000000" w:themeColor="text1"/>
          <w:kern w:val="1"/>
          <w:sz w:val="32"/>
          <w:szCs w:val="32"/>
          <w:lang w:eastAsia="zh-CN"/>
          <w14:textFill>
            <w14:solidFill>
              <w14:schemeClr w14:val="tx1"/>
            </w14:solidFill>
          </w14:textFill>
        </w:rPr>
      </w:pPr>
      <w:r>
        <w:rPr>
          <w:rFonts w:hint="eastAsia" w:ascii="仿宋_GB2312" w:eastAsia="仿宋_GB2312" w:cs="仿宋_GB2312"/>
          <w:color w:val="000000" w:themeColor="text1"/>
          <w:kern w:val="1"/>
          <w:sz w:val="32"/>
          <w:szCs w:val="32"/>
          <w14:textFill>
            <w14:solidFill>
              <w14:schemeClr w14:val="tx1"/>
            </w14:solidFill>
          </w14:textFill>
        </w:rPr>
        <w:t>依据《中华人民共和国食品安全法》第一百二十</w:t>
      </w:r>
      <w:r>
        <w:rPr>
          <w:rFonts w:hint="eastAsia" w:ascii="仿宋_GB2312" w:eastAsia="仿宋_GB2312" w:cs="仿宋_GB2312"/>
          <w:color w:val="000000" w:themeColor="text1"/>
          <w:kern w:val="1"/>
          <w:sz w:val="32"/>
          <w:szCs w:val="32"/>
          <w:lang w:eastAsia="zh-CN"/>
          <w14:textFill>
            <w14:solidFill>
              <w14:schemeClr w14:val="tx1"/>
            </w14:solidFill>
          </w14:textFill>
        </w:rPr>
        <w:t>五</w:t>
      </w:r>
      <w:r>
        <w:rPr>
          <w:rFonts w:hint="eastAsia" w:ascii="仿宋_GB2312" w:eastAsia="仿宋_GB2312" w:cs="仿宋_GB2312"/>
          <w:color w:val="000000" w:themeColor="text1"/>
          <w:kern w:val="1"/>
          <w:sz w:val="32"/>
          <w:szCs w:val="32"/>
          <w14:textFill>
            <w14:solidFill>
              <w14:schemeClr w14:val="tx1"/>
            </w14:solidFill>
          </w14:textFill>
        </w:rPr>
        <w:t>条</w:t>
      </w:r>
      <w:r>
        <w:rPr>
          <w:rFonts w:hint="eastAsia" w:ascii="仿宋_GB2312" w:eastAsia="仿宋_GB2312" w:cs="仿宋_GB2312"/>
          <w:color w:val="000000" w:themeColor="text1"/>
          <w:kern w:val="1"/>
          <w:sz w:val="32"/>
          <w:szCs w:val="32"/>
          <w:lang w:eastAsia="zh-CN"/>
          <w14:textFill>
            <w14:solidFill>
              <w14:schemeClr w14:val="tx1"/>
            </w14:solidFill>
          </w14:textFill>
        </w:rPr>
        <w:t>第一款</w:t>
      </w:r>
      <w:r>
        <w:rPr>
          <w:rFonts w:hint="eastAsia" w:ascii="仿宋_GB2312" w:eastAsia="仿宋_GB2312" w:cs="仿宋_GB2312"/>
          <w:color w:val="000000" w:themeColor="text1"/>
          <w:kern w:val="1"/>
          <w:sz w:val="32"/>
          <w:szCs w:val="32"/>
          <w14:textFill>
            <w14:solidFill>
              <w14:schemeClr w14:val="tx1"/>
            </w14:solidFill>
          </w14:textFill>
        </w:rPr>
        <w:t>第</w:t>
      </w:r>
      <w:r>
        <w:rPr>
          <w:rFonts w:hint="eastAsia" w:ascii="仿宋_GB2312" w:eastAsia="仿宋_GB2312" w:cs="仿宋_GB2312"/>
          <w:color w:val="000000" w:themeColor="text1"/>
          <w:kern w:val="1"/>
          <w:sz w:val="32"/>
          <w:szCs w:val="32"/>
          <w:lang w:eastAsia="zh-CN"/>
          <w14:textFill>
            <w14:solidFill>
              <w14:schemeClr w14:val="tx1"/>
            </w14:solidFill>
          </w14:textFill>
        </w:rPr>
        <w:t>（二）</w:t>
      </w:r>
      <w:r>
        <w:rPr>
          <w:rFonts w:hint="eastAsia" w:ascii="仿宋_GB2312" w:eastAsia="仿宋_GB2312" w:cs="仿宋_GB2312"/>
          <w:color w:val="000000" w:themeColor="text1"/>
          <w:kern w:val="1"/>
          <w:sz w:val="32"/>
          <w:szCs w:val="32"/>
          <w14:textFill>
            <w14:solidFill>
              <w14:schemeClr w14:val="tx1"/>
            </w14:solidFill>
          </w14:textFill>
        </w:rPr>
        <w:t>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eastAsia="仿宋_GB2312" w:cs="仿宋_GB2312"/>
          <w:color w:val="000000" w:themeColor="text1"/>
          <w:kern w:val="1"/>
          <w:sz w:val="32"/>
          <w:szCs w:val="32"/>
          <w:lang w:val="en-US" w:eastAsia="zh-CN"/>
          <w14:textFill>
            <w14:solidFill>
              <w14:schemeClr w14:val="tx1"/>
            </w14:solidFill>
          </w14:textFill>
        </w:rPr>
        <w:t>（二）生产经营无标签的预包装食品、食品添加剂或者标签、说明书不符合本法规定的食品、食品添加剂；</w:t>
      </w:r>
      <w:r>
        <w:rPr>
          <w:rFonts w:hint="eastAsia" w:ascii="仿宋_GB2312" w:eastAsia="仿宋_GB2312" w:cs="仿宋_GB2312"/>
          <w:color w:val="000000" w:themeColor="text1"/>
          <w:kern w:val="1"/>
          <w:sz w:val="32"/>
          <w:szCs w:val="32"/>
          <w14:textFill>
            <w14:solidFill>
              <w14:schemeClr w14:val="tx1"/>
            </w14:solidFill>
          </w14:textFill>
        </w:rPr>
        <w:t>”的规定，责令当事人立即停止</w:t>
      </w:r>
      <w:r>
        <w:rPr>
          <w:rFonts w:hint="eastAsia" w:ascii="仿宋_GB2312" w:eastAsia="仿宋_GB2312" w:cs="仿宋_GB2312"/>
          <w:color w:val="000000" w:themeColor="text1"/>
          <w:kern w:val="1"/>
          <w:sz w:val="32"/>
          <w:szCs w:val="32"/>
          <w:lang w:eastAsia="zh-CN"/>
          <w14:textFill>
            <w14:solidFill>
              <w14:schemeClr w14:val="tx1"/>
            </w14:solidFill>
          </w14:textFill>
        </w:rPr>
        <w:t>生产经营标签不符合食品安全法规定的食品的</w:t>
      </w:r>
      <w:r>
        <w:rPr>
          <w:rFonts w:hint="eastAsia" w:ascii="仿宋_GB2312" w:eastAsia="仿宋_GB2312" w:cs="仿宋_GB2312"/>
          <w:color w:val="000000" w:themeColor="text1"/>
          <w:kern w:val="1"/>
          <w:sz w:val="32"/>
          <w:szCs w:val="32"/>
          <w14:textFill>
            <w14:solidFill>
              <w14:schemeClr w14:val="tx1"/>
            </w14:solidFill>
          </w14:textFill>
        </w:rPr>
        <w:t>行为，并对当事人给予以下行政处罚：</w:t>
      </w:r>
      <w:r>
        <w:rPr>
          <w:rFonts w:hint="eastAsia" w:ascii="仿宋_GB2312" w:eastAsia="仿宋_GB2312" w:cs="仿宋_GB2312"/>
          <w:color w:val="000000" w:themeColor="text1"/>
          <w:kern w:val="1"/>
          <w:sz w:val="32"/>
          <w:szCs w:val="32"/>
          <w:lang w:val="en-US" w:eastAsia="zh-CN"/>
          <w14:textFill>
            <w14:solidFill>
              <w14:schemeClr w14:val="tx1"/>
            </w14:solidFill>
          </w14:textFill>
        </w:rPr>
        <w:t>1</w:t>
      </w:r>
      <w:r>
        <w:rPr>
          <w:rFonts w:hint="eastAsia" w:ascii="仿宋_GB2312" w:eastAsia="仿宋_GB2312" w:cs="仿宋_GB2312"/>
          <w:color w:val="000000" w:themeColor="text1"/>
          <w:kern w:val="1"/>
          <w:sz w:val="32"/>
          <w:szCs w:val="32"/>
          <w14:textFill>
            <w14:solidFill>
              <w14:schemeClr w14:val="tx1"/>
            </w14:solidFill>
          </w14:textFill>
        </w:rPr>
        <w:t>、</w:t>
      </w:r>
      <w:r>
        <w:rPr>
          <w:rFonts w:hint="eastAsia" w:ascii="仿宋_GB2312" w:eastAsia="仿宋_GB2312" w:cs="仿宋_GB2312"/>
          <w:color w:val="000000" w:themeColor="text1"/>
          <w:kern w:val="1"/>
          <w:sz w:val="32"/>
          <w:szCs w:val="32"/>
          <w:lang w:eastAsia="zh-CN"/>
          <w14:textFill>
            <w14:solidFill>
              <w14:schemeClr w14:val="tx1"/>
            </w14:solidFill>
          </w14:textFill>
        </w:rPr>
        <w:t>没收标签不符合食品安全法规定的食品香辣羊肝</w:t>
      </w:r>
      <w:r>
        <w:rPr>
          <w:rFonts w:hint="eastAsia" w:ascii="仿宋_GB2312" w:eastAsia="仿宋_GB2312" w:cs="仿宋_GB2312"/>
          <w:color w:val="000000" w:themeColor="text1"/>
          <w:kern w:val="1"/>
          <w:sz w:val="32"/>
          <w:szCs w:val="32"/>
          <w:lang w:val="en-US" w:eastAsia="zh-CN"/>
          <w14:textFill>
            <w14:solidFill>
              <w14:schemeClr w14:val="tx1"/>
            </w14:solidFill>
          </w14:textFill>
        </w:rPr>
        <w:t>200袋（50g/袋）、麻辣板筋80袋（50g/袋）、牛肚100袋（50g/袋）、盐水牛肉100袋（50g/袋）、牛舌80袋（50g/袋）</w:t>
      </w:r>
      <w:r>
        <w:rPr>
          <w:rFonts w:hint="eastAsia" w:ascii="仿宋_GB2312" w:eastAsia="仿宋_GB2312" w:cs="仿宋_GB2312"/>
          <w:color w:val="000000" w:themeColor="text1"/>
          <w:kern w:val="1"/>
          <w:sz w:val="32"/>
          <w:szCs w:val="32"/>
          <w:lang w:eastAsia="zh-CN"/>
          <w14:textFill>
            <w14:solidFill>
              <w14:schemeClr w14:val="tx1"/>
            </w14:solidFill>
          </w14:textFill>
        </w:rPr>
        <w:t>；</w:t>
      </w:r>
      <w:r>
        <w:rPr>
          <w:rFonts w:hint="eastAsia" w:ascii="仿宋_GB2312" w:eastAsia="仿宋_GB2312" w:cs="仿宋_GB2312"/>
          <w:color w:val="000000" w:themeColor="text1"/>
          <w:kern w:val="1"/>
          <w:sz w:val="32"/>
          <w:szCs w:val="32"/>
          <w:lang w:val="en-US" w:eastAsia="zh-CN"/>
          <w14:textFill>
            <w14:solidFill>
              <w14:schemeClr w14:val="tx1"/>
            </w14:solidFill>
          </w14:textFill>
        </w:rPr>
        <w:t>2</w:t>
      </w:r>
      <w:r>
        <w:rPr>
          <w:rFonts w:hint="eastAsia" w:ascii="仿宋_GB2312" w:eastAsia="仿宋_GB2312" w:cs="仿宋_GB2312"/>
          <w:color w:val="000000" w:themeColor="text1"/>
          <w:kern w:val="1"/>
          <w:sz w:val="32"/>
          <w:szCs w:val="32"/>
          <w:lang w:eastAsia="zh-CN"/>
          <w14:textFill>
            <w14:solidFill>
              <w14:schemeClr w14:val="tx1"/>
            </w14:solidFill>
          </w14:textFill>
        </w:rPr>
        <w:t>、罚款</w:t>
      </w:r>
      <w:r>
        <w:rPr>
          <w:rFonts w:hint="eastAsia" w:ascii="仿宋_GB2312" w:eastAsia="仿宋_GB2312" w:cs="仿宋_GB2312"/>
          <w:color w:val="000000" w:themeColor="text1"/>
          <w:kern w:val="1"/>
          <w:sz w:val="32"/>
          <w:szCs w:val="32"/>
          <w:lang w:val="en-US" w:eastAsia="zh-CN"/>
          <w14:textFill>
            <w14:solidFill>
              <w14:schemeClr w14:val="tx1"/>
            </w14:solidFill>
          </w14:textFill>
        </w:rPr>
        <w:t>27</w:t>
      </w:r>
      <w:r>
        <w:rPr>
          <w:rFonts w:hint="eastAsia" w:ascii="仿宋_GB2312" w:eastAsia="仿宋_GB2312" w:cs="仿宋_GB2312"/>
          <w:color w:val="000000" w:themeColor="text1"/>
          <w:kern w:val="1"/>
          <w:sz w:val="32"/>
          <w:szCs w:val="32"/>
          <w:lang w:eastAsia="zh-CN"/>
          <w14:textFill>
            <w14:solidFill>
              <w14:schemeClr w14:val="tx1"/>
            </w14:solidFill>
          </w14:textFill>
        </w:rPr>
        <w:t>500元。</w:t>
      </w:r>
    </w:p>
    <w:p>
      <w:pPr>
        <w:keepNext w:val="0"/>
        <w:keepLines w:val="0"/>
        <w:widowControl/>
        <w:suppressLineNumbers w:val="0"/>
        <w:ind w:firstLine="640" w:firstLineChars="200"/>
        <w:jc w:val="left"/>
        <w:rPr>
          <w:rFonts w:ascii="仿宋_GB2312" w:eastAsia="仿宋_GB2312"/>
          <w:sz w:val="32"/>
          <w:szCs w:val="32"/>
        </w:rPr>
      </w:pPr>
      <w:r>
        <w:rPr>
          <w:rFonts w:hint="eastAsia" w:ascii="仿宋_GB2312" w:eastAsia="仿宋_GB2312" w:cs="仿宋_GB2312"/>
          <w:color w:val="000000" w:themeColor="text1"/>
          <w:kern w:val="1"/>
          <w:sz w:val="32"/>
          <w:szCs w:val="32"/>
          <w14:textFill>
            <w14:solidFill>
              <w14:schemeClr w14:val="tx1"/>
            </w14:solidFill>
          </w14:textFill>
        </w:rPr>
        <w:t>当事人应于收到本决定书之日起十五日内将罚（没）款缴至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rPr>
        <w:t>到期不缴纳罚款的，依据《中华人民共和国行政处罚法》第七十二条的规定，本局将每日按罚款数额的百分之三加处罚款，</w:t>
      </w:r>
      <w:r>
        <w:rPr>
          <w:rFonts w:hint="eastAsia" w:ascii="仿宋_GB2312" w:hAnsi="宋体" w:eastAsia="仿宋_GB2312"/>
          <w:sz w:val="32"/>
          <w:szCs w:val="32"/>
        </w:rPr>
        <w:t>并将依法申请人民法院强制执行。</w:t>
      </w:r>
    </w:p>
    <w:p>
      <w:pPr>
        <w:widowControl/>
        <w:snapToGrid w:val="0"/>
        <w:spacing w:line="360" w:lineRule="auto"/>
        <w:ind w:firstLine="640" w:firstLineChars="200"/>
        <w:jc w:val="left"/>
        <w:rPr>
          <w:rFonts w:ascii="Times New Roman" w:hAnsi="Times New Roman" w:eastAsia="仿宋_GB2312" w:cs="仿宋_GB2312"/>
          <w:color w:val="000000"/>
          <w:sz w:val="32"/>
          <w:szCs w:val="32"/>
        </w:rPr>
      </w:pPr>
      <w:r>
        <w:rPr>
          <w:rFonts w:hint="eastAsia" w:ascii="Times New Roman" w:hAnsi="Times New Roman" w:eastAsia="仿宋_GB2312" w:cs="仿宋"/>
          <w:bCs/>
          <w:color w:val="000000"/>
          <w:sz w:val="32"/>
          <w:szCs w:val="32"/>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20" w:lineRule="exact"/>
        <w:jc w:val="left"/>
        <w:rPr>
          <w:rFonts w:ascii="Times New Roman" w:hAnsi="Times New Roman" w:eastAsia="仿宋_GB2312" w:cs="仿宋_GB2312"/>
          <w:color w:val="000000"/>
          <w:sz w:val="32"/>
          <w:szCs w:val="32"/>
        </w:rPr>
      </w:pPr>
    </w:p>
    <w:p>
      <w:pPr>
        <w:pStyle w:val="2"/>
        <w:rPr>
          <w:rFonts w:ascii="Times New Roman" w:hAnsi="Times New Roman" w:eastAsia="仿宋_GB2312" w:cs="仿宋_GB2312"/>
          <w:color w:val="000000"/>
          <w:sz w:val="32"/>
          <w:szCs w:val="32"/>
        </w:rPr>
      </w:pPr>
    </w:p>
    <w:p>
      <w:pPr>
        <w:pStyle w:val="2"/>
        <w:rPr>
          <w:rFonts w:ascii="Times New Roman" w:hAnsi="Times New Roman" w:eastAsia="仿宋_GB2312" w:cs="仿宋_GB2312"/>
          <w:color w:val="000000"/>
          <w:sz w:val="32"/>
          <w:szCs w:val="32"/>
        </w:rPr>
      </w:pPr>
    </w:p>
    <w:p>
      <w:pPr>
        <w:pStyle w:val="2"/>
        <w:rPr>
          <w:rFonts w:ascii="Times New Roman" w:hAnsi="Times New Roman" w:eastAsia="仿宋_GB2312" w:cs="仿宋_GB2312"/>
          <w:color w:val="000000"/>
          <w:sz w:val="32"/>
          <w:szCs w:val="32"/>
        </w:rPr>
      </w:pP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天津市北辰区市场监督管理局    </w:t>
      </w:r>
    </w:p>
    <w:p>
      <w:pPr>
        <w:spacing w:line="560" w:lineRule="exact"/>
        <w:ind w:right="1440" w:firstLine="600"/>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r>
        <w:rPr>
          <w:rFonts w:hint="eastAsia" w:ascii="仿宋_GB2312" w:hAnsi="Times New Roman" w:eastAsia="仿宋_GB2312" w:cs="仿宋"/>
          <w:color w:val="000000"/>
          <w:sz w:val="32"/>
          <w:szCs w:val="32"/>
        </w:rPr>
        <w:t>2</w:t>
      </w:r>
      <w:r>
        <w:rPr>
          <w:rFonts w:ascii="仿宋_GB2312" w:hAnsi="Times New Roman" w:eastAsia="仿宋_GB2312" w:cs="仿宋"/>
          <w:color w:val="000000"/>
          <w:sz w:val="32"/>
          <w:szCs w:val="32"/>
        </w:rPr>
        <w:t>02</w:t>
      </w:r>
      <w:r>
        <w:rPr>
          <w:rFonts w:hint="eastAsia" w:ascii="仿宋_GB2312" w:hAnsi="Times New Roman" w:eastAsia="仿宋_GB2312" w:cs="仿宋"/>
          <w:color w:val="000000"/>
          <w:sz w:val="32"/>
          <w:szCs w:val="32"/>
          <w:lang w:val="en-US" w:eastAsia="zh-CN"/>
        </w:rPr>
        <w:t>2</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1</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15</w:t>
      </w:r>
      <w:r>
        <w:rPr>
          <w:rFonts w:hint="eastAsia" w:ascii="仿宋_GB2312" w:hAnsi="Times New Roman" w:eastAsia="仿宋_GB2312" w:cs="仿宋"/>
          <w:color w:val="000000"/>
          <w:sz w:val="32"/>
          <w:szCs w:val="32"/>
        </w:rPr>
        <w:t xml:space="preserve">日    </w:t>
      </w:r>
    </w:p>
    <w:p>
      <w:pPr>
        <w:spacing w:line="500" w:lineRule="exact"/>
        <w:rPr>
          <w:rFonts w:ascii="Times New Roman" w:hAnsi="Times New Roman" w:eastAsia="仿宋_GB2312" w:cs="Mongolian Baiti"/>
          <w:bCs/>
          <w:sz w:val="32"/>
          <w:szCs w:val="32"/>
        </w:rPr>
      </w:pPr>
      <w:bookmarkStart w:id="3" w:name="_GoBack"/>
      <w:bookmarkEnd w:id="3"/>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微软雅黑">
    <w:altName w:val="黑体"/>
    <w:panose1 w:val="020B0503020204020204"/>
    <w:charset w:val="00"/>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5DA1"/>
    <w:rsid w:val="004916F1"/>
    <w:rsid w:val="0049385E"/>
    <w:rsid w:val="004A6F42"/>
    <w:rsid w:val="004B3D5A"/>
    <w:rsid w:val="004C2B30"/>
    <w:rsid w:val="004C43B0"/>
    <w:rsid w:val="004D3A24"/>
    <w:rsid w:val="004D560F"/>
    <w:rsid w:val="004D6BF5"/>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50582"/>
    <w:rsid w:val="00C52929"/>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4755"/>
    <w:rsid w:val="00E24FF1"/>
    <w:rsid w:val="00E46F2E"/>
    <w:rsid w:val="00E54E33"/>
    <w:rsid w:val="00EA384A"/>
    <w:rsid w:val="00EA54CA"/>
    <w:rsid w:val="00EA77B4"/>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D237F0C"/>
    <w:rsid w:val="47DD2688"/>
    <w:rsid w:val="6B05607E"/>
    <w:rsid w:val="78FEFDEE"/>
    <w:rsid w:val="796A0725"/>
    <w:rsid w:val="7FFEC492"/>
    <w:rsid w:val="BFF7ADEC"/>
    <w:rsid w:val="DDBE1F35"/>
    <w:rsid w:val="DF7552B3"/>
    <w:rsid w:val="FDEF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Arial" w:hAnsi="Arial" w:eastAsia="方正小标宋简体"/>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344</Words>
  <Characters>1962</Characters>
  <Lines>16</Lines>
  <Paragraphs>4</Paragraphs>
  <TotalTime>1</TotalTime>
  <ScaleCrop>false</ScaleCrop>
  <LinksUpToDate>false</LinksUpToDate>
  <CharactersWithSpaces>2302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2021-08-06T18:58:00Z</dcterms:created>
  <dc:creator>林正禄</dc:creator>
  <cp:lastModifiedBy>greatwall</cp:lastModifiedBy>
  <cp:lastPrinted>2022-01-20T16:01:00Z</cp:lastPrinted>
  <dcterms:modified xsi:type="dcterms:W3CDTF">2022-01-24T17:12:10Z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DD49DF8F99944EFE80BFA39CDCDEF147</vt:lpwstr>
  </property>
</Properties>
</file>