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方正小标宋简体" w:hAnsi="方正小标宋简体" w:eastAsia="方正小标宋简体" w:cs="方正小标宋简体"/>
          <w:sz w:val="44"/>
          <w:szCs w:val="44"/>
        </w:rPr>
      </w:pPr>
      <w:r>
        <w:rPr>
          <w:rFonts w:hint="eastAsia" w:ascii="Times New Roman" w:hAnsi="Times New Roman" w:eastAsia="方正小标宋简体" w:cs="方正小标宋简体"/>
          <w:bCs/>
          <w:color w:val="000000"/>
          <w:sz w:val="44"/>
          <w:szCs w:val="44"/>
        </w:rPr>
        <w:t>天津市北辰区</w:t>
      </w:r>
      <w:r>
        <w:rPr>
          <w:rFonts w:hint="eastAsia" w:ascii="方正小标宋简体" w:hAnsi="方正小标宋简体" w:eastAsia="方正小标宋简体" w:cs="方正小标宋简体"/>
          <w:bCs/>
          <w:sz w:val="44"/>
          <w:szCs w:val="44"/>
        </w:rPr>
        <w:t>市场监督管理局</w:t>
      </w:r>
    </w:p>
    <w:p>
      <w:pPr>
        <w:spacing w:line="560" w:lineRule="exact"/>
        <w:jc w:val="center"/>
        <w:outlineLvl w:val="0"/>
        <w:rPr>
          <w:rFonts w:ascii="Times New Roman" w:hAnsi="Times New Roman" w:eastAsia="方正小标宋简体" w:cs="Mongolian Baiti"/>
          <w:bCs/>
          <w:color w:val="000000"/>
          <w:sz w:val="44"/>
          <w:szCs w:val="44"/>
        </w:rPr>
      </w:pPr>
      <w:bookmarkStart w:id="0" w:name="_Toc76683364"/>
      <w:r>
        <w:rPr>
          <w:rFonts w:ascii="Times New Roman" w:hAnsi="Mongolian Baiti" w:eastAsia="方正小标宋简体" w:cs="Mongolian Baiti"/>
          <w:bCs/>
          <w:color w:val="000000"/>
          <w:sz w:val="44"/>
          <w:szCs w:val="44"/>
        </w:rPr>
        <w:t>行政处罚决定书</w:t>
      </w:r>
      <w:bookmarkEnd w:id="0"/>
    </w:p>
    <w:p>
      <w:pPr>
        <w:widowControl/>
        <w:snapToGrid w:val="0"/>
        <w:spacing w:line="560" w:lineRule="exact"/>
        <w:ind w:right="55"/>
        <w:jc w:val="center"/>
        <w:outlineLvl w:val="1"/>
        <w:rPr>
          <w:rFonts w:hint="eastAsia" w:ascii="Times New Roman" w:hAnsi="仿宋_GB2312" w:eastAsia="仿宋_GB2312" w:cs="仿宋_GB2312"/>
          <w:bCs/>
          <w:color w:val="000000"/>
          <w:sz w:val="32"/>
          <w:szCs w:val="32"/>
        </w:rPr>
      </w:pPr>
      <w:r>
        <w:rPr>
          <w:rFonts w:hint="eastAsia" w:ascii="Times New Roman" w:hAnsi="Times New Roman" w:eastAsia="仿宋_GB2312" w:cs="仿宋_GB2312"/>
          <w:bCs/>
          <w:color w:val="000000"/>
          <w:sz w:val="32"/>
          <w:szCs w:val="32"/>
          <w:u w:val="none"/>
        </w:rPr>
        <w:t>津辰</w:t>
      </w:r>
      <w:r>
        <w:rPr>
          <w:rFonts w:hint="eastAsia" w:ascii="Times New Roman" w:hAnsi="仿宋_GB2312" w:eastAsia="仿宋_GB2312" w:cs="仿宋_GB2312"/>
          <w:bCs/>
          <w:color w:val="000000"/>
          <w:sz w:val="32"/>
          <w:szCs w:val="32"/>
          <w:u w:val="none"/>
        </w:rPr>
        <w:t>市监处罚</w:t>
      </w:r>
      <w:r>
        <w:rPr>
          <w:rFonts w:hint="eastAsia" w:ascii="仿宋_GB2312" w:hAnsi="仿宋_GB2312" w:eastAsia="仿宋_GB2312" w:cs="仿宋_GB2312"/>
          <w:bCs/>
          <w:color w:val="000000"/>
          <w:sz w:val="32"/>
          <w:szCs w:val="32"/>
          <w:u w:val="none"/>
        </w:rPr>
        <w:t>〔</w:t>
      </w:r>
      <w:r>
        <w:rPr>
          <w:rFonts w:hint="eastAsia" w:ascii="仿宋_GB2312" w:hAnsi="仿宋_GB2312" w:eastAsia="仿宋_GB2312" w:cs="仿宋_GB2312"/>
          <w:bCs/>
          <w:color w:val="000000"/>
          <w:sz w:val="32"/>
          <w:szCs w:val="32"/>
          <w:u w:val="none"/>
          <w:lang w:val="en-US" w:eastAsia="zh-CN"/>
        </w:rPr>
        <w:t>2021</w:t>
      </w:r>
      <w:r>
        <w:rPr>
          <w:rFonts w:hint="eastAsia" w:ascii="仿宋_GB2312" w:hAnsi="仿宋_GB2312" w:eastAsia="仿宋_GB2312" w:cs="仿宋_GB2312"/>
          <w:bCs/>
          <w:color w:val="000000"/>
          <w:sz w:val="32"/>
          <w:szCs w:val="32"/>
          <w:u w:val="none"/>
        </w:rPr>
        <w:t>〕</w:t>
      </w:r>
      <w:r>
        <w:rPr>
          <w:rFonts w:hint="eastAsia" w:ascii="仿宋_GB2312" w:hAnsi="仿宋_GB2312" w:eastAsia="仿宋_GB2312" w:cs="仿宋_GB2312"/>
          <w:bCs/>
          <w:color w:val="000000"/>
          <w:sz w:val="32"/>
          <w:szCs w:val="32"/>
          <w:u w:val="none"/>
          <w:lang w:val="en-US" w:eastAsia="zh-CN"/>
        </w:rPr>
        <w:t>1122</w:t>
      </w:r>
      <w:r>
        <w:rPr>
          <w:rFonts w:hint="eastAsia" w:ascii="仿宋_GB2312" w:hAnsi="仿宋_GB2312" w:eastAsia="仿宋_GB2312" w:cs="仿宋_GB2312"/>
          <w:bCs/>
          <w:color w:val="000000"/>
          <w:sz w:val="32"/>
          <w:szCs w:val="32"/>
          <w:u w:val="none"/>
        </w:rPr>
        <w:t>号</w:t>
      </w:r>
    </w:p>
    <w:p>
      <w:pPr>
        <w:widowControl/>
        <w:snapToGrid w:val="0"/>
        <w:spacing w:line="520" w:lineRule="exact"/>
        <w:ind w:right="55" w:firstLine="5440" w:firstLineChars="1700"/>
        <w:rPr>
          <w:rFonts w:hint="eastAsia" w:ascii="Times New Roman" w:hAnsi="Times New Roman" w:eastAsia="仿宋_GB2312" w:cs="Mongolian Baiti"/>
          <w:color w:val="000000"/>
          <w:sz w:val="32"/>
          <w:szCs w:val="32"/>
        </w:rPr>
      </w:pPr>
      <w:r>
        <w:rPr>
          <w:rFonts w:hint="eastAsia" w:ascii="Times New Roman" w:hAnsi="Times New Roman" w:eastAsia="仿宋_GB2312" w:cs="Mongolian Baiti"/>
          <w:color w:val="000000"/>
          <w:sz w:val="32"/>
          <w:szCs w:val="32"/>
        </w:rPr>
        <mc:AlternateContent>
          <mc:Choice Requires="wps">
            <w:drawing>
              <wp:anchor distT="0" distB="0" distL="114300" distR="114300" simplePos="0" relativeHeight="251758592" behindDoc="0" locked="0" layoutInCell="1" allowOverlap="0">
                <wp:simplePos x="0" y="0"/>
                <wp:positionH relativeFrom="column">
                  <wp:posOffset>-38100</wp:posOffset>
                </wp:positionH>
                <wp:positionV relativeFrom="paragraph">
                  <wp:posOffset>20802600</wp:posOffset>
                </wp:positionV>
                <wp:extent cx="5761990" cy="0"/>
                <wp:effectExtent l="0" t="9525" r="10160" b="9525"/>
                <wp:wrapNone/>
                <wp:docPr id="2" name="直接箭头连接符 2"/>
                <wp:cNvGraphicFramePr/>
                <a:graphic xmlns:a="http://schemas.openxmlformats.org/drawingml/2006/main">
                  <a:graphicData uri="http://schemas.microsoft.com/office/word/2010/wordprocessingShape">
                    <wps:wsp>
                      <wps:cNvCnPr/>
                      <wps:spPr>
                        <a:xfrm>
                          <a:off x="0" y="0"/>
                          <a:ext cx="5761990" cy="0"/>
                        </a:xfrm>
                        <a:prstGeom prst="straightConnector1">
                          <a:avLst/>
                        </a:prstGeom>
                        <a:ln w="19050" cap="flat" cmpd="sng">
                          <a:solidFill>
                            <a:srgbClr val="000000"/>
                          </a:solidFill>
                          <a:prstDash val="solid"/>
                          <a:headEnd type="none" w="med" len="med"/>
                          <a:tailEnd type="none" w="med" len="med"/>
                        </a:ln>
                      </wps:spPr>
                      <wps:txbx>
                        <w:txbxContent>
                          <w:p>
                            <w:pPr>
                              <w:wordWrap w:val="0"/>
                              <w:rPr>
                                <w:rFonts w:ascii="宋体" w:hAnsi="宋体"/>
                                <w:sz w:val="20"/>
                                <w:szCs w:val="20"/>
                              </w:rPr>
                            </w:pPr>
                          </w:p>
                        </w:txbxContent>
                      </wps:txbx>
                      <wps:bodyPr/>
                    </wps:wsp>
                  </a:graphicData>
                </a:graphic>
              </wp:anchor>
            </w:drawing>
          </mc:Choice>
          <mc:Fallback>
            <w:pict>
              <v:shape id="_x0000_s1026" o:spid="_x0000_s1026" o:spt="32" type="#_x0000_t32" style="position:absolute;left:0pt;margin-left:-3pt;margin-top:1638pt;height:0pt;width:453.7pt;z-index:251758592;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DhyuLC6AEAAKoDAAAO&#10;AAAAZHJzL2Uyb0RvYy54bWytU0uOEzEQ3SNxB8t70p1IM5BWOrNIGDYIIgEHqPjTbck/2SbduQQX&#10;QGIFrIDV7Oc0MByDspPJ8NkgRC/cZVfVq6rn58XFaDTZiRCVsy2dTmpKhGWOK9u19NXLywePKIkJ&#10;LAftrGjpXkR6sbx/bzH4Rsxc7zQXgSCIjc3gW9qn5JuqiqwXBuLEeWHRKV0wkHAbuooHGBDd6GpW&#10;1+fV4AL3wTERI56uD066LPhSCpaeSxlFIrql2FsqayjrNq/VcgFNF8D3ih3bgH/owoCyWPQEtYYE&#10;5HVQf0AZxYKLTqYJc6ZyUiomygw4zbT+bZoXPXhRZkFyoj/RFP8fLHu22wSieEtnlFgweEU3b6++&#10;vflw8+Xz1/dX36/fZfvTRzLLVA0+Npixsptw3EW/CXnuUQaT/zgRGQu9+xO9YkyE4eHZw/PpfI63&#10;wG591V2iDzE9Ec6QbLQ0pgCq69PKWYuX6MK00Au7pzFhaUy8TchVtSUDqm9en2V0QB1JDQlN43Gy&#10;aLuSHJ1W/FJpnVNi6LYrHcgOsjLKlydE4F/CcpU1xP4QV1wHzfQC+GPLSdp75MyiuGnuwQhOiRb4&#10;FrKFgNAkUPpvIrG0tthBJvlAa7bSuB2PXG8d3xfiSwgKorR7FG9W3M/7AnT3xJY/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Cstb/WAAAADAEAAA8AAAAAAAAAAQAgAAAAOAAAAGRycy9kb3ducmV2&#10;LnhtbFBLAQIUABQAAAAIAIdO4kDhyuLC6AEAAKoDAAAOAAAAAAAAAAEAIAAAADsBAABkcnMvZTJv&#10;RG9jLnhtbFBLBQYAAAAABgAGAFkBAACVBQAAAAA=&#10;">
                <v:fill on="f" focussize="0,0"/>
                <v:stroke weight="1.5pt" color="#000000" joinstyle="round"/>
                <v:imagedata o:title=""/>
                <o:lock v:ext="edit" aspectratio="f"/>
                <v:textbox>
                  <w:txbxContent>
                    <w:p>
                      <w:pPr>
                        <w:wordWrap w:val="0"/>
                        <w:rPr>
                          <w:rFonts w:ascii="宋体" w:hAnsi="宋体"/>
                          <w:sz w:val="20"/>
                          <w:szCs w:val="20"/>
                        </w:rPr>
                      </w:pPr>
                    </w:p>
                  </w:txbxContent>
                </v:textbox>
              </v:shape>
            </w:pict>
          </mc:Fallback>
        </mc:AlternateContent>
      </w:r>
    </w:p>
    <w:p>
      <w:pPr>
        <w:spacing w:line="520" w:lineRule="exact"/>
        <w:ind w:left="140" w:hanging="140"/>
        <w:rPr>
          <w:rFonts w:hint="eastAsia"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u w:val="none"/>
        </w:rPr>
        <w:t>当事人：</w:t>
      </w:r>
      <w:r>
        <w:rPr>
          <w:rFonts w:hint="eastAsia" w:ascii="仿宋_GB2312" w:hAnsi="仿宋_GB2312" w:eastAsia="仿宋_GB2312" w:cs="仿宋_GB2312"/>
          <w:sz w:val="32"/>
          <w:szCs w:val="32"/>
          <w:u w:val="none"/>
        </w:rPr>
        <w:t>天津市北辰区</w:t>
      </w:r>
      <w:r>
        <w:rPr>
          <w:rFonts w:hint="eastAsia" w:ascii="仿宋_GB2312" w:hAnsi="仿宋_GB2312" w:eastAsia="仿宋_GB2312" w:cs="仿宋_GB2312"/>
          <w:sz w:val="32"/>
          <w:szCs w:val="32"/>
          <w:u w:val="none"/>
          <w:lang w:eastAsia="zh-CN"/>
        </w:rPr>
        <w:t>庭语奶茶店（刘吉超）</w:t>
      </w:r>
      <w:r>
        <w:rPr>
          <w:rFonts w:hint="eastAsia" w:ascii="仿宋_GB2312" w:hAnsi="Times New Roman" w:eastAsia="仿宋_GB2312"/>
          <w:sz w:val="32"/>
          <w:szCs w:val="32"/>
          <w:u w:val="none"/>
        </w:rPr>
        <w:t xml:space="preserve">          </w:t>
      </w:r>
      <w:r>
        <w:rPr>
          <w:rFonts w:hint="eastAsia" w:ascii="仿宋_GB2312" w:hAnsi="Times New Roman" w:eastAsia="仿宋_GB2312"/>
          <w:sz w:val="32"/>
          <w:szCs w:val="32"/>
          <w:u w:val="none"/>
          <w:lang w:val="en-US" w:eastAsia="zh-CN"/>
        </w:rPr>
        <w:t xml:space="preserve">                             </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hint="eastAsia" w:ascii="Times New Roman" w:hAnsi="Times New Roman" w:eastAsia="仿宋_GB2312" w:cs="Mongolian Baiti"/>
          <w:sz w:val="32"/>
          <w:szCs w:val="32"/>
          <w:u w:val="none"/>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 xml:space="preserve">名称：营业执照                                    </w:t>
      </w:r>
    </w:p>
    <w:p>
      <w:pPr>
        <w:spacing w:line="520" w:lineRule="exact"/>
        <w:ind w:left="140" w:hanging="140"/>
        <w:rPr>
          <w:rFonts w:hint="eastAsia" w:ascii="仿宋_GB2312" w:hAnsi="仿宋_GB2312" w:eastAsia="仿宋_GB2312" w:cs="仿宋_GB2312"/>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仿宋_GB2312" w:hAnsi="仿宋_GB2312" w:eastAsia="仿宋_GB2312" w:cs="仿宋_GB2312"/>
          <w:color w:val="000000"/>
          <w:sz w:val="32"/>
          <w:szCs w:val="32"/>
          <w:lang w:val="en-US" w:eastAsia="zh-CN"/>
        </w:rPr>
        <w:t>92120113MA06JXDQ1L</w:t>
      </w:r>
      <w:r>
        <w:rPr>
          <w:rFonts w:hint="eastAsia" w:ascii="仿宋_GB2312" w:hAnsi="仿宋_GB2312" w:eastAsia="仿宋_GB2312" w:cs="仿宋_GB2312"/>
          <w:kern w:val="1"/>
          <w:sz w:val="32"/>
          <w:szCs w:val="32"/>
          <w:u w:val="none"/>
        </w:rPr>
        <w:t xml:space="preserve">                                  </w:t>
      </w:r>
    </w:p>
    <w:p>
      <w:pPr>
        <w:spacing w:line="520" w:lineRule="exact"/>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住所（住址）：</w:t>
      </w:r>
      <w:r>
        <w:rPr>
          <w:rFonts w:hint="eastAsia" w:ascii="仿宋_GB2312" w:eastAsia="仿宋_GB2312"/>
          <w:color w:val="000000"/>
          <w:sz w:val="32"/>
          <w:szCs w:val="32"/>
          <w:lang w:eastAsia="zh-CN"/>
        </w:rPr>
        <w:t>天津市北辰区果园新村街道都旺新城竹芳园</w:t>
      </w:r>
      <w:r>
        <w:rPr>
          <w:rFonts w:hint="eastAsia" w:ascii="仿宋_GB2312" w:eastAsia="仿宋_GB2312"/>
          <w:color w:val="000000"/>
          <w:sz w:val="32"/>
          <w:szCs w:val="32"/>
          <w:lang w:val="en-US" w:eastAsia="zh-CN"/>
        </w:rPr>
        <w:t>2号楼4单元101底商</w:t>
      </w:r>
      <w:r>
        <w:rPr>
          <w:rFonts w:hint="eastAsia" w:ascii="仿宋_GB2312" w:hAnsi="仿宋_GB2312" w:eastAsia="仿宋_GB2312" w:cs="仿宋_GB2312"/>
          <w:kern w:val="1"/>
          <w:sz w:val="32"/>
          <w:szCs w:val="32"/>
          <w:u w:val="none"/>
        </w:rPr>
        <w:t xml:space="preserve">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spacing w:line="520" w:lineRule="exact"/>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法定代表人（负责人</w:t>
      </w:r>
      <w:r>
        <w:rPr>
          <w:rFonts w:hint="eastAsia" w:ascii="仿宋_GB2312" w:hAnsi="仿宋_GB2312" w:eastAsia="仿宋_GB2312" w:cs="仿宋_GB2312"/>
          <w:kern w:val="1"/>
          <w:sz w:val="32"/>
          <w:szCs w:val="32"/>
          <w:u w:val="none"/>
          <w:lang w:eastAsia="zh-CN"/>
        </w:rPr>
        <w:t>、经营者</w:t>
      </w:r>
      <w:r>
        <w:rPr>
          <w:rFonts w:hint="eastAsia" w:ascii="仿宋_GB2312" w:hAnsi="仿宋_GB2312" w:eastAsia="仿宋_GB2312" w:cs="仿宋_GB2312"/>
          <w:kern w:val="1"/>
          <w:sz w:val="32"/>
          <w:szCs w:val="32"/>
          <w:u w:val="none"/>
        </w:rPr>
        <w:t>）：</w:t>
      </w:r>
      <w:r>
        <w:rPr>
          <w:rFonts w:hint="eastAsia" w:ascii="仿宋_GB2312" w:hAnsi="仿宋_GB2312" w:eastAsia="仿宋_GB2312" w:cs="仿宋_GB2312"/>
          <w:kern w:val="1"/>
          <w:sz w:val="32"/>
          <w:szCs w:val="32"/>
          <w:u w:val="none"/>
          <w:lang w:eastAsia="zh-CN"/>
        </w:rPr>
        <w:t>刘吉超</w:t>
      </w:r>
      <w:r>
        <w:rPr>
          <w:rFonts w:hint="eastAsia" w:ascii="仿宋_GB2312" w:hAnsi="仿宋_GB2312" w:eastAsia="仿宋_GB2312" w:cs="仿宋_GB2312"/>
          <w:kern w:val="1"/>
          <w:sz w:val="32"/>
          <w:szCs w:val="32"/>
          <w:u w:val="none"/>
        </w:rPr>
        <w:t xml:space="preserve">                                </w:t>
      </w:r>
    </w:p>
    <w:p>
      <w:pPr>
        <w:spacing w:line="520" w:lineRule="exact"/>
        <w:ind w:left="140" w:hanging="140"/>
        <w:rPr>
          <w:rFonts w:hint="eastAsia" w:ascii="Times New Roman" w:hAnsi="Times New Roman" w:eastAsia="仿宋_GB2312" w:cs="Mongolian Baiti"/>
          <w:kern w:val="1"/>
          <w:sz w:val="32"/>
          <w:szCs w:val="32"/>
          <w:u w:val="none"/>
        </w:rPr>
      </w:pPr>
      <w:r>
        <w:rPr>
          <w:rFonts w:hint="eastAsia" w:ascii="仿宋_GB2312" w:hAnsi="仿宋_GB2312" w:eastAsia="仿宋_GB2312" w:cs="仿宋_GB2312"/>
          <w:kern w:val="1"/>
          <w:sz w:val="32"/>
          <w:szCs w:val="32"/>
          <w:u w:val="none"/>
        </w:rPr>
        <w:t>身份证件号码：</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kern w:val="1"/>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00" w:lineRule="exact"/>
        <w:ind w:left="140" w:hanging="140"/>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联系电话：</w:t>
      </w:r>
      <w:r>
        <w:rPr>
          <w:rFonts w:hint="eastAsia" w:ascii="仿宋_GB2312" w:hAnsi="仿宋" w:eastAsia="仿宋_GB2312" w:cs="仿宋"/>
          <w:sz w:val="32"/>
          <w:szCs w:val="32"/>
          <w:u w:val="none"/>
          <w:lang w:val="en-US" w:eastAsia="zh-CN"/>
        </w:rPr>
        <w:t>/</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其他联系方式：</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spacing w:line="500" w:lineRule="exact"/>
        <w:ind w:left="140" w:hanging="140"/>
        <w:rPr>
          <w:rFonts w:ascii="Times New Roman" w:hAnsi="Times New Roman" w:eastAsia="仿宋_GB2312" w:cs="Mongolian Baiti"/>
          <w:kern w:val="1"/>
          <w:sz w:val="32"/>
          <w:szCs w:val="32"/>
          <w:u w:val="single"/>
        </w:rPr>
      </w:pPr>
      <w:r>
        <w:rPr>
          <w:rFonts w:hint="eastAsia" w:ascii="仿宋_GB2312" w:hAnsi="仿宋_GB2312" w:eastAsia="仿宋_GB2312" w:cs="仿宋_GB2312"/>
          <w:kern w:val="1"/>
          <w:sz w:val="32"/>
          <w:szCs w:val="32"/>
          <w:u w:val="none"/>
        </w:rPr>
        <w:t>联系地址：</w:t>
      </w:r>
      <w:r>
        <w:rPr>
          <w:rFonts w:hint="eastAsia" w:ascii="仿宋_GB2312" w:eastAsia="仿宋_GB2312"/>
          <w:color w:val="000000"/>
          <w:sz w:val="32"/>
          <w:szCs w:val="32"/>
          <w:lang w:val="en-US" w:eastAsia="zh-CN"/>
        </w:rPr>
        <w:t>/</w:t>
      </w:r>
      <w:r>
        <w:rPr>
          <w:rFonts w:hint="eastAsia" w:ascii="仿宋_GB2312" w:hAnsi="仿宋_GB2312" w:eastAsia="仿宋_GB2312" w:cs="仿宋_GB2312"/>
          <w:kern w:val="1"/>
          <w:sz w:val="32"/>
          <w:szCs w:val="32"/>
          <w:u w:val="none"/>
        </w:rPr>
        <w:t xml:space="preserve"> </w:t>
      </w:r>
      <w:r>
        <w:rPr>
          <w:rFonts w:hint="eastAsia" w:ascii="Times New Roman" w:hAnsi="Times New Roman" w:eastAsia="仿宋_GB2312" w:cs="Mongolian Baiti"/>
          <w:kern w:val="1"/>
          <w:sz w:val="32"/>
          <w:szCs w:val="32"/>
          <w:u w:val="none"/>
        </w:rPr>
        <w:t xml:space="preserve">   </w:t>
      </w:r>
      <w:r>
        <w:rPr>
          <w:rFonts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r>
        <w:rPr>
          <w:rFonts w:ascii="Times New Roman" w:hAnsi="Times New Roman" w:eastAsia="仿宋_GB2312" w:cs="Mongolian Baiti"/>
          <w:kern w:val="1"/>
          <w:sz w:val="32"/>
          <w:szCs w:val="32"/>
          <w:u w:val="single"/>
        </w:rPr>
        <w:t xml:space="preserve"> </w:t>
      </w:r>
    </w:p>
    <w:p>
      <w:pPr>
        <w:spacing w:line="52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color w:val="000000"/>
          <w:sz w:val="32"/>
          <w:szCs w:val="32"/>
          <w:u w:val="none"/>
        </w:rPr>
        <w:t>2021年11月</w:t>
      </w:r>
      <w:r>
        <w:rPr>
          <w:rFonts w:hint="eastAsia" w:ascii="仿宋_GB2312" w:hAnsi="仿宋_GB2312" w:eastAsia="仿宋_GB2312" w:cs="仿宋_GB2312"/>
          <w:color w:val="000000"/>
          <w:sz w:val="32"/>
          <w:szCs w:val="32"/>
          <w:u w:val="none"/>
          <w:lang w:val="en-US" w:eastAsia="zh-CN"/>
        </w:rPr>
        <w:t>23</w:t>
      </w:r>
      <w:r>
        <w:rPr>
          <w:rFonts w:hint="eastAsia" w:ascii="仿宋_GB2312" w:hAnsi="仿宋_GB2312" w:eastAsia="仿宋_GB2312" w:cs="仿宋_GB2312"/>
          <w:color w:val="000000"/>
          <w:sz w:val="32"/>
          <w:szCs w:val="32"/>
          <w:u w:val="none"/>
        </w:rPr>
        <w:t>日，本局执法人员依法对天津市北辰区</w:t>
      </w:r>
      <w:r>
        <w:rPr>
          <w:rFonts w:hint="eastAsia" w:ascii="仿宋_GB2312" w:hAnsi="仿宋_GB2312" w:eastAsia="仿宋_GB2312" w:cs="仿宋_GB2312"/>
          <w:color w:val="000000"/>
          <w:sz w:val="32"/>
          <w:szCs w:val="32"/>
          <w:u w:val="none"/>
          <w:lang w:eastAsia="zh-CN"/>
        </w:rPr>
        <w:t>庭语奶茶</w:t>
      </w:r>
      <w:r>
        <w:rPr>
          <w:rFonts w:hint="eastAsia" w:ascii="仿宋_GB2312" w:hAnsi="仿宋_GB2312" w:eastAsia="仿宋_GB2312" w:cs="仿宋_GB2312"/>
          <w:color w:val="000000"/>
          <w:sz w:val="32"/>
          <w:szCs w:val="32"/>
          <w:u w:val="none"/>
        </w:rPr>
        <w:t>店进行监督检查，现场发现该店内操作区摆放有一瓶</w:t>
      </w:r>
      <w:r>
        <w:rPr>
          <w:rFonts w:hint="eastAsia" w:ascii="仿宋_GB2312" w:hAnsi="仿宋_GB2312" w:eastAsia="仿宋_GB2312" w:cs="仿宋_GB2312"/>
          <w:color w:val="000000"/>
          <w:sz w:val="32"/>
          <w:szCs w:val="32"/>
          <w:lang w:val="en-US" w:eastAsia="zh-CN"/>
        </w:rPr>
        <w:t>“新的”百香果浓缩水果饮料（净含量：840ML/瓶）</w:t>
      </w:r>
      <w:r>
        <w:rPr>
          <w:rFonts w:hint="eastAsia" w:ascii="仿宋_GB2312" w:hAnsi="仿宋_GB2312" w:eastAsia="仿宋_GB2312" w:cs="仿宋_GB2312"/>
          <w:color w:val="000000"/>
          <w:sz w:val="32"/>
          <w:szCs w:val="32"/>
          <w:u w:val="none"/>
        </w:rPr>
        <w:t>，生产日期为20</w:t>
      </w:r>
      <w:r>
        <w:rPr>
          <w:rFonts w:hint="eastAsia" w:ascii="仿宋_GB2312" w:hAnsi="仿宋_GB2312" w:eastAsia="仿宋_GB2312" w:cs="仿宋_GB2312"/>
          <w:color w:val="000000"/>
          <w:sz w:val="32"/>
          <w:szCs w:val="32"/>
          <w:u w:val="none"/>
          <w:lang w:val="en-US" w:eastAsia="zh-CN"/>
        </w:rPr>
        <w:t>20</w:t>
      </w:r>
      <w:r>
        <w:rPr>
          <w:rFonts w:hint="eastAsia" w:ascii="仿宋_GB2312" w:hAnsi="仿宋_GB2312" w:eastAsia="仿宋_GB2312" w:cs="仿宋_GB2312"/>
          <w:color w:val="000000"/>
          <w:sz w:val="32"/>
          <w:szCs w:val="32"/>
          <w:u w:val="none"/>
        </w:rPr>
        <w:t>年</w:t>
      </w:r>
      <w:r>
        <w:rPr>
          <w:rFonts w:hint="eastAsia" w:ascii="仿宋_GB2312" w:hAnsi="仿宋_GB2312" w:eastAsia="仿宋_GB2312" w:cs="仿宋_GB2312"/>
          <w:color w:val="000000"/>
          <w:sz w:val="32"/>
          <w:szCs w:val="32"/>
          <w:u w:val="none"/>
          <w:lang w:val="en-US" w:eastAsia="zh-CN"/>
        </w:rPr>
        <w:t>8</w:t>
      </w:r>
      <w:r>
        <w:rPr>
          <w:rFonts w:hint="eastAsia" w:ascii="仿宋_GB2312" w:hAnsi="仿宋_GB2312" w:eastAsia="仿宋_GB2312" w:cs="仿宋_GB2312"/>
          <w:color w:val="000000"/>
          <w:sz w:val="32"/>
          <w:szCs w:val="32"/>
          <w:u w:val="none"/>
        </w:rPr>
        <w:t>月</w:t>
      </w:r>
      <w:r>
        <w:rPr>
          <w:rFonts w:hint="eastAsia" w:ascii="仿宋_GB2312" w:hAnsi="仿宋_GB2312" w:eastAsia="仿宋_GB2312" w:cs="仿宋_GB2312"/>
          <w:color w:val="000000"/>
          <w:sz w:val="32"/>
          <w:szCs w:val="32"/>
          <w:u w:val="none"/>
          <w:lang w:val="en-US" w:eastAsia="zh-CN"/>
        </w:rPr>
        <w:t>28</w:t>
      </w:r>
      <w:r>
        <w:rPr>
          <w:rFonts w:hint="eastAsia" w:ascii="仿宋_GB2312" w:hAnsi="仿宋_GB2312" w:eastAsia="仿宋_GB2312" w:cs="仿宋_GB2312"/>
          <w:color w:val="000000"/>
          <w:sz w:val="32"/>
          <w:szCs w:val="32"/>
          <w:u w:val="none"/>
        </w:rPr>
        <w:t>日，保质期为</w:t>
      </w:r>
      <w:r>
        <w:rPr>
          <w:rFonts w:hint="eastAsia" w:ascii="仿宋_GB2312" w:hAnsi="仿宋_GB2312" w:eastAsia="仿宋_GB2312" w:cs="仿宋_GB2312"/>
          <w:color w:val="000000"/>
          <w:sz w:val="32"/>
          <w:szCs w:val="32"/>
          <w:u w:val="none"/>
          <w:lang w:val="en-US" w:eastAsia="zh-CN"/>
        </w:rPr>
        <w:t>12个月</w:t>
      </w:r>
      <w:r>
        <w:rPr>
          <w:rFonts w:hint="eastAsia" w:ascii="仿宋_GB2312" w:hAnsi="仿宋_GB2312" w:eastAsia="仿宋_GB2312" w:cs="仿宋_GB2312"/>
          <w:color w:val="000000"/>
          <w:sz w:val="32"/>
          <w:szCs w:val="32"/>
          <w:u w:val="none"/>
        </w:rPr>
        <w:t>，上述食品已超过包装标注保质期。经局领导审批，执法人员下达了《实施行政强制措施决定书》（津辰市监新强制[2021] 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号）。依法对上述一瓶</w:t>
      </w:r>
      <w:r>
        <w:rPr>
          <w:rFonts w:hint="eastAsia" w:ascii="仿宋_GB2312" w:hAnsi="仿宋_GB2312" w:eastAsia="仿宋_GB2312" w:cs="仿宋_GB2312"/>
          <w:color w:val="000000"/>
          <w:sz w:val="32"/>
          <w:szCs w:val="32"/>
          <w:lang w:val="en-US" w:eastAsia="zh-CN"/>
        </w:rPr>
        <w:t>“新的”百香果浓缩水果饮料（净含量：840ML/瓶）</w:t>
      </w:r>
      <w:r>
        <w:rPr>
          <w:rFonts w:hint="eastAsia" w:ascii="仿宋_GB2312" w:hAnsi="仿宋_GB2312" w:eastAsia="仿宋_GB2312" w:cs="仿宋_GB2312"/>
          <w:color w:val="000000"/>
          <w:sz w:val="32"/>
          <w:szCs w:val="32"/>
          <w:u w:val="none"/>
        </w:rPr>
        <w:t>采取扣押行政强制措施。同日，执法人员报经局领导批准，予以立案调查。2021年12月</w:t>
      </w:r>
      <w:r>
        <w:rPr>
          <w:rFonts w:hint="eastAsia" w:ascii="仿宋_GB2312" w:hAnsi="仿宋_GB2312" w:eastAsia="仿宋_GB2312" w:cs="仿宋_GB2312"/>
          <w:color w:val="000000"/>
          <w:sz w:val="32"/>
          <w:szCs w:val="32"/>
          <w:u w:val="none"/>
          <w:lang w:val="en-US" w:eastAsia="zh-CN"/>
        </w:rPr>
        <w:t>22</w:t>
      </w:r>
      <w:r>
        <w:rPr>
          <w:rFonts w:hint="eastAsia" w:ascii="仿宋_GB2312" w:hAnsi="仿宋_GB2312" w:eastAsia="仿宋_GB2312" w:cs="仿宋_GB2312"/>
          <w:color w:val="000000"/>
          <w:sz w:val="32"/>
          <w:szCs w:val="32"/>
          <w:u w:val="none"/>
        </w:rPr>
        <w:t>日，经局领导批准，对该行政强制措施的期限延长30日。</w:t>
      </w:r>
      <w:r>
        <w:rPr>
          <w:rFonts w:hint="eastAsia" w:ascii="仿宋_GB2312" w:hAnsi="仿宋_GB2312" w:eastAsia="仿宋_GB2312" w:cs="仿宋_GB2312"/>
          <w:bCs/>
          <w:color w:val="000000"/>
          <w:sz w:val="32"/>
          <w:szCs w:val="32"/>
          <w:u w:val="none"/>
        </w:rPr>
        <w:t xml:space="preserve">      </w:t>
      </w:r>
      <w:r>
        <w:rPr>
          <w:rFonts w:hint="eastAsia" w:ascii="仿宋_GB2312" w:hAnsi="仿宋_GB2312" w:eastAsia="仿宋_GB2312" w:cs="仿宋_GB2312"/>
          <w:bCs/>
          <w:color w:val="000000"/>
          <w:sz w:val="32"/>
          <w:szCs w:val="32"/>
          <w:u w:val="none"/>
          <w:lang w:val="en-US" w:eastAsia="zh-CN"/>
        </w:rPr>
        <w:t xml:space="preserve">                                  </w:t>
      </w:r>
      <w:r>
        <w:rPr>
          <w:rFonts w:hint="eastAsia" w:ascii="仿宋_GB2312" w:hAnsi="仿宋_GB2312" w:eastAsia="仿宋_GB2312" w:cs="仿宋_GB2312"/>
          <w:bCs/>
          <w:color w:val="000000"/>
          <w:sz w:val="32"/>
          <w:szCs w:val="32"/>
          <w:u w:val="none"/>
        </w:rPr>
        <w:t xml:space="preserve">     </w:t>
      </w:r>
    </w:p>
    <w:p>
      <w:pPr>
        <w:spacing w:line="52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经调查核实，</w:t>
      </w:r>
      <w:r>
        <w:rPr>
          <w:rFonts w:hint="eastAsia" w:ascii="仿宋_GB2312" w:hAnsi="仿宋_GB2312" w:eastAsia="仿宋_GB2312" w:cs="仿宋_GB2312"/>
          <w:color w:val="000000"/>
          <w:sz w:val="32"/>
          <w:szCs w:val="32"/>
          <w:u w:val="none"/>
          <w:lang w:val="en-US" w:eastAsia="zh-CN"/>
        </w:rPr>
        <w:t>2021年7月2日，当事人</w:t>
      </w:r>
      <w:r>
        <w:rPr>
          <w:rFonts w:hint="eastAsia" w:ascii="仿宋_GB2312" w:hAnsi="仿宋_GB2312" w:eastAsia="仿宋_GB2312" w:cs="仿宋_GB2312"/>
          <w:color w:val="000000"/>
          <w:sz w:val="32"/>
          <w:szCs w:val="32"/>
          <w:lang w:val="en-US" w:eastAsia="zh-CN"/>
        </w:rPr>
        <w:t>从广州优品信贸易有限公司购入“新的”百香果浓缩水果饮料（净含量：840ML/瓶）一瓶</w:t>
      </w:r>
      <w:r>
        <w:rPr>
          <w:rFonts w:hint="eastAsia" w:ascii="仿宋_GB2312" w:hAnsi="仿宋_GB2312" w:eastAsia="仿宋_GB2312" w:cs="仿宋_GB2312"/>
          <w:color w:val="000000"/>
          <w:sz w:val="32"/>
          <w:szCs w:val="32"/>
          <w:u w:val="none"/>
          <w:lang w:val="en-US" w:eastAsia="zh-CN"/>
        </w:rPr>
        <w:t>，生产日期为2020年8月28日，保质期为12个月，用于勾兑果味饮料；至2021年11月23日检查时该商品已经超过包装标注保质期。上述行为满足经营超过保质期的食品的构成要件。本案货值金额40.8元，无销售台账，违法所得无法计算。</w:t>
      </w:r>
      <w:r>
        <w:rPr>
          <w:rFonts w:hint="eastAsia" w:ascii="仿宋_GB2312" w:hAnsi="仿宋_GB2312" w:eastAsia="仿宋_GB2312" w:cs="仿宋_GB2312"/>
          <w:color w:val="000000"/>
          <w:sz w:val="32"/>
          <w:szCs w:val="32"/>
          <w:u w:val="none"/>
        </w:rPr>
        <w:t xml:space="preserve">                        </w:t>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 xml:space="preserve">      </w:t>
      </w:r>
    </w:p>
    <w:p>
      <w:pPr>
        <w:spacing w:line="520" w:lineRule="exact"/>
        <w:ind w:firstLine="640" w:firstLineChars="200"/>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上述事实，主要有以下证据证明：</w:t>
      </w:r>
    </w:p>
    <w:p>
      <w:pPr>
        <w:numPr>
          <w:ilvl w:val="0"/>
          <w:numId w:val="1"/>
        </w:numPr>
        <w:spacing w:line="520" w:lineRule="exact"/>
        <w:ind w:firstLine="640" w:firstLineChars="200"/>
        <w:rPr>
          <w:rFonts w:hint="eastAsia" w:ascii="仿宋_GB2312" w:hAnsi="楷体_GB2312" w:eastAsia="仿宋_GB2312" w:cs="楷体_GB2312"/>
          <w:color w:val="000000"/>
          <w:sz w:val="32"/>
          <w:szCs w:val="32"/>
          <w:u w:val="none"/>
          <w:lang w:eastAsia="zh-CN"/>
        </w:rPr>
      </w:pPr>
      <w:r>
        <w:rPr>
          <w:rFonts w:hint="eastAsia" w:ascii="仿宋_GB2312" w:hAnsi="楷体_GB2312" w:eastAsia="仿宋_GB2312" w:cs="楷体_GB2312"/>
          <w:color w:val="000000"/>
          <w:sz w:val="32"/>
          <w:szCs w:val="32"/>
          <w:u w:val="none"/>
          <w:lang w:val="en-US" w:eastAsia="zh-CN"/>
        </w:rPr>
        <w:t>当事人的营业执照、食品经营许可证明复印件，经营者刘吉超</w:t>
      </w:r>
      <w:r>
        <w:rPr>
          <w:rFonts w:hint="eastAsia" w:ascii="仿宋_GB2312" w:hAnsi="楷体_GB2312" w:eastAsia="仿宋_GB2312" w:cs="楷体_GB2312"/>
          <w:color w:val="000000"/>
          <w:sz w:val="32"/>
          <w:szCs w:val="32"/>
          <w:u w:val="none"/>
        </w:rPr>
        <w:t>身份证复印件</w:t>
      </w:r>
      <w:r>
        <w:rPr>
          <w:rFonts w:hint="eastAsia" w:ascii="仿宋_GB2312" w:hAnsi="楷体_GB2312" w:eastAsia="仿宋_GB2312" w:cs="楷体_GB2312"/>
          <w:color w:val="000000"/>
          <w:sz w:val="32"/>
          <w:szCs w:val="32"/>
          <w:u w:val="none"/>
          <w:lang w:eastAsia="zh-CN"/>
        </w:rPr>
        <w:t>；</w:t>
      </w:r>
    </w:p>
    <w:p>
      <w:pPr>
        <w:numPr>
          <w:ilvl w:val="0"/>
          <w:numId w:val="1"/>
        </w:numPr>
        <w:spacing w:line="520" w:lineRule="exact"/>
        <w:ind w:left="0" w:leftChars="0" w:firstLine="640" w:firstLineChars="200"/>
        <w:rPr>
          <w:rFonts w:hint="eastAsia" w:ascii="仿宋_GB2312" w:hAnsi="楷体_GB2312" w:eastAsia="仿宋_GB2312" w:cs="楷体_GB2312"/>
          <w:color w:val="000000"/>
          <w:sz w:val="32"/>
          <w:szCs w:val="32"/>
          <w:u w:val="none"/>
          <w:lang w:eastAsia="zh-CN"/>
        </w:rPr>
      </w:pPr>
      <w:r>
        <w:rPr>
          <w:rFonts w:hint="eastAsia" w:ascii="仿宋_GB2312" w:hAnsi="楷体_GB2312" w:eastAsia="仿宋_GB2312" w:cs="楷体_GB2312"/>
          <w:color w:val="000000"/>
          <w:sz w:val="32"/>
          <w:szCs w:val="32"/>
          <w:u w:val="none"/>
        </w:rPr>
        <w:t>现场检查笔录、现场照片</w:t>
      </w:r>
      <w:r>
        <w:rPr>
          <w:rFonts w:hint="eastAsia" w:ascii="仿宋_GB2312" w:hAnsi="楷体_GB2312" w:eastAsia="仿宋_GB2312" w:cs="楷体_GB2312"/>
          <w:color w:val="000000"/>
          <w:sz w:val="32"/>
          <w:szCs w:val="32"/>
          <w:u w:val="none"/>
          <w:lang w:eastAsia="zh-CN"/>
        </w:rPr>
        <w:t>；</w:t>
      </w:r>
    </w:p>
    <w:p>
      <w:pPr>
        <w:numPr>
          <w:ilvl w:val="0"/>
          <w:numId w:val="1"/>
        </w:numPr>
        <w:spacing w:line="520" w:lineRule="exact"/>
        <w:ind w:left="0" w:leftChars="0" w:firstLine="640" w:firstLineChars="200"/>
        <w:rPr>
          <w:rFonts w:hint="default" w:ascii="仿宋_GB2312" w:hAnsi="楷体_GB2312" w:eastAsia="仿宋_GB2312" w:cs="楷体_GB2312"/>
          <w:color w:val="000000"/>
          <w:sz w:val="32"/>
          <w:szCs w:val="32"/>
          <w:u w:val="none"/>
          <w:lang w:val="en-US" w:eastAsia="zh-CN"/>
        </w:rPr>
      </w:pPr>
      <w:r>
        <w:rPr>
          <w:rFonts w:hint="eastAsia" w:ascii="仿宋_GB2312" w:hAnsi="楷体_GB2312" w:eastAsia="仿宋_GB2312" w:cs="楷体_GB2312"/>
          <w:color w:val="000000"/>
          <w:sz w:val="32"/>
          <w:szCs w:val="32"/>
          <w:u w:val="none"/>
        </w:rPr>
        <w:t>对</w:t>
      </w:r>
      <w:r>
        <w:rPr>
          <w:rFonts w:hint="eastAsia" w:ascii="仿宋_GB2312" w:hAnsi="楷体_GB2312" w:eastAsia="仿宋_GB2312" w:cs="楷体_GB2312"/>
          <w:color w:val="000000"/>
          <w:sz w:val="32"/>
          <w:szCs w:val="32"/>
          <w:u w:val="none"/>
          <w:lang w:eastAsia="zh-CN"/>
        </w:rPr>
        <w:t>刘吉超</w:t>
      </w:r>
      <w:r>
        <w:rPr>
          <w:rFonts w:hint="eastAsia" w:ascii="仿宋_GB2312" w:hAnsi="楷体_GB2312" w:eastAsia="仿宋_GB2312" w:cs="楷体_GB2312"/>
          <w:color w:val="000000"/>
          <w:sz w:val="32"/>
          <w:szCs w:val="32"/>
          <w:u w:val="none"/>
        </w:rPr>
        <w:t>的询问调查笔录</w:t>
      </w:r>
      <w:r>
        <w:rPr>
          <w:rFonts w:hint="eastAsia" w:ascii="仿宋_GB2312" w:hAnsi="楷体_GB2312" w:eastAsia="仿宋_GB2312" w:cs="楷体_GB2312"/>
          <w:color w:val="000000"/>
          <w:sz w:val="32"/>
          <w:szCs w:val="32"/>
          <w:u w:val="none"/>
          <w:lang w:eastAsia="zh-CN"/>
        </w:rPr>
        <w:t>；</w:t>
      </w:r>
    </w:p>
    <w:p>
      <w:pPr>
        <w:numPr>
          <w:ilvl w:val="0"/>
          <w:numId w:val="1"/>
        </w:numPr>
        <w:spacing w:line="520" w:lineRule="exact"/>
        <w:ind w:left="0" w:leftChars="0" w:firstLine="640" w:firstLineChars="200"/>
        <w:rPr>
          <w:rFonts w:hint="default" w:ascii="仿宋_GB2312" w:hAnsi="楷体_GB2312" w:eastAsia="仿宋_GB2312" w:cs="楷体_GB2312"/>
          <w:color w:val="000000"/>
          <w:sz w:val="32"/>
          <w:szCs w:val="32"/>
          <w:u w:val="none"/>
          <w:lang w:val="en-US" w:eastAsia="zh-CN"/>
        </w:rPr>
      </w:pPr>
      <w:r>
        <w:rPr>
          <w:rFonts w:hint="eastAsia" w:ascii="仿宋_GB2312" w:hAnsi="楷体_GB2312" w:eastAsia="仿宋_GB2312" w:cs="楷体_GB2312"/>
          <w:color w:val="000000"/>
          <w:sz w:val="32"/>
          <w:szCs w:val="32"/>
          <w:u w:val="none"/>
          <w:lang w:val="en-US" w:eastAsia="zh-CN"/>
        </w:rPr>
        <w:t>刘吉超提供的进货票据、供货商营业执照、食品经营许可证复印件；</w:t>
      </w:r>
    </w:p>
    <w:p>
      <w:pPr>
        <w:numPr>
          <w:ilvl w:val="0"/>
          <w:numId w:val="1"/>
        </w:numPr>
        <w:spacing w:line="520" w:lineRule="exact"/>
        <w:ind w:left="0" w:leftChars="0" w:firstLine="640" w:firstLineChars="200"/>
        <w:rPr>
          <w:rFonts w:hint="default" w:ascii="仿宋_GB2312" w:hAnsi="楷体_GB2312" w:eastAsia="仿宋_GB2312" w:cs="楷体_GB2312"/>
          <w:color w:val="000000"/>
          <w:sz w:val="32"/>
          <w:szCs w:val="32"/>
          <w:u w:val="none"/>
          <w:lang w:val="en-US" w:eastAsia="zh-CN"/>
        </w:rPr>
      </w:pPr>
      <w:r>
        <w:rPr>
          <w:rFonts w:hint="eastAsia" w:ascii="仿宋_GB2312" w:hAnsi="楷体_GB2312" w:eastAsia="仿宋_GB2312" w:cs="楷体_GB2312"/>
          <w:color w:val="000000"/>
          <w:sz w:val="32"/>
          <w:szCs w:val="32"/>
          <w:u w:val="none"/>
        </w:rPr>
        <w:t>回查现场照片及</w:t>
      </w:r>
      <w:r>
        <w:rPr>
          <w:rFonts w:hint="eastAsia" w:ascii="仿宋_GB2312" w:hAnsi="楷体_GB2312" w:eastAsia="仿宋_GB2312" w:cs="楷体_GB2312"/>
          <w:color w:val="000000"/>
          <w:sz w:val="32"/>
          <w:szCs w:val="32"/>
          <w:u w:val="none"/>
          <w:lang w:eastAsia="zh-CN"/>
        </w:rPr>
        <w:t>现场</w:t>
      </w:r>
      <w:r>
        <w:rPr>
          <w:rFonts w:hint="eastAsia" w:ascii="仿宋_GB2312" w:hAnsi="楷体_GB2312" w:eastAsia="仿宋_GB2312" w:cs="楷体_GB2312"/>
          <w:color w:val="000000"/>
          <w:sz w:val="32"/>
          <w:szCs w:val="32"/>
          <w:u w:val="none"/>
        </w:rPr>
        <w:t>笔录</w:t>
      </w:r>
      <w:r>
        <w:rPr>
          <w:rFonts w:hint="eastAsia" w:ascii="仿宋_GB2312" w:hAnsi="楷体_GB2312" w:eastAsia="仿宋_GB2312" w:cs="楷体_GB2312"/>
          <w:color w:val="000000"/>
          <w:sz w:val="32"/>
          <w:szCs w:val="32"/>
          <w:u w:val="none"/>
          <w:lang w:eastAsia="zh-CN"/>
        </w:rPr>
        <w:t>；</w:t>
      </w:r>
    </w:p>
    <w:p>
      <w:pPr>
        <w:numPr>
          <w:ilvl w:val="0"/>
          <w:numId w:val="1"/>
        </w:numPr>
        <w:spacing w:line="520" w:lineRule="exact"/>
        <w:ind w:left="0" w:leftChars="0" w:firstLine="640" w:firstLineChars="200"/>
        <w:rPr>
          <w:rFonts w:hint="default" w:ascii="仿宋_GB2312" w:hAnsi="楷体_GB2312" w:eastAsia="仿宋_GB2312" w:cs="楷体_GB2312"/>
          <w:color w:val="000000"/>
          <w:sz w:val="32"/>
          <w:szCs w:val="32"/>
          <w:u w:val="none"/>
          <w:lang w:val="en-US" w:eastAsia="zh-CN"/>
        </w:rPr>
      </w:pPr>
      <w:r>
        <w:rPr>
          <w:rFonts w:hint="eastAsia" w:ascii="仿宋_GB2312" w:hAnsi="楷体_GB2312" w:eastAsia="仿宋_GB2312" w:cs="楷体_GB2312"/>
          <w:color w:val="000000"/>
          <w:sz w:val="32"/>
          <w:szCs w:val="32"/>
          <w:u w:val="none"/>
          <w:lang w:val="en-US" w:eastAsia="zh-CN"/>
        </w:rPr>
        <w:t xml:space="preserve">整改报告。        </w:t>
      </w:r>
    </w:p>
    <w:p>
      <w:pPr>
        <w:spacing w:line="520" w:lineRule="exact"/>
        <w:ind w:firstLine="640" w:firstLineChars="200"/>
        <w:rPr>
          <w:rFonts w:ascii="Times New Roman" w:hAnsi="Times New Roman" w:eastAsia="仿宋_GB2312" w:cs="仿宋"/>
          <w:color w:val="000000"/>
          <w:sz w:val="32"/>
          <w:szCs w:val="32"/>
          <w:u w:val="none"/>
        </w:rPr>
      </w:pPr>
      <w:r>
        <w:rPr>
          <w:rFonts w:hint="eastAsia" w:ascii="仿宋_GB2312" w:hAnsi="楷体_GB2312" w:eastAsia="仿宋_GB2312" w:cs="楷体_GB2312"/>
          <w:color w:val="000000"/>
          <w:sz w:val="32"/>
          <w:szCs w:val="32"/>
          <w:u w:val="none"/>
        </w:rPr>
        <w:t>本局于20</w:t>
      </w:r>
      <w:r>
        <w:rPr>
          <w:rFonts w:hint="eastAsia" w:ascii="仿宋_GB2312" w:hAnsi="楷体_GB2312" w:eastAsia="仿宋_GB2312" w:cs="楷体_GB2312"/>
          <w:color w:val="000000"/>
          <w:sz w:val="32"/>
          <w:szCs w:val="32"/>
          <w:u w:val="none"/>
          <w:lang w:val="en-US" w:eastAsia="zh-CN"/>
        </w:rPr>
        <w:t>22</w:t>
      </w:r>
      <w:r>
        <w:rPr>
          <w:rFonts w:hint="eastAsia" w:ascii="仿宋_GB2312" w:hAnsi="楷体_GB2312" w:eastAsia="仿宋_GB2312" w:cs="楷体_GB2312"/>
          <w:color w:val="000000"/>
          <w:sz w:val="32"/>
          <w:szCs w:val="32"/>
          <w:u w:val="none"/>
        </w:rPr>
        <w:t>年</w:t>
      </w:r>
      <w:r>
        <w:rPr>
          <w:rFonts w:hint="eastAsia" w:ascii="仿宋_GB2312" w:hAnsi="楷体_GB2312" w:eastAsia="仿宋_GB2312" w:cs="楷体_GB2312"/>
          <w:color w:val="000000"/>
          <w:sz w:val="32"/>
          <w:szCs w:val="32"/>
          <w:u w:val="none"/>
          <w:lang w:val="en-US" w:eastAsia="zh-CN"/>
        </w:rPr>
        <w:t>1</w:t>
      </w:r>
      <w:r>
        <w:rPr>
          <w:rFonts w:hint="eastAsia" w:ascii="仿宋_GB2312" w:hAnsi="楷体_GB2312" w:eastAsia="仿宋_GB2312" w:cs="楷体_GB2312"/>
          <w:color w:val="000000"/>
          <w:sz w:val="32"/>
          <w:szCs w:val="32"/>
          <w:u w:val="none"/>
        </w:rPr>
        <w:t>月</w:t>
      </w:r>
      <w:r>
        <w:rPr>
          <w:rFonts w:hint="eastAsia" w:ascii="仿宋_GB2312" w:hAnsi="楷体_GB2312" w:eastAsia="仿宋_GB2312" w:cs="楷体_GB2312"/>
          <w:color w:val="000000"/>
          <w:sz w:val="32"/>
          <w:szCs w:val="32"/>
          <w:u w:val="none"/>
          <w:lang w:val="en-US" w:eastAsia="zh-CN"/>
        </w:rPr>
        <w:t>14</w:t>
      </w:r>
      <w:r>
        <w:rPr>
          <w:rFonts w:hint="eastAsia" w:ascii="仿宋_GB2312" w:hAnsi="楷体_GB2312" w:eastAsia="仿宋_GB2312" w:cs="楷体_GB2312"/>
          <w:color w:val="000000"/>
          <w:sz w:val="32"/>
          <w:szCs w:val="32"/>
          <w:u w:val="none"/>
        </w:rPr>
        <w:t>日依法向当事人送达了《行政处罚告知书》（</w:t>
      </w:r>
      <w:r>
        <w:rPr>
          <w:rFonts w:hint="eastAsia" w:ascii="仿宋_GB2312" w:hAnsi="Arial" w:eastAsia="仿宋_GB2312" w:cs="Arial"/>
          <w:color w:val="000000"/>
          <w:sz w:val="32"/>
          <w:szCs w:val="32"/>
          <w:u w:val="none"/>
          <w:shd w:val="clear" w:color="auto" w:fill="FFFFFF"/>
        </w:rPr>
        <w:t>津</w:t>
      </w:r>
      <w:r>
        <w:rPr>
          <w:rFonts w:hint="eastAsia" w:ascii="仿宋_GB2312" w:hAnsi="Arial" w:eastAsia="仿宋_GB2312" w:cs="Arial"/>
          <w:color w:val="000000"/>
          <w:sz w:val="32"/>
          <w:szCs w:val="32"/>
          <w:u w:val="none"/>
          <w:shd w:val="clear" w:color="auto" w:fill="FFFFFF"/>
          <w:lang w:eastAsia="zh-CN"/>
        </w:rPr>
        <w:t>辰</w:t>
      </w:r>
      <w:r>
        <w:rPr>
          <w:rFonts w:hint="eastAsia" w:ascii="仿宋_GB2312" w:hAnsi="Arial" w:eastAsia="仿宋_GB2312" w:cs="Arial"/>
          <w:color w:val="000000"/>
          <w:sz w:val="32"/>
          <w:szCs w:val="32"/>
          <w:u w:val="none"/>
          <w:shd w:val="clear" w:color="auto" w:fill="FFFFFF"/>
        </w:rPr>
        <w:t>市监罚告〔20</w:t>
      </w:r>
      <w:r>
        <w:rPr>
          <w:rFonts w:hint="eastAsia" w:ascii="仿宋_GB2312" w:hAnsi="Arial" w:eastAsia="仿宋_GB2312" w:cs="Arial"/>
          <w:color w:val="000000"/>
          <w:sz w:val="32"/>
          <w:szCs w:val="32"/>
          <w:u w:val="none"/>
          <w:shd w:val="clear" w:color="auto" w:fill="FFFFFF"/>
          <w:lang w:val="en-US" w:eastAsia="zh-CN"/>
        </w:rPr>
        <w:t>21</w:t>
      </w:r>
      <w:r>
        <w:rPr>
          <w:rFonts w:hint="eastAsia" w:ascii="仿宋_GB2312" w:hAnsi="Arial" w:eastAsia="仿宋_GB2312" w:cs="Arial"/>
          <w:color w:val="000000"/>
          <w:sz w:val="32"/>
          <w:szCs w:val="32"/>
          <w:u w:val="none"/>
          <w:shd w:val="clear" w:color="auto" w:fill="FFFFFF"/>
        </w:rPr>
        <w:t>〕</w:t>
      </w:r>
      <w:r>
        <w:rPr>
          <w:rFonts w:hint="eastAsia" w:ascii="仿宋_GB2312" w:hAnsi="Arial" w:eastAsia="仿宋_GB2312" w:cs="Arial"/>
          <w:color w:val="000000"/>
          <w:sz w:val="32"/>
          <w:szCs w:val="32"/>
          <w:u w:val="none"/>
          <w:shd w:val="clear" w:color="auto" w:fill="FFFFFF"/>
          <w:lang w:val="en-US" w:eastAsia="zh-CN"/>
        </w:rPr>
        <w:t>1122</w:t>
      </w:r>
      <w:r>
        <w:rPr>
          <w:rFonts w:hint="eastAsia" w:ascii="仿宋_GB2312" w:hAnsi="Arial" w:eastAsia="仿宋_GB2312" w:cs="Arial"/>
          <w:color w:val="000000"/>
          <w:sz w:val="32"/>
          <w:szCs w:val="32"/>
          <w:u w:val="none"/>
          <w:shd w:val="clear" w:color="auto" w:fill="FFFFFF"/>
        </w:rPr>
        <w:t>号</w:t>
      </w:r>
      <w:r>
        <w:rPr>
          <w:rFonts w:hint="eastAsia" w:ascii="仿宋_GB2312" w:hAnsi="楷体_GB2312" w:eastAsia="仿宋_GB2312" w:cs="楷体_GB2312"/>
          <w:color w:val="000000"/>
          <w:sz w:val="32"/>
          <w:szCs w:val="32"/>
          <w:u w:val="none"/>
        </w:rPr>
        <w:t>），当事人未提出陈述申辩意见</w:t>
      </w:r>
      <w:r>
        <w:rPr>
          <w:rFonts w:hint="eastAsia" w:ascii="仿宋_GB2312" w:eastAsia="仿宋_GB2312"/>
          <w:color w:val="000000"/>
          <w:sz w:val="32"/>
          <w:szCs w:val="32"/>
          <w:u w:val="none"/>
        </w:rPr>
        <w:t>。</w:t>
      </w: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lang w:val="en-US" w:eastAsia="zh-CN"/>
        </w:rPr>
        <w:t xml:space="preserve">                </w:t>
      </w:r>
      <w:r>
        <w:rPr>
          <w:rFonts w:ascii="Times New Roman" w:hAnsi="Times New Roman" w:eastAsia="仿宋_GB2312" w:cs="仿宋"/>
          <w:color w:val="000000"/>
          <w:sz w:val="32"/>
          <w:szCs w:val="32"/>
          <w:u w:val="none"/>
        </w:rPr>
        <w:t xml:space="preserve"> </w:t>
      </w:r>
    </w:p>
    <w:p>
      <w:pPr>
        <w:spacing w:line="520" w:lineRule="exact"/>
        <w:ind w:firstLine="640" w:firstLineChars="200"/>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rPr>
        <w:t>当事人上述行为违反了《中华人民共和国食品安全法》第三十四第</w:t>
      </w:r>
      <w:r>
        <w:rPr>
          <w:rFonts w:hint="eastAsia" w:ascii="仿宋_GB2312" w:hAnsi="仿宋_GB2312" w:eastAsia="仿宋_GB2312" w:cs="仿宋_GB2312"/>
          <w:color w:val="000000"/>
          <w:sz w:val="32"/>
          <w:szCs w:val="32"/>
          <w:u w:val="none"/>
          <w:lang w:eastAsia="zh-CN"/>
        </w:rPr>
        <w:t>十</w:t>
      </w:r>
      <w:r>
        <w:rPr>
          <w:rFonts w:hint="eastAsia" w:ascii="仿宋_GB2312" w:hAnsi="仿宋_GB2312" w:eastAsia="仿宋_GB2312" w:cs="仿宋_GB2312"/>
          <w:color w:val="000000"/>
          <w:sz w:val="32"/>
          <w:szCs w:val="32"/>
          <w:u w:val="none"/>
        </w:rPr>
        <w:t>项：“禁止生产经营下列食品、食品添加剂、食品相关产品：</w:t>
      </w:r>
      <w:r>
        <w:rPr>
          <w:rFonts w:hint="eastAsia" w:ascii="仿宋_GB2312" w:hAnsi="仿宋_GB2312" w:eastAsia="仿宋_GB2312" w:cs="仿宋_GB2312"/>
          <w:bCs/>
          <w:sz w:val="32"/>
          <w:szCs w:val="32"/>
          <w:lang w:eastAsia="zh-CN"/>
        </w:rPr>
        <w:t>（十）标注虚假生产日期、保质期或者超过保质期的食品、食品添加剂；”</w:t>
      </w:r>
      <w:r>
        <w:rPr>
          <w:rFonts w:hint="eastAsia" w:ascii="仿宋_GB2312" w:hAnsi="仿宋_GB2312" w:eastAsia="仿宋_GB2312" w:cs="仿宋_GB2312"/>
          <w:color w:val="000000"/>
          <w:sz w:val="32"/>
          <w:szCs w:val="32"/>
          <w:u w:val="none"/>
        </w:rPr>
        <w:t>的规定。</w:t>
      </w:r>
      <w:r>
        <w:rPr>
          <w:rFonts w:hint="eastAsia" w:ascii="仿宋_GB2312" w:hAnsi="仿宋_GB2312" w:eastAsia="仿宋_GB2312" w:cs="仿宋_GB2312"/>
          <w:color w:val="000000"/>
          <w:sz w:val="32"/>
          <w:szCs w:val="32"/>
          <w:u w:val="none"/>
          <w:lang w:val="en-US" w:eastAsia="zh-CN"/>
        </w:rPr>
        <w:t xml:space="preserve">                </w:t>
      </w:r>
    </w:p>
    <w:p>
      <w:pPr>
        <w:spacing w:line="520" w:lineRule="exact"/>
        <w:ind w:firstLine="640" w:firstLineChars="200"/>
        <w:rPr>
          <w:rFonts w:ascii="Times New Roman" w:hAnsi="Times New Roman" w:eastAsia="仿宋_GB2312" w:cs="仿宋"/>
          <w:bCs/>
          <w:color w:val="000000"/>
          <w:sz w:val="32"/>
          <w:szCs w:val="32"/>
          <w:u w:val="none"/>
        </w:rPr>
      </w:pPr>
      <w:r>
        <w:rPr>
          <w:rFonts w:hint="eastAsia" w:ascii="仿宋_GB2312" w:hAnsi="仿宋_GB2312" w:eastAsia="仿宋_GB2312" w:cs="仿宋_GB2312"/>
          <w:color w:val="000000"/>
          <w:sz w:val="32"/>
          <w:szCs w:val="32"/>
          <w:u w:val="none"/>
        </w:rPr>
        <w:t>当事人属初次违法，主观无故意，且配合案件调查，积极改正违法行为，依据《中华人民共和国行政处罚法》第</w:t>
      </w:r>
      <w:r>
        <w:rPr>
          <w:rFonts w:hint="eastAsia" w:ascii="仿宋_GB2312" w:hAnsi="仿宋_GB2312" w:eastAsia="仿宋_GB2312" w:cs="仿宋_GB2312"/>
          <w:color w:val="000000"/>
          <w:sz w:val="32"/>
          <w:szCs w:val="32"/>
          <w:u w:val="none"/>
          <w:lang w:eastAsia="zh-CN"/>
        </w:rPr>
        <w:t>三十二</w:t>
      </w:r>
      <w:r>
        <w:rPr>
          <w:rFonts w:hint="eastAsia" w:ascii="仿宋_GB2312" w:hAnsi="仿宋_GB2312" w:eastAsia="仿宋_GB2312" w:cs="仿宋_GB2312"/>
          <w:color w:val="000000"/>
          <w:sz w:val="32"/>
          <w:szCs w:val="32"/>
          <w:u w:val="none"/>
        </w:rPr>
        <w:t>条第</w:t>
      </w:r>
      <w:r>
        <w:rPr>
          <w:rFonts w:hint="eastAsia" w:ascii="仿宋_GB2312" w:hAnsi="仿宋_GB2312" w:eastAsia="仿宋_GB2312" w:cs="仿宋_GB2312"/>
          <w:color w:val="000000"/>
          <w:sz w:val="32"/>
          <w:szCs w:val="32"/>
          <w:u w:val="none"/>
          <w:lang w:eastAsia="zh-CN"/>
        </w:rPr>
        <w:t>一</w:t>
      </w:r>
      <w:r>
        <w:rPr>
          <w:rFonts w:hint="eastAsia" w:ascii="仿宋_GB2312" w:hAnsi="仿宋_GB2312" w:eastAsia="仿宋_GB2312" w:cs="仿宋_GB2312"/>
          <w:color w:val="000000"/>
          <w:sz w:val="32"/>
          <w:szCs w:val="32"/>
          <w:u w:val="none"/>
        </w:rPr>
        <w:t>项</w:t>
      </w:r>
      <w:r>
        <w:rPr>
          <w:rFonts w:hint="eastAsia" w:ascii="仿宋_GB2312" w:hAnsi="仿宋_GB2312" w:eastAsia="仿宋_GB2312" w:cs="仿宋_GB2312"/>
          <w:color w:val="000000"/>
          <w:sz w:val="32"/>
          <w:szCs w:val="32"/>
          <w:u w:val="none"/>
          <w:lang w:eastAsia="zh-CN"/>
        </w:rPr>
        <w:t>，参照</w:t>
      </w:r>
      <w:r>
        <w:rPr>
          <w:rFonts w:hint="eastAsia" w:ascii="仿宋_GB2312" w:hAnsi="仿宋_GB2312" w:eastAsia="仿宋_GB2312" w:cs="仿宋_GB2312"/>
          <w:color w:val="000000"/>
          <w:sz w:val="32"/>
          <w:szCs w:val="32"/>
          <w:u w:val="none"/>
        </w:rPr>
        <w:t>《天津市市场和质量监督管理委员会行政处罚裁量适用规则》第十三条第五项、第九项的规定予以减轻处罚。</w:t>
      </w:r>
      <w:r>
        <w:rPr>
          <w:rFonts w:hint="eastAsia" w:ascii="楷体_GB2312" w:hAnsi="楷体_GB2312" w:eastAsia="楷体_GB2312" w:cs="楷体_GB2312"/>
          <w:color w:val="000000"/>
          <w:sz w:val="32"/>
          <w:szCs w:val="32"/>
          <w:u w:val="none"/>
        </w:rPr>
        <w:t xml:space="preserve"> </w:t>
      </w:r>
      <w:r>
        <w:rPr>
          <w:rFonts w:ascii="楷体_GB2312" w:hAnsi="楷体_GB2312" w:eastAsia="楷体_GB2312" w:cs="楷体_GB2312"/>
          <w:color w:val="000000"/>
          <w:sz w:val="32"/>
          <w:szCs w:val="32"/>
          <w:u w:val="none"/>
        </w:rPr>
        <w:t xml:space="preserve">                         </w:t>
      </w:r>
      <w:r>
        <w:rPr>
          <w:rFonts w:hint="eastAsia" w:ascii="楷体_GB2312" w:hAnsi="楷体_GB2312" w:eastAsia="楷体_GB2312" w:cs="楷体_GB2312"/>
          <w:color w:val="000000"/>
          <w:sz w:val="32"/>
          <w:szCs w:val="32"/>
          <w:u w:val="none"/>
          <w:lang w:val="en-US" w:eastAsia="zh-CN"/>
        </w:rPr>
        <w:t xml:space="preserve">          </w:t>
      </w:r>
      <w:r>
        <w:rPr>
          <w:rFonts w:ascii="楷体_GB2312" w:hAnsi="楷体_GB2312" w:eastAsia="楷体_GB2312" w:cs="楷体_GB2312"/>
          <w:color w:val="000000"/>
          <w:sz w:val="32"/>
          <w:szCs w:val="32"/>
          <w:u w:val="none"/>
        </w:rPr>
        <w:t xml:space="preserve">  </w:t>
      </w:r>
      <w:r>
        <w:rPr>
          <w:rFonts w:hint="eastAsia" w:ascii="楷体_GB2312" w:hAnsi="楷体_GB2312" w:eastAsia="楷体_GB2312" w:cs="楷体_GB2312"/>
          <w:color w:val="000000"/>
          <w:sz w:val="32"/>
          <w:szCs w:val="32"/>
          <w:u w:val="none"/>
          <w:lang w:val="en-US" w:eastAsia="zh-CN"/>
        </w:rPr>
        <w:t xml:space="preserve">         </w:t>
      </w:r>
      <w:r>
        <w:rPr>
          <w:rFonts w:ascii="楷体_GB2312" w:hAnsi="楷体_GB2312" w:eastAsia="楷体_GB2312" w:cs="楷体_GB2312"/>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jc w:val="left"/>
        <w:textAlignment w:val="auto"/>
        <w:outlineLvl w:val="9"/>
        <w:rPr>
          <w:rFonts w:hint="eastAsia" w:ascii="仿宋_GB2312" w:hAnsi="仿宋_GB2312" w:eastAsia="仿宋_GB2312" w:cs="仿宋_GB2312"/>
          <w:color w:val="000000"/>
          <w:sz w:val="32"/>
          <w:szCs w:val="32"/>
          <w:u w:val="none"/>
        </w:rPr>
      </w:pPr>
      <w:r>
        <w:rPr>
          <w:rFonts w:hint="eastAsia" w:ascii="Times New Roman" w:hAnsi="Times New Roman" w:eastAsia="仿宋_GB2312" w:cs="仿宋"/>
          <w:color w:val="000000"/>
          <w:sz w:val="32"/>
          <w:szCs w:val="32"/>
          <w:u w:val="none"/>
        </w:rPr>
        <w:t>依据</w:t>
      </w:r>
      <w:r>
        <w:rPr>
          <w:rFonts w:hint="eastAsia" w:ascii="Times New Roman" w:hAnsi="Times New Roman" w:eastAsia="仿宋_GB2312" w:cs="仿宋"/>
          <w:color w:val="000000"/>
          <w:sz w:val="32"/>
          <w:szCs w:val="32"/>
          <w:u w:val="none"/>
          <w:lang w:eastAsia="zh-CN"/>
        </w:rPr>
        <w:t>《中华人民共和国食品安全法》第一百二十四条第一款第五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r>
        <w:rPr>
          <w:rFonts w:hint="eastAsia" w:ascii="Times New Roman" w:hAnsi="Times New Roman" w:eastAsia="仿宋_GB2312" w:cs="仿宋_GB2312"/>
          <w:b w:val="0"/>
          <w:bCs/>
          <w:sz w:val="32"/>
          <w:szCs w:val="32"/>
          <w:u w:val="none"/>
          <w:lang w:val="en-US" w:eastAsia="zh-CN"/>
        </w:rPr>
        <w:t>（五）生产经营标注虚假生产日期、保质期或者超过保质期的食品、食品添加剂；”</w:t>
      </w:r>
      <w:r>
        <w:rPr>
          <w:rFonts w:hint="eastAsia" w:ascii="Times New Roman" w:hAnsi="Times New Roman" w:eastAsia="仿宋_GB2312" w:cs="仿宋"/>
          <w:color w:val="000000"/>
          <w:sz w:val="32"/>
          <w:szCs w:val="32"/>
          <w:u w:val="none"/>
          <w:lang w:val="en-US" w:eastAsia="zh-CN"/>
        </w:rPr>
        <w:t>的规定，给予当事人以下行政处</w:t>
      </w:r>
      <w:r>
        <w:rPr>
          <w:rFonts w:hint="eastAsia" w:ascii="仿宋_GB2312" w:hAnsi="仿宋_GB2312" w:eastAsia="仿宋_GB2312" w:cs="仿宋_GB2312"/>
          <w:color w:val="000000"/>
          <w:sz w:val="32"/>
          <w:szCs w:val="32"/>
          <w:u w:val="none"/>
        </w:rPr>
        <w:t>罚：</w:t>
      </w:r>
    </w:p>
    <w:p>
      <w:pPr>
        <w:keepNext w:val="0"/>
        <w:keepLines w:val="0"/>
        <w:pageBreakBefore w:val="0"/>
        <w:widowControl w:val="0"/>
        <w:kinsoku/>
        <w:wordWrap/>
        <w:overflowPunct/>
        <w:topLinePunct w:val="0"/>
        <w:autoSpaceDE/>
        <w:autoSpaceDN/>
        <w:bidi w:val="0"/>
        <w:adjustRightInd/>
        <w:snapToGrid/>
        <w:spacing w:line="500" w:lineRule="exact"/>
        <w:ind w:firstLine="640"/>
        <w:jc w:val="left"/>
        <w:textAlignment w:val="auto"/>
        <w:outlineLvl w:val="9"/>
        <w:rPr>
          <w:rFonts w:hint="eastAsia" w:ascii="仿宋_GB2312" w:hAnsi="仿宋_GB2312" w:eastAsia="仿宋_GB2312" w:cs="仿宋_GB2312"/>
          <w:b w:val="0"/>
          <w:bCs/>
          <w:sz w:val="32"/>
          <w:szCs w:val="32"/>
          <w:u w:val="none"/>
          <w:lang w:val="en-US" w:eastAsia="zh-CN"/>
        </w:rPr>
      </w:pPr>
      <w:r>
        <w:rPr>
          <w:rFonts w:hint="eastAsia" w:ascii="仿宋_GB2312" w:hAnsi="仿宋_GB2312" w:eastAsia="仿宋_GB2312" w:cs="仿宋_GB2312"/>
          <w:b w:val="0"/>
          <w:bCs/>
          <w:sz w:val="32"/>
          <w:szCs w:val="32"/>
          <w:u w:val="none"/>
          <w:lang w:val="en-US" w:eastAsia="zh-CN"/>
        </w:rPr>
        <w:t>1.没收超过保质期的</w:t>
      </w:r>
      <w:r>
        <w:rPr>
          <w:rFonts w:hint="eastAsia" w:ascii="仿宋_GB2312" w:hAnsi="仿宋_GB2312" w:eastAsia="仿宋_GB2312" w:cs="仿宋_GB2312"/>
          <w:color w:val="000000"/>
          <w:sz w:val="32"/>
          <w:szCs w:val="32"/>
          <w:lang w:val="en-US" w:eastAsia="zh-CN"/>
        </w:rPr>
        <w:t>“新的”百香果浓缩水果饮料（净含量：840ML/瓶）</w:t>
      </w:r>
      <w:r>
        <w:rPr>
          <w:rFonts w:hint="eastAsia" w:ascii="仿宋_GB2312" w:hAnsi="仿宋_GB2312" w:eastAsia="仿宋_GB2312" w:cs="仿宋_GB2312"/>
          <w:color w:val="000000"/>
          <w:sz w:val="32"/>
          <w:szCs w:val="32"/>
          <w:u w:val="none"/>
          <w:lang w:val="en-US" w:eastAsia="zh-CN"/>
        </w:rPr>
        <w:t>一瓶</w:t>
      </w:r>
      <w:r>
        <w:rPr>
          <w:rFonts w:hint="eastAsia" w:ascii="仿宋_GB2312" w:hAnsi="仿宋_GB2312" w:eastAsia="仿宋_GB2312" w:cs="仿宋_GB2312"/>
          <w:b w:val="0"/>
          <w:bCs/>
          <w:sz w:val="32"/>
          <w:szCs w:val="32"/>
          <w:u w:val="none"/>
          <w:lang w:val="en-US" w:eastAsia="zh-CN"/>
        </w:rPr>
        <w:t>；</w:t>
      </w:r>
    </w:p>
    <w:p>
      <w:pPr>
        <w:spacing w:line="520" w:lineRule="exact"/>
        <w:ind w:firstLine="640" w:firstLineChars="200"/>
        <w:rPr>
          <w:rFonts w:ascii="Times New Roman" w:hAnsi="Times New Roman" w:eastAsia="仿宋_GB2312" w:cs="仿宋"/>
          <w:bCs/>
          <w:color w:val="000000"/>
          <w:sz w:val="32"/>
          <w:szCs w:val="32"/>
          <w:u w:val="none"/>
        </w:rPr>
      </w:pPr>
      <w:r>
        <w:rPr>
          <w:rFonts w:hint="eastAsia" w:ascii="仿宋_GB2312" w:hAnsi="仿宋_GB2312" w:eastAsia="仿宋_GB2312" w:cs="仿宋_GB2312"/>
          <w:b w:val="0"/>
          <w:bCs/>
          <w:sz w:val="32"/>
          <w:szCs w:val="32"/>
          <w:u w:val="none"/>
          <w:lang w:val="en-US" w:eastAsia="zh-CN"/>
        </w:rPr>
        <w:t>2.罚款2000元。</w:t>
      </w:r>
      <w:r>
        <w:rPr>
          <w:rFonts w:ascii="Times New Roman" w:hAnsi="Times New Roman" w:eastAsia="仿宋_GB2312" w:cs="仿宋"/>
          <w:bCs/>
          <w:color w:val="000000"/>
          <w:sz w:val="32"/>
          <w:szCs w:val="32"/>
          <w:u w:val="none"/>
        </w:rPr>
        <w:t xml:space="preserve">     </w:t>
      </w:r>
    </w:p>
    <w:p>
      <w:pPr>
        <w:spacing w:line="520" w:lineRule="exact"/>
        <w:ind w:firstLine="640" w:firstLineChars="200"/>
        <w:rPr>
          <w:rFonts w:ascii="Times New Roman" w:hAnsi="Times New Roman" w:eastAsia="仿宋_GB2312" w:cs="仿宋"/>
          <w:bCs/>
          <w:color w:val="000000"/>
          <w:sz w:val="32"/>
          <w:szCs w:val="32"/>
          <w:u w:val="none"/>
        </w:rPr>
      </w:pPr>
      <w:r>
        <w:rPr>
          <w:rFonts w:hint="eastAsia" w:ascii="Times New Roman" w:hAnsi="Times New Roman" w:eastAsia="仿宋_GB2312" w:cs="仿宋"/>
          <w:color w:val="000000"/>
          <w:sz w:val="32"/>
          <w:szCs w:val="32"/>
          <w:u w:val="none"/>
        </w:rPr>
        <w:t xml:space="preserve">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五十一条第一项的规定，每日按罚款数额的百分之三加处罚款，并将依法申请人民法院强制执行。 </w:t>
      </w:r>
    </w:p>
    <w:p>
      <w:pPr>
        <w:spacing w:line="520" w:lineRule="exact"/>
        <w:ind w:firstLine="640" w:firstLineChars="200"/>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如对本行政处罚决定不服，可以于收到本决定书之日起六十日内向天津市北辰区人民政府申请复议，也可以于六个月内依法向天津市北辰区人民法院提起行政诉讼。         </w:t>
      </w: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 xml:space="preserve">               </w:t>
      </w:r>
      <w:r>
        <w:rPr>
          <w:rFonts w:ascii="Times New Roman" w:hAnsi="Times New Roman" w:eastAsia="仿宋_GB2312" w:cs="仿宋"/>
          <w:color w:val="000000"/>
          <w:sz w:val="32"/>
          <w:szCs w:val="32"/>
          <w:u w:val="none"/>
        </w:rPr>
        <w:t xml:space="preserve">     </w:t>
      </w:r>
    </w:p>
    <w:p>
      <w:pPr>
        <w:spacing w:line="500" w:lineRule="exact"/>
        <w:ind w:firstLine="601"/>
        <w:jc w:val="center"/>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p>
    <w:p>
      <w:pPr>
        <w:spacing w:line="500" w:lineRule="exact"/>
        <w:ind w:firstLine="601"/>
        <w:jc w:val="center"/>
        <w:rPr>
          <w:rFonts w:hint="eastAsia" w:ascii="Times New Roman" w:hAnsi="Times New Roman" w:eastAsia="仿宋_GB2312" w:cs="仿宋"/>
          <w:color w:val="000000"/>
          <w:sz w:val="32"/>
          <w:szCs w:val="32"/>
        </w:rPr>
      </w:pPr>
    </w:p>
    <w:p>
      <w:pPr>
        <w:spacing w:line="500" w:lineRule="exact"/>
        <w:ind w:firstLine="601"/>
        <w:jc w:val="center"/>
        <w:rPr>
          <w:rFonts w:hint="eastAsia" w:ascii="Times New Roman" w:hAnsi="Times New Roman" w:eastAsia="仿宋_GB2312" w:cs="仿宋"/>
          <w:color w:val="000000"/>
          <w:sz w:val="32"/>
          <w:szCs w:val="32"/>
        </w:rPr>
      </w:pPr>
    </w:p>
    <w:p>
      <w:pPr>
        <w:spacing w:line="500" w:lineRule="exact"/>
        <w:ind w:firstLine="601"/>
        <w:jc w:val="center"/>
        <w:rPr>
          <w:rFonts w:hint="eastAsia" w:ascii="Times New Roman" w:hAnsi="Times New Roman" w:eastAsia="仿宋_GB2312" w:cs="仿宋"/>
          <w:color w:val="000000"/>
          <w:sz w:val="32"/>
          <w:szCs w:val="32"/>
        </w:rPr>
      </w:pPr>
    </w:p>
    <w:p>
      <w:pPr>
        <w:spacing w:line="50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 xml:space="preserve"> 天津市北辰区市场监督管理局</w:t>
      </w:r>
    </w:p>
    <w:p>
      <w:pPr>
        <w:spacing w:line="500" w:lineRule="exact"/>
        <w:ind w:right="640" w:firstLine="600"/>
        <w:jc w:val="center"/>
        <w:rPr>
          <w:rFonts w:hint="eastAsia" w:ascii="黑体" w:hAnsi="黑体" w:eastAsia="黑体" w:cs="黑体"/>
          <w:color w:val="000000"/>
          <w:sz w:val="30"/>
          <w:szCs w:val="30"/>
        </w:rPr>
      </w:pPr>
      <w:r>
        <w:rPr>
          <w:rFonts w:hint="eastAsia" w:ascii="Times New Roman" w:hAnsi="Times New Roman" w:eastAsia="仿宋_GB2312" w:cs="仿宋"/>
          <w:color w:val="000000"/>
          <w:sz w:val="32"/>
          <w:szCs w:val="32"/>
        </w:rPr>
        <w:t xml:space="preserve">           </w:t>
      </w:r>
      <w:bookmarkStart w:id="1" w:name="_GoBack"/>
      <w:bookmarkEnd w:id="1"/>
      <w:r>
        <w:rPr>
          <w:rFonts w:hint="eastAsia" w:ascii="Times New Roman" w:hAnsi="Times New Roman" w:eastAsia="仿宋_GB2312" w:cs="仿宋"/>
          <w:color w:val="000000"/>
          <w:sz w:val="32"/>
          <w:szCs w:val="32"/>
        </w:rPr>
        <w:t xml:space="preserve"> </w:t>
      </w:r>
      <w:r>
        <w:rPr>
          <w:rFonts w:hint="eastAsia" w:ascii="仿宋_GB2312" w:hAnsi="仿宋_GB2312" w:eastAsia="仿宋_GB2312" w:cs="仿宋_GB2312"/>
          <w:color w:val="000000"/>
          <w:sz w:val="32"/>
          <w:szCs w:val="32"/>
          <w:lang w:val="en-US" w:eastAsia="zh-CN"/>
        </w:rPr>
        <w:t xml:space="preserve">2022 </w:t>
      </w:r>
      <w:r>
        <w:rPr>
          <w:rFonts w:hint="eastAsia" w:ascii="仿宋_GB2312" w:hAnsi="仿宋_GB2312" w:eastAsia="仿宋_GB2312" w:cs="仿宋_GB2312"/>
          <w:color w:val="000000"/>
          <w:sz w:val="32"/>
          <w:szCs w:val="32"/>
        </w:rPr>
        <w:t xml:space="preserve">年 </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 xml:space="preserve"> 月</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日</w:t>
      </w:r>
    </w:p>
    <w:p>
      <w:pPr>
        <w:wordWrap w:val="0"/>
        <w:snapToGrid w:val="0"/>
        <w:spacing w:line="680" w:lineRule="exact"/>
        <w:rPr>
          <w:rFonts w:hint="eastAsia" w:ascii="黑体" w:hAnsi="黑体" w:eastAsia="黑体" w:cs="黑体"/>
          <w:color w:val="000000"/>
          <w:sz w:val="30"/>
          <w:szCs w:val="30"/>
        </w:rPr>
      </w:pPr>
    </w:p>
    <w:p>
      <w:pPr>
        <w:wordWrap w:val="0"/>
        <w:spacing w:line="680" w:lineRule="exact"/>
        <w:rPr>
          <w:rFonts w:hint="eastAsia" w:ascii="黑体" w:hAnsi="黑体" w:eastAsia="黑体" w:cs="黑体"/>
          <w:color w:val="000000"/>
          <w:sz w:val="30"/>
          <w:szCs w:val="30"/>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6E2D25"/>
    <w:multiLevelType w:val="singleLevel"/>
    <w:tmpl w:val="FF6E2D2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F1"/>
    <w:rsid w:val="0013439E"/>
    <w:rsid w:val="00796DFE"/>
    <w:rsid w:val="00825F48"/>
    <w:rsid w:val="009C561E"/>
    <w:rsid w:val="00D92F5A"/>
    <w:rsid w:val="00E516F1"/>
    <w:rsid w:val="01DC1D66"/>
    <w:rsid w:val="0382756A"/>
    <w:rsid w:val="03C4100E"/>
    <w:rsid w:val="03F7032F"/>
    <w:rsid w:val="056E66BB"/>
    <w:rsid w:val="05997EC5"/>
    <w:rsid w:val="062D0D58"/>
    <w:rsid w:val="06C218CF"/>
    <w:rsid w:val="07700BE6"/>
    <w:rsid w:val="0A532442"/>
    <w:rsid w:val="0A6759B9"/>
    <w:rsid w:val="0B2E682A"/>
    <w:rsid w:val="0C783BDB"/>
    <w:rsid w:val="0FD53300"/>
    <w:rsid w:val="0FD75303"/>
    <w:rsid w:val="147A7AF9"/>
    <w:rsid w:val="174343F7"/>
    <w:rsid w:val="187B1502"/>
    <w:rsid w:val="1985662B"/>
    <w:rsid w:val="198870C6"/>
    <w:rsid w:val="1B637F41"/>
    <w:rsid w:val="1EFF46EA"/>
    <w:rsid w:val="203B0E3D"/>
    <w:rsid w:val="205333BD"/>
    <w:rsid w:val="23BC3342"/>
    <w:rsid w:val="27E91AF5"/>
    <w:rsid w:val="28FA5A06"/>
    <w:rsid w:val="2AC95F02"/>
    <w:rsid w:val="2CD03589"/>
    <w:rsid w:val="2D32534E"/>
    <w:rsid w:val="2E2810FD"/>
    <w:rsid w:val="2FAB429E"/>
    <w:rsid w:val="30C5054F"/>
    <w:rsid w:val="31D12F76"/>
    <w:rsid w:val="32170EF0"/>
    <w:rsid w:val="346D3A9E"/>
    <w:rsid w:val="365E68A4"/>
    <w:rsid w:val="367E5308"/>
    <w:rsid w:val="37895E75"/>
    <w:rsid w:val="38CF6F59"/>
    <w:rsid w:val="395C256D"/>
    <w:rsid w:val="396C5DFB"/>
    <w:rsid w:val="3A8512C1"/>
    <w:rsid w:val="3E5E0140"/>
    <w:rsid w:val="3EF3C40E"/>
    <w:rsid w:val="3F3F11D4"/>
    <w:rsid w:val="4188154C"/>
    <w:rsid w:val="42CB479B"/>
    <w:rsid w:val="42ED7C6F"/>
    <w:rsid w:val="43AD4AD1"/>
    <w:rsid w:val="45E3216A"/>
    <w:rsid w:val="463715FC"/>
    <w:rsid w:val="472B2F14"/>
    <w:rsid w:val="48FA2FBF"/>
    <w:rsid w:val="4A41502F"/>
    <w:rsid w:val="4B96535E"/>
    <w:rsid w:val="4EC25B74"/>
    <w:rsid w:val="51957B94"/>
    <w:rsid w:val="52DE2FD6"/>
    <w:rsid w:val="55095504"/>
    <w:rsid w:val="57062337"/>
    <w:rsid w:val="59775DC1"/>
    <w:rsid w:val="59DC14A5"/>
    <w:rsid w:val="5AEF9AB5"/>
    <w:rsid w:val="5B1A4C48"/>
    <w:rsid w:val="5D8B570C"/>
    <w:rsid w:val="5F6D10D4"/>
    <w:rsid w:val="5FF208A2"/>
    <w:rsid w:val="61331AB8"/>
    <w:rsid w:val="63FB25A6"/>
    <w:rsid w:val="65066DAA"/>
    <w:rsid w:val="6684205A"/>
    <w:rsid w:val="66A05BA8"/>
    <w:rsid w:val="67A21BF2"/>
    <w:rsid w:val="688F5C8A"/>
    <w:rsid w:val="68FE70DE"/>
    <w:rsid w:val="697D21E7"/>
    <w:rsid w:val="6B3129D1"/>
    <w:rsid w:val="6D9511F9"/>
    <w:rsid w:val="6DEF3B6E"/>
    <w:rsid w:val="6EF7F68B"/>
    <w:rsid w:val="70D10485"/>
    <w:rsid w:val="71285A5E"/>
    <w:rsid w:val="75A649B5"/>
    <w:rsid w:val="76FCC97D"/>
    <w:rsid w:val="78B73C37"/>
    <w:rsid w:val="7A493C54"/>
    <w:rsid w:val="7A9D55B3"/>
    <w:rsid w:val="7D525E25"/>
    <w:rsid w:val="7DDF4F05"/>
    <w:rsid w:val="7DF7C609"/>
    <w:rsid w:val="7F4F2EA6"/>
    <w:rsid w:val="9EDD9B15"/>
    <w:rsid w:val="BADB9107"/>
    <w:rsid w:val="BFAB2BCA"/>
    <w:rsid w:val="D3FD8309"/>
    <w:rsid w:val="D73FF117"/>
    <w:rsid w:val="E4EF56A5"/>
    <w:rsid w:val="E7FB9E14"/>
    <w:rsid w:val="EDFD961D"/>
    <w:rsid w:val="EFFE2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278</Words>
  <Characters>1589</Characters>
  <Lines>13</Lines>
  <Paragraphs>3</Paragraphs>
  <TotalTime>0</TotalTime>
  <ScaleCrop>false</ScaleCrop>
  <LinksUpToDate>false</LinksUpToDate>
  <CharactersWithSpaces>1864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2014-11-04T20:08:00Z</dcterms:created>
  <dc:creator>Administrator</dc:creator>
  <cp:lastModifiedBy>greatwall</cp:lastModifiedBy>
  <cp:lastPrinted>2022-01-16T15:11:00Z</cp:lastPrinted>
  <dcterms:modified xsi:type="dcterms:W3CDTF">2022-02-11T10:49:46Z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