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2021</w:t>
      </w:r>
      <w:r>
        <w:rPr>
          <w:rFonts w:hint="eastAsia" w:ascii="Times New Roman" w:hAnsi="仿宋_GB2312" w:eastAsia="仿宋_GB2312" w:cs="仿宋_GB2312"/>
          <w:bCs/>
          <w:color w:val="000000"/>
          <w:sz w:val="32"/>
          <w:szCs w:val="32"/>
          <w:u w:val="none"/>
        </w:rPr>
        <w:t>〕</w:t>
      </w:r>
      <w:r>
        <w:rPr>
          <w:rFonts w:hint="eastAsia" w:ascii="Times New Roman" w:hAnsi="仿宋_GB2312" w:eastAsia="仿宋_GB2312" w:cs="仿宋_GB2312"/>
          <w:bCs/>
          <w:color w:val="000000"/>
          <w:sz w:val="32"/>
          <w:szCs w:val="32"/>
          <w:u w:val="none"/>
        </w:rPr>
        <w:t>1131</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color w:val="000000" w:themeColor="text1"/>
          <w:sz w:val="32"/>
          <w:szCs w:val="32"/>
          <w:u w:val="none"/>
          <w14:textFill>
            <w14:solidFill>
              <w14:schemeClr w14:val="tx1"/>
            </w14:solidFill>
          </w14:textFill>
        </w:rPr>
        <w:t>天津市北辰区刘子豫配镜中心（刘子豫）</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Times New Roman" w:hAnsi="仿宋_GB2312" w:eastAsia="仿宋_GB2312" w:cs="仿宋_GB2312"/>
          <w:bCs/>
          <w:sz w:val="32"/>
          <w:szCs w:val="32"/>
          <w:u w:val="none"/>
        </w:rPr>
        <w:t xml:space="preserve">92120113MA06BL077L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天津市北辰区天穆镇佳宁道底商</w:t>
      </w:r>
      <w:r>
        <w:rPr>
          <w:rFonts w:hint="eastAsia" w:ascii="Times New Roman" w:hAnsi="仿宋_GB2312" w:eastAsia="仿宋_GB2312" w:cs="仿宋_GB2312"/>
          <w:bCs/>
          <w:sz w:val="32"/>
          <w:szCs w:val="32"/>
          <w:u w:val="none"/>
        </w:rPr>
        <w:t>84</w:t>
      </w:r>
      <w:r>
        <w:rPr>
          <w:rFonts w:hint="eastAsia" w:ascii="仿宋_GB2312" w:hAnsi="Times New Roman" w:eastAsia="仿宋_GB2312" w:cs="仿宋_GB2312"/>
          <w:bCs/>
          <w:sz w:val="32"/>
          <w:szCs w:val="32"/>
          <w:u w:val="none"/>
        </w:rPr>
        <w:t>号</w:t>
      </w:r>
      <w:r>
        <w:rPr>
          <w:rFonts w:hint="eastAsia" w:ascii="Times New Roman" w:hAnsi="Times New Roman" w:eastAsia="仿宋_GB2312" w:cs="Mongolian Baiti"/>
          <w:kern w:val="1"/>
          <w:sz w:val="32"/>
          <w:szCs w:val="32"/>
          <w:u w:val="none"/>
        </w:rPr>
        <w:t xml:space="preserve">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rPr>
        <w:t>刘子豫</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bookmarkStart w:id="3" w:name="_GoBack"/>
      <w:bookmarkEnd w:id="3"/>
      <w:r>
        <w:rPr>
          <w:rFonts w:hint="eastAsia" w:ascii="Times New Roman" w:hAnsi="Times New Roman" w:eastAsia="仿宋_GB2312" w:cs="Mongolian Baiti"/>
          <w:kern w:val="1"/>
          <w:sz w:val="32"/>
          <w:szCs w:val="32"/>
          <w:u w:val="none"/>
        </w:rPr>
        <w:t xml:space="preserve">                                    </w:t>
      </w:r>
    </w:p>
    <w:p>
      <w:pPr>
        <w:pStyle w:val="2"/>
        <w:tabs>
          <w:tab w:val="left" w:pos="8240"/>
        </w:tabs>
        <w:spacing w:line="520" w:lineRule="exact"/>
        <w:ind w:firstLine="640" w:firstLineChars="200"/>
        <w:rPr>
          <w:rFonts w:ascii="Times New Roman" w:eastAsia="仿宋_GB2312" w:cs="仿宋_GB2312"/>
          <w:bCs/>
          <w:u w:val="none"/>
        </w:rPr>
      </w:pPr>
      <w:r>
        <w:rPr>
          <w:rFonts w:hint="eastAsia" w:ascii="Times New Roman" w:eastAsia="仿宋_GB2312" w:cs="仿宋_GB2312"/>
          <w:bCs/>
          <w:u w:val="none"/>
        </w:rPr>
        <w:t>2021年9月30日，本单位收到举报，位于天津市北辰区天穆镇佳宁道底商84号的当事人涉嫌未经许可从事第三类医疗器械经营活动。执法人员现场检查，发现海昌隐形眼镜多功能护理液3瓶，责令当事人立即停止经营该类物品，并下达《实施行政强制措施决定书》（津辰市监天实强〔2021〕3号）对相关物品进行扣押。执法人员报局领导并经批准，予以立案调查，2021年12月2日此案现已调查终结。</w:t>
      </w:r>
    </w:p>
    <w:p>
      <w:pPr>
        <w:pStyle w:val="2"/>
        <w:tabs>
          <w:tab w:val="left" w:pos="8240"/>
        </w:tabs>
        <w:spacing w:line="520" w:lineRule="exact"/>
        <w:ind w:firstLine="640" w:firstLineChars="200"/>
        <w:rPr>
          <w:rFonts w:ascii="Times New Roman" w:eastAsia="仿宋_GB2312" w:cs="仿宋_GB2312"/>
          <w:u w:val="none"/>
        </w:rPr>
      </w:pPr>
      <w:r>
        <w:rPr>
          <w:rFonts w:hint="eastAsia" w:ascii="Times New Roman" w:eastAsia="仿宋_GB2312" w:cs="仿宋_GB2312"/>
          <w:bCs/>
          <w:u w:val="none"/>
        </w:rPr>
        <w:t>经查明，当事人在天津市北辰区天穆镇佳宁道底商84号经营的海昌隐形眼镜多功能护理液属于第三类医疗器械。当事人在未取得医疗器械经营许可证的情况下经营上述物品。上述行为满足未经许可从事第三类医疗器械经营活动行为的构成要件。</w:t>
      </w:r>
    </w:p>
    <w:p>
      <w:pPr>
        <w:pStyle w:val="3"/>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napToGrid w:val="0"/>
        <w:spacing w:line="520" w:lineRule="exact"/>
        <w:ind w:left="105" w:leftChars="50" w:firstLine="537" w:firstLineChars="168"/>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1.当事人的营业执照、法定代表人刘子豫身份证复印件，证明当事人的主体资格；</w:t>
      </w:r>
    </w:p>
    <w:p>
      <w:pPr>
        <w:snapToGrid w:val="0"/>
        <w:spacing w:line="520" w:lineRule="exact"/>
        <w:ind w:left="105" w:leftChars="50" w:firstLine="537" w:firstLineChars="168"/>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2.委托授权书、被委托人李艾的身份证复印件，证明当事人授权委托情况；</w:t>
      </w:r>
    </w:p>
    <w:p>
      <w:pPr>
        <w:snapToGrid w:val="0"/>
        <w:spacing w:line="520" w:lineRule="exact"/>
        <w:ind w:left="105" w:leftChars="50" w:firstLine="537" w:firstLineChars="168"/>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3.现场笔录、现场检查照片、现场录像，证明当事人经营第三类医疗器械的现场情况；</w:t>
      </w:r>
    </w:p>
    <w:p>
      <w:pPr>
        <w:snapToGrid w:val="0"/>
        <w:spacing w:line="520" w:lineRule="exact"/>
        <w:ind w:left="105" w:leftChars="50" w:firstLine="537" w:firstLineChars="168"/>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4.《实施行政强制措施决定书》（津辰市监天实强〔2021〕3号），证明执法人员依法对当事人扣押财物的事实；</w:t>
      </w:r>
    </w:p>
    <w:p>
      <w:pPr>
        <w:snapToGrid w:val="0"/>
        <w:spacing w:line="520" w:lineRule="exact"/>
        <w:ind w:left="105" w:leftChars="50" w:firstLine="537" w:firstLineChars="168"/>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5.对被委托人李艾的询问笔录，证明当事人经营第三类医疗器械的事实情节；</w:t>
      </w:r>
    </w:p>
    <w:p>
      <w:pPr>
        <w:snapToGrid w:val="0"/>
        <w:spacing w:line="520" w:lineRule="exact"/>
        <w:ind w:left="105" w:leftChars="50" w:firstLine="537" w:firstLineChars="168"/>
        <w:jc w:val="left"/>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6.复查现场检查笔录，证明当事人积极改正违法行为的事实。</w:t>
      </w:r>
    </w:p>
    <w:p>
      <w:pPr>
        <w:snapToGrid w:val="0"/>
        <w:spacing w:line="520" w:lineRule="exact"/>
        <w:ind w:left="105" w:leftChars="50" w:firstLine="537" w:firstLineChars="168"/>
        <w:jc w:val="left"/>
        <w:rPr>
          <w:rFonts w:ascii="仿宋_GB2312" w:eastAsia="仿宋_GB2312"/>
          <w:color w:val="000000"/>
          <w:sz w:val="32"/>
          <w:szCs w:val="32"/>
          <w:u w:val="none"/>
        </w:rPr>
      </w:pPr>
      <w:r>
        <w:rPr>
          <w:rFonts w:hint="eastAsia" w:ascii="仿宋_GB2312" w:hAnsi="楷体_GB2312" w:eastAsia="仿宋_GB2312" w:cs="楷体_GB2312"/>
          <w:color w:val="000000"/>
          <w:sz w:val="32"/>
          <w:szCs w:val="32"/>
          <w:u w:val="none"/>
        </w:rPr>
        <w:t>本局</w:t>
      </w:r>
      <w:r>
        <w:rPr>
          <w:rFonts w:hint="eastAsia" w:ascii="Times New Roman" w:hAnsi="仿宋_GB2312" w:eastAsia="仿宋_GB2312" w:cs="仿宋_GB2312"/>
          <w:bCs/>
          <w:color w:val="000000"/>
          <w:sz w:val="32"/>
          <w:szCs w:val="32"/>
          <w:u w:val="none"/>
        </w:rPr>
        <w:t>于2022年  月  日</w:t>
      </w:r>
      <w:r>
        <w:rPr>
          <w:rFonts w:hint="eastAsia" w:ascii="仿宋_GB2312" w:hAnsi="楷体_GB2312" w:eastAsia="仿宋_GB2312" w:cs="楷体_GB2312"/>
          <w:sz w:val="32"/>
          <w:szCs w:val="32"/>
          <w:u w:val="none"/>
        </w:rPr>
        <w:t>依法向当事人送达了《行政处罚告知书》（</w:t>
      </w:r>
      <w:r>
        <w:rPr>
          <w:rFonts w:hint="eastAsia" w:eastAsia="仿宋_GB2312" w:cs="仿宋"/>
          <w:sz w:val="32"/>
          <w:szCs w:val="32"/>
          <w:u w:val="none"/>
        </w:rPr>
        <w:t>津辰</w:t>
      </w:r>
      <w:r>
        <w:rPr>
          <w:rFonts w:hint="eastAsia" w:ascii="Times New Roman" w:hAnsi="仿宋_GB2312" w:eastAsia="仿宋_GB2312" w:cs="仿宋_GB2312"/>
          <w:bCs/>
          <w:color w:val="000000"/>
          <w:sz w:val="32"/>
          <w:szCs w:val="32"/>
          <w:u w:val="none"/>
        </w:rPr>
        <w:t>市监罚告〔2021〕1131号</w:t>
      </w:r>
      <w:r>
        <w:rPr>
          <w:rFonts w:hint="eastAsia" w:ascii="仿宋_GB2312" w:hAnsi="楷体_GB2312" w:eastAsia="仿宋_GB2312" w:cs="楷体_GB2312"/>
          <w:sz w:val="32"/>
          <w:szCs w:val="32"/>
          <w:u w:val="none"/>
        </w:rPr>
        <w:t>），当</w:t>
      </w:r>
      <w:r>
        <w:rPr>
          <w:rFonts w:hint="eastAsia" w:ascii="仿宋_GB2312" w:hAnsi="楷体_GB2312" w:eastAsia="仿宋_GB2312" w:cs="楷体_GB2312"/>
          <w:color w:val="000000"/>
          <w:sz w:val="32"/>
          <w:szCs w:val="32"/>
          <w:u w:val="none"/>
        </w:rPr>
        <w:t>事人没有陈述申辩意见</w:t>
      </w:r>
      <w:r>
        <w:rPr>
          <w:rFonts w:hint="eastAsia" w:ascii="仿宋_GB2312" w:eastAsia="仿宋_GB2312"/>
          <w:color w:val="000000"/>
          <w:sz w:val="32"/>
          <w:szCs w:val="32"/>
          <w:u w:val="none"/>
        </w:rPr>
        <w:t>。</w:t>
      </w:r>
    </w:p>
    <w:p>
      <w:pPr>
        <w:pStyle w:val="2"/>
        <w:tabs>
          <w:tab w:val="left" w:pos="8405"/>
        </w:tabs>
        <w:spacing w:line="520" w:lineRule="exact"/>
        <w:ind w:firstLine="627" w:firstLineChars="196"/>
        <w:rPr>
          <w:rFonts w:ascii="仿宋_GB2312" w:hAnsi="楷体_GB2312" w:eastAsia="仿宋_GB2312" w:cs="楷体_GB2312"/>
          <w:color w:val="000000"/>
        </w:rPr>
      </w:pPr>
      <w:r>
        <w:rPr>
          <w:rFonts w:hint="eastAsia" w:ascii="仿宋_GB2312" w:eastAsia="仿宋_GB2312" w:cs="Mongolian Baiti"/>
          <w:kern w:val="1"/>
          <w:u w:val="none"/>
        </w:rPr>
        <w:t>本局认</w:t>
      </w:r>
      <w:r>
        <w:rPr>
          <w:rFonts w:hint="eastAsia" w:ascii="仿宋_GB2312" w:eastAsia="仿宋_GB2312" w:cs="Mongolian Baiti"/>
          <w:kern w:val="1"/>
        </w:rPr>
        <w:t>为，</w:t>
      </w:r>
      <w:r>
        <w:rPr>
          <w:rFonts w:hint="eastAsia" w:ascii="仿宋_GB2312" w:hAnsi="楷体_GB2312" w:eastAsia="仿宋_GB2312" w:cs="楷体_GB2312"/>
          <w:color w:val="000000"/>
        </w:rPr>
        <w:t>当事人上述行为违反了《医疗器械监督管理条例》第四十二条第一款“从事第三类医疗器械经营的，经营企业应当向所在地设区的市级人民政府负责药品监督管理的部门申请经营许可并提交符合本条例第四十条规定的有关资料。”的规定。</w:t>
      </w:r>
    </w:p>
    <w:p>
      <w:pPr>
        <w:pStyle w:val="2"/>
        <w:tabs>
          <w:tab w:val="left" w:pos="8405"/>
        </w:tabs>
        <w:spacing w:line="520" w:lineRule="exact"/>
        <w:ind w:firstLine="627" w:firstLineChars="196"/>
        <w:rPr>
          <w:rFonts w:ascii="仿宋_GB2312" w:hAnsi="楷体_GB2312" w:eastAsia="仿宋_GB2312" w:cs="楷体_GB2312"/>
          <w:color w:val="000000"/>
        </w:rPr>
      </w:pPr>
      <w:r>
        <w:rPr>
          <w:rFonts w:hint="eastAsia" w:ascii="仿宋_GB2312" w:hAnsi="楷体_GB2312" w:eastAsia="仿宋_GB2312" w:cs="楷体_GB2312"/>
          <w:color w:val="000000"/>
        </w:rPr>
        <w:t>当事人在案发后立即停止经营第三类医疗器械，及时整改，并积极配合执法人员进行调查，如实提供相应证据材料，没有造成严重危害后果，应依据《天津市市场和质量监督管理委员会行政处罚裁量适用规则》第十三条第五项的规定予以减轻处罚。</w:t>
      </w:r>
    </w:p>
    <w:p>
      <w:pPr>
        <w:pStyle w:val="2"/>
        <w:tabs>
          <w:tab w:val="left" w:pos="8240"/>
        </w:tabs>
        <w:spacing w:line="520" w:lineRule="exact"/>
        <w:ind w:firstLine="640" w:firstLineChars="200"/>
        <w:rPr>
          <w:rFonts w:ascii="Times New Roman" w:eastAsia="仿宋_GB2312" w:cs="仿宋_GB2312"/>
          <w:bCs/>
        </w:rPr>
      </w:pPr>
      <w:r>
        <w:rPr>
          <w:rFonts w:hint="eastAsia" w:ascii="仿宋_GB2312" w:hAnsi="楷体_GB2312" w:eastAsia="仿宋_GB2312" w:cs="楷体_GB2312"/>
          <w:color w:val="000000"/>
        </w:rPr>
        <w:t>依据《医疗器械监督</w:t>
      </w:r>
      <w:r>
        <w:rPr>
          <w:rFonts w:hint="eastAsia" w:ascii="Times New Roman" w:eastAsia="仿宋_GB2312" w:cs="仿宋_GB2312"/>
          <w:bCs/>
        </w:rPr>
        <w:t>管理条例》第八十一条第一款第三项“有下列情形之一的，由负责药品监督管理的部门没收违法所得、违法生产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三）未经许可从事第三类医疗器械经营活动。”的规定，对当事人给予以下行政处罚：1.没收扣押物品；2.罚款10000元。</w:t>
      </w:r>
    </w:p>
    <w:p>
      <w:pPr>
        <w:pStyle w:val="2"/>
        <w:tabs>
          <w:tab w:val="left" w:pos="8240"/>
        </w:tabs>
        <w:spacing w:line="520" w:lineRule="exact"/>
        <w:ind w:firstLine="640" w:firstLineChars="200"/>
        <w:rPr>
          <w:rFonts w:ascii="仿宋_GB2312" w:eastAsia="仿宋_GB2312"/>
        </w:rPr>
      </w:pPr>
      <w:r>
        <w:rPr>
          <w:rFonts w:hint="eastAsia" w:ascii="Times New Roman" w:eastAsia="仿宋_GB2312" w:cs="仿宋_GB2312"/>
          <w:bCs/>
        </w:rPr>
        <w:t>当事人应于收到本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w:t>
      </w:r>
      <w:r>
        <w:rPr>
          <w:rFonts w:hint="eastAsia" w:ascii="仿宋_GB2312" w:eastAsia="仿宋_GB2312" w:cs="仿宋_GB2312"/>
          <w:color w:val="000000" w:themeColor="text1"/>
          <w:kern w:val="1"/>
          <w14:textFill>
            <w14:solidFill>
              <w14:schemeClr w14:val="tx1"/>
            </w14:solidFill>
          </w14:textFill>
        </w:rPr>
        <w:t>网上办事</w:t>
      </w:r>
      <w:r>
        <w:rPr>
          <w:rFonts w:ascii="仿宋_GB2312" w:eastAsia="仿宋_GB2312" w:cs="仿宋_GB2312"/>
          <w:color w:val="000000" w:themeColor="text1"/>
          <w:kern w:val="1"/>
          <w14:textFill>
            <w14:solidFill>
              <w14:schemeClr w14:val="tx1"/>
            </w14:solidFill>
          </w14:textFill>
        </w:rPr>
        <w:t>”</w:t>
      </w:r>
      <w:r>
        <w:rPr>
          <w:rFonts w:hint="eastAsia" w:ascii="仿宋_GB2312" w:eastAsia="仿宋_GB2312" w:cs="仿宋_GB2312"/>
          <w:color w:val="000000" w:themeColor="text1"/>
          <w:kern w:val="1"/>
          <w14:textFill>
            <w14:solidFill>
              <w14:schemeClr w14:val="tx1"/>
            </w14:solidFill>
          </w14:textFill>
        </w:rPr>
        <w:t>栏目</w:t>
      </w:r>
      <w:r>
        <w:rPr>
          <w:rFonts w:ascii="仿宋_GB2312" w:eastAsia="仿宋_GB2312" w:cs="仿宋_GB2312"/>
          <w:color w:val="000000" w:themeColor="text1"/>
          <w:kern w:val="1"/>
          <w14:textFill>
            <w14:solidFill>
              <w14:schemeClr w14:val="tx1"/>
            </w14:solidFill>
          </w14:textFill>
        </w:rPr>
        <w:t>“</w:t>
      </w:r>
      <w:r>
        <w:rPr>
          <w:rFonts w:hint="eastAsia" w:ascii="仿宋_GB2312" w:eastAsia="仿宋_GB2312" w:cs="仿宋_GB2312"/>
          <w:color w:val="000000" w:themeColor="text1"/>
          <w:kern w:val="1"/>
          <w14:textFill>
            <w14:solidFill>
              <w14:schemeClr w14:val="tx1"/>
            </w14:solidFill>
          </w14:textFill>
        </w:rPr>
        <w:t>非税缴费</w:t>
      </w:r>
      <w:r>
        <w:rPr>
          <w:rFonts w:ascii="仿宋_GB2312" w:eastAsia="仿宋_GB2312" w:cs="仿宋_GB2312"/>
          <w:color w:val="000000" w:themeColor="text1"/>
          <w:kern w:val="1"/>
          <w14:textFill>
            <w14:solidFill>
              <w14:schemeClr w14:val="tx1"/>
            </w14:solidFill>
          </w14:textFill>
        </w:rPr>
        <w:t>”</w:t>
      </w:r>
      <w:r>
        <w:rPr>
          <w:rFonts w:hint="eastAsia" w:ascii="仿宋_GB2312" w:eastAsia="仿宋_GB2312" w:cs="仿宋_GB2312"/>
          <w:color w:val="000000" w:themeColor="text1"/>
          <w:kern w:val="1"/>
          <w14:textFill>
            <w14:solidFill>
              <w14:schemeClr w14:val="tx1"/>
            </w14:solidFill>
          </w14:textFill>
        </w:rPr>
        <w:t>模块</w:t>
      </w:r>
      <w:r>
        <w:rPr>
          <w:rFonts w:ascii="仿宋_GB2312" w:eastAsia="仿宋_GB2312" w:cs="仿宋_GB2312"/>
          <w:color w:val="000000" w:themeColor="text1"/>
          <w:kern w:val="1"/>
          <w14:textFill>
            <w14:solidFill>
              <w14:schemeClr w14:val="tx1"/>
            </w14:solidFill>
          </w14:textFill>
        </w:rPr>
        <w:t>进行网上缴费。</w:t>
      </w:r>
      <w:r>
        <w:rPr>
          <w:rFonts w:hint="eastAsia" w:ascii="仿宋_GB2312" w:eastAsia="仿宋_GB2312"/>
        </w:rPr>
        <w:t>到期不缴纳罚款的，依据《中华人民共和国行政处罚法》第七十二条的规定，本局</w:t>
      </w:r>
      <w:r>
        <w:rPr>
          <w:rFonts w:ascii="仿宋_GB2312" w:eastAsia="仿宋_GB2312"/>
        </w:rPr>
        <w:t>将</w:t>
      </w:r>
      <w:r>
        <w:rPr>
          <w:rFonts w:hint="eastAsia" w:ascii="仿宋_GB2312" w:eastAsia="仿宋_GB2312"/>
        </w:rPr>
        <w:t>每日按罚款数额的百分之三加处罚款，</w:t>
      </w:r>
      <w:r>
        <w:rPr>
          <w:rFonts w:hint="eastAsia" w:ascii="仿宋_GB2312" w:hAnsi="宋体" w:eastAsia="仿宋_GB2312"/>
        </w:rPr>
        <w:t>并将依法申请人民法院强制执行。</w:t>
      </w:r>
    </w:p>
    <w:p>
      <w:pPr>
        <w:widowControl/>
        <w:snapToGrid w:val="0"/>
        <w:spacing w:line="520" w:lineRule="exact"/>
        <w:ind w:firstLine="640" w:firstLineChars="200"/>
        <w:jc w:val="left"/>
        <w:rPr>
          <w:rFonts w:ascii="Times New Roman" w:hAnsi="Times New Roman" w:eastAsia="仿宋_GB2312" w:cs="仿宋_GB2312"/>
          <w:color w:val="000000"/>
          <w:sz w:val="32"/>
          <w:szCs w:val="32"/>
        </w:rPr>
      </w:pPr>
      <w:r>
        <w:rPr>
          <w:rFonts w:hint="eastAsia" w:ascii="Times New Roman" w:hAnsi="Times New Roman" w:eastAsia="仿宋_GB2312" w:cs="仿宋"/>
          <w:bCs/>
          <w:color w:val="000000"/>
          <w:sz w:val="32"/>
          <w:szCs w:val="32"/>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widowControl/>
        <w:spacing w:line="560" w:lineRule="exact"/>
        <w:ind w:right="1440" w:firstLine="600"/>
        <w:jc w:val="center"/>
        <w:rPr>
          <w:rFonts w:ascii="仿宋_GB2312" w:hAnsi="Times New Roman" w:eastAsia="仿宋_GB2312" w:cs="仿宋"/>
          <w:color w:val="000000"/>
          <w:sz w:val="32"/>
          <w:szCs w:val="32"/>
        </w:rPr>
      </w:pPr>
      <w:r>
        <w:rPr>
          <w:rFonts w:hint="eastAsia" w:ascii="Times New Roman" w:hAnsi="Times New Roman" w:eastAsia="仿宋_GB2312" w:cs="仿宋_GB2312"/>
          <w:bCs/>
          <w:kern w:val="0"/>
          <w:sz w:val="32"/>
          <w:szCs w:val="32"/>
          <w:lang w:val="en-US" w:eastAsia="zh-CN"/>
        </w:rPr>
        <w:t xml:space="preserve">                 </w:t>
      </w:r>
      <w:r>
        <w:rPr>
          <w:rFonts w:hint="eastAsia" w:ascii="Times New Roman" w:hAnsi="Times New Roman" w:eastAsia="仿宋_GB2312" w:cs="仿宋_GB2312"/>
          <w:bCs/>
          <w:kern w:val="0"/>
          <w:sz w:val="32"/>
          <w:szCs w:val="32"/>
        </w:rPr>
        <w:t>2022</w:t>
      </w:r>
      <w:r>
        <w:rPr>
          <w:rFonts w:hint="eastAsia" w:ascii="仿宋_GB2312" w:hAnsi="Times New Roman" w:eastAsia="仿宋_GB2312" w:cs="仿宋"/>
          <w:color w:val="000000"/>
          <w:sz w:val="32"/>
          <w:szCs w:val="32"/>
        </w:rPr>
        <w:t>年2月18日</w:t>
      </w:r>
    </w:p>
    <w:p>
      <w:pPr>
        <w:widowControl/>
        <w:snapToGrid w:val="0"/>
        <w:spacing w:line="0" w:lineRule="atLeast"/>
        <w:ind w:right="1440" w:firstLine="601"/>
        <w:jc w:val="center"/>
        <w:rPr>
          <w:rFonts w:ascii="仿宋_GB2312" w:hAnsi="Times New Roman" w:eastAsia="仿宋_GB2312" w:cs="仿宋"/>
          <w:color w:val="000000"/>
          <w:sz w:val="32"/>
          <w:szCs w:val="32"/>
        </w:rPr>
      </w:pPr>
    </w:p>
    <w:p>
      <w:pPr>
        <w:widowControl/>
        <w:snapToGrid w:val="0"/>
        <w:spacing w:line="0" w:lineRule="atLeast"/>
        <w:ind w:right="1440" w:firstLine="601"/>
        <w:jc w:val="right"/>
        <w:rPr>
          <w:rFonts w:ascii="仿宋_GB2312" w:hAnsi="Times New Roman" w:eastAsia="仿宋_GB2312" w:cs="仿宋"/>
          <w:color w:val="000000"/>
          <w:sz w:val="32"/>
          <w:szCs w:val="32"/>
        </w:rPr>
      </w:pPr>
    </w:p>
    <w:p>
      <w:pPr>
        <w:widowControl/>
        <w:snapToGrid w:val="0"/>
        <w:spacing w:line="0" w:lineRule="atLeast"/>
        <w:ind w:right="1440" w:firstLine="601"/>
        <w:jc w:val="right"/>
        <w:rPr>
          <w:rFonts w:ascii="仿宋_GB2312" w:hAnsi="Times New Roman" w:eastAsia="仿宋_GB2312" w:cs="仿宋"/>
          <w:color w:val="000000"/>
          <w:sz w:val="32"/>
          <w:szCs w:val="32"/>
        </w:rPr>
      </w:pPr>
    </w:p>
    <w:p>
      <w:pPr>
        <w:widowControl/>
        <w:spacing w:before="49" w:beforeLines="16" w:line="500" w:lineRule="exact"/>
        <w:rPr>
          <w:rFonts w:ascii="黑体" w:hAnsi="黑体" w:eastAsia="黑体"/>
          <w:color w:val="231F20"/>
          <w:spacing w:val="-16"/>
          <w:sz w:val="32"/>
          <w:szCs w:val="32"/>
        </w:rPr>
      </w:pPr>
    </w:p>
    <w:sectPr>
      <w:head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64BE"/>
    <w:rsid w:val="000D7F69"/>
    <w:rsid w:val="000E1CDE"/>
    <w:rsid w:val="00105B3A"/>
    <w:rsid w:val="00124AB7"/>
    <w:rsid w:val="0013009A"/>
    <w:rsid w:val="001302CC"/>
    <w:rsid w:val="00134224"/>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E186D"/>
    <w:rsid w:val="001E3C01"/>
    <w:rsid w:val="001E4DA8"/>
    <w:rsid w:val="001F6C46"/>
    <w:rsid w:val="002007C2"/>
    <w:rsid w:val="002303E7"/>
    <w:rsid w:val="00235572"/>
    <w:rsid w:val="00247D93"/>
    <w:rsid w:val="00265AC0"/>
    <w:rsid w:val="00276287"/>
    <w:rsid w:val="0028143B"/>
    <w:rsid w:val="00293DDE"/>
    <w:rsid w:val="002A7ADB"/>
    <w:rsid w:val="002B2A80"/>
    <w:rsid w:val="002C321C"/>
    <w:rsid w:val="002C60A7"/>
    <w:rsid w:val="002D3886"/>
    <w:rsid w:val="002E7F5E"/>
    <w:rsid w:val="002F226E"/>
    <w:rsid w:val="002F7DE3"/>
    <w:rsid w:val="00305C8E"/>
    <w:rsid w:val="00314F50"/>
    <w:rsid w:val="00317337"/>
    <w:rsid w:val="00321374"/>
    <w:rsid w:val="00327185"/>
    <w:rsid w:val="003329C9"/>
    <w:rsid w:val="00337A1C"/>
    <w:rsid w:val="00337E38"/>
    <w:rsid w:val="00343250"/>
    <w:rsid w:val="00381370"/>
    <w:rsid w:val="003842C1"/>
    <w:rsid w:val="00395CC8"/>
    <w:rsid w:val="003A14C9"/>
    <w:rsid w:val="003A52F4"/>
    <w:rsid w:val="003B41E5"/>
    <w:rsid w:val="003C2BA3"/>
    <w:rsid w:val="003C2C24"/>
    <w:rsid w:val="003E4778"/>
    <w:rsid w:val="00405F5D"/>
    <w:rsid w:val="00407217"/>
    <w:rsid w:val="00407255"/>
    <w:rsid w:val="004224AB"/>
    <w:rsid w:val="0042701C"/>
    <w:rsid w:val="00427B75"/>
    <w:rsid w:val="00435C4A"/>
    <w:rsid w:val="0043632E"/>
    <w:rsid w:val="00437788"/>
    <w:rsid w:val="00442709"/>
    <w:rsid w:val="00445C13"/>
    <w:rsid w:val="0045135B"/>
    <w:rsid w:val="004608E5"/>
    <w:rsid w:val="004636C3"/>
    <w:rsid w:val="004671DF"/>
    <w:rsid w:val="00474830"/>
    <w:rsid w:val="0047772C"/>
    <w:rsid w:val="0048124D"/>
    <w:rsid w:val="00481674"/>
    <w:rsid w:val="00485DA1"/>
    <w:rsid w:val="004916F1"/>
    <w:rsid w:val="0049385E"/>
    <w:rsid w:val="004B3D5A"/>
    <w:rsid w:val="004C2B30"/>
    <w:rsid w:val="004C43B0"/>
    <w:rsid w:val="004D3A24"/>
    <w:rsid w:val="004D560F"/>
    <w:rsid w:val="004D6BF5"/>
    <w:rsid w:val="004E65FD"/>
    <w:rsid w:val="004F022C"/>
    <w:rsid w:val="004F48D3"/>
    <w:rsid w:val="0050642E"/>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F0C43"/>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76BC1"/>
    <w:rsid w:val="009962E2"/>
    <w:rsid w:val="009C163D"/>
    <w:rsid w:val="009E333F"/>
    <w:rsid w:val="009E4E31"/>
    <w:rsid w:val="009E657C"/>
    <w:rsid w:val="00A134FA"/>
    <w:rsid w:val="00A13558"/>
    <w:rsid w:val="00A23210"/>
    <w:rsid w:val="00A34605"/>
    <w:rsid w:val="00A41BC6"/>
    <w:rsid w:val="00A4409E"/>
    <w:rsid w:val="00A63D32"/>
    <w:rsid w:val="00A87A8A"/>
    <w:rsid w:val="00AA20D6"/>
    <w:rsid w:val="00AB1753"/>
    <w:rsid w:val="00AB538A"/>
    <w:rsid w:val="00AC07E1"/>
    <w:rsid w:val="00AC69AA"/>
    <w:rsid w:val="00AD75C1"/>
    <w:rsid w:val="00AF0F06"/>
    <w:rsid w:val="00AF5F01"/>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15E5"/>
    <w:rsid w:val="00B94081"/>
    <w:rsid w:val="00BB1341"/>
    <w:rsid w:val="00BB5E94"/>
    <w:rsid w:val="00BC0712"/>
    <w:rsid w:val="00BC4D3A"/>
    <w:rsid w:val="00BE5B68"/>
    <w:rsid w:val="00C01915"/>
    <w:rsid w:val="00C035FD"/>
    <w:rsid w:val="00C040D2"/>
    <w:rsid w:val="00C20D6D"/>
    <w:rsid w:val="00C233F4"/>
    <w:rsid w:val="00C2360C"/>
    <w:rsid w:val="00C36D99"/>
    <w:rsid w:val="00C41D11"/>
    <w:rsid w:val="00C50582"/>
    <w:rsid w:val="00C56E90"/>
    <w:rsid w:val="00C80C46"/>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71E"/>
    <w:rsid w:val="00E14755"/>
    <w:rsid w:val="00E24FF1"/>
    <w:rsid w:val="00E46F2E"/>
    <w:rsid w:val="00E54E33"/>
    <w:rsid w:val="00EA384A"/>
    <w:rsid w:val="00EA54CA"/>
    <w:rsid w:val="00EA77B4"/>
    <w:rsid w:val="00EF5784"/>
    <w:rsid w:val="00F04577"/>
    <w:rsid w:val="00F17785"/>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2F2F6F88"/>
    <w:rsid w:val="36A762E2"/>
    <w:rsid w:val="3EFD0863"/>
    <w:rsid w:val="3FFC9EA4"/>
    <w:rsid w:val="E5FFDA86"/>
    <w:rsid w:val="E7FFD0D4"/>
    <w:rsid w:val="FCFFB8CA"/>
    <w:rsid w:val="FFFBB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Char"/>
    <w:basedOn w:val="6"/>
    <w:semiHidden/>
    <w:qFormat/>
    <w:uiPriority w:val="99"/>
    <w:rPr>
      <w:rFonts w:ascii="Calibri" w:hAnsi="Calibri" w:eastAsia="宋体" w:cs="Times New Roman"/>
      <w:szCs w:val="24"/>
    </w:rPr>
  </w:style>
  <w:style w:type="character" w:customStyle="1" w:styleId="10">
    <w:name w:val="正文文本 字符"/>
    <w:link w:val="2"/>
    <w:qFormat/>
    <w:uiPriority w:val="1"/>
    <w:rPr>
      <w:rFonts w:ascii="Arial Unicode MS" w:hAnsi="Times New Roman" w:eastAsia="Arial Unicode MS" w:cs="Times New Roman"/>
      <w:kern w:val="0"/>
      <w:sz w:val="32"/>
      <w:szCs w:val="32"/>
    </w:rPr>
  </w:style>
  <w:style w:type="paragraph" w:customStyle="1" w:styleId="11">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1</Pages>
  <Words>300</Words>
  <Characters>1716</Characters>
  <Lines>14</Lines>
  <Paragraphs>4</Paragraphs>
  <TotalTime>3</TotalTime>
  <ScaleCrop>false</ScaleCrop>
  <LinksUpToDate>false</LinksUpToDate>
  <CharactersWithSpaces>2012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2021-08-07T02:58:00Z</dcterms:created>
  <dc:creator>林正禄</dc:creator>
  <cp:lastModifiedBy>greatwall</cp:lastModifiedBy>
  <cp:lastPrinted>2022-01-07T17:18:00Z</cp:lastPrinted>
  <dcterms:modified xsi:type="dcterms:W3CDTF">2022-02-23T17:21:29Z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