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102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102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14omtoAAAALAQAADwAAAAAAAAABACAAAAA4AAAAZHJz&#10;L2Rvd25yZXYueG1sUEsBAhQAFAAAAAgAh07iQAK9xrLsAQAAsAMAAA4AAAAAAAAAAQAgAAAAPwEA&#10;AGRycy9lMm9Eb2MueG1sUEsFBgAAAAAGAAYAWQEAAJ0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1191</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：天津市北辰区万人乐超市（林长堂）</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w:t>
      </w:r>
      <w:r>
        <w:rPr>
          <w:rFonts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rPr>
        <w:t>营业执照</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注册号：</w:t>
      </w:r>
      <w:r>
        <w:rPr>
          <w:rFonts w:ascii="仿宋_GB2312" w:eastAsia="仿宋_GB2312" w:cs="仿宋_GB2312"/>
          <w:spacing w:val="-16"/>
          <w:sz w:val="32"/>
          <w:szCs w:val="32"/>
        </w:rPr>
        <w:t>92120113MA075YGH4W</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经营场所：</w:t>
      </w:r>
      <w:r>
        <w:rPr>
          <w:rFonts w:hint="eastAsia" w:ascii="仿宋_GB2312" w:eastAsia="仿宋_GB2312" w:cs="仿宋_GB2312"/>
          <w:spacing w:val="-16"/>
          <w:sz w:val="32"/>
          <w:szCs w:val="32"/>
        </w:rPr>
        <w:t>天津市北辰区普东街普济河东道34号后院</w:t>
      </w:r>
      <w:r>
        <w:rPr>
          <w:rFonts w:ascii="Times New Roman" w:hAnsi="Times New Roman" w:eastAsia="仿宋_GB2312" w:cs="Mongolian Baiti"/>
          <w:kern w:val="1"/>
          <w:sz w:val="32"/>
          <w:szCs w:val="32"/>
        </w:rPr>
        <w:t xml:space="preserve">  </w:t>
      </w:r>
      <w:r>
        <w:rPr>
          <w:rFonts w:ascii="仿宋_GB2312" w:eastAsia="仿宋_GB2312"/>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经营者：林长堂</w:t>
      </w:r>
      <w:r>
        <w:rPr>
          <w:rFonts w:ascii="仿宋_GB2312" w:eastAsia="仿宋_GB2312"/>
          <w:sz w:val="32"/>
          <w:szCs w:val="32"/>
        </w:rPr>
        <w:t xml:space="preserve">            </w:t>
      </w:r>
      <w:r>
        <w:rPr>
          <w:rFonts w:ascii="Times New Roman" w:hAnsi="Times New Roman" w:eastAsia="仿宋_GB2312" w:cs="Mongolian Baiti"/>
          <w:kern w:val="1"/>
          <w:sz w:val="32"/>
          <w:szCs w:val="32"/>
        </w:rPr>
        <w:t xml:space="preserve">        </w:t>
      </w:r>
    </w:p>
    <w:p>
      <w:pPr>
        <w:spacing w:line="480" w:lineRule="exact"/>
        <w:ind w:firstLine="640" w:firstLineChars="200"/>
        <w:rPr>
          <w:rFonts w:ascii="仿宋_GB2312" w:hAnsi="仿宋" w:eastAsia="仿宋_GB2312"/>
          <w:sz w:val="32"/>
          <w:szCs w:val="32"/>
        </w:rPr>
      </w:pPr>
      <w:r>
        <w:rPr>
          <w:rFonts w:hint="eastAsia" w:ascii="仿宋_GB2312" w:hAnsi="Mongolian Baiti" w:eastAsia="仿宋_GB2312" w:cs="Mongolian Baiti"/>
          <w:kern w:val="1"/>
          <w:sz w:val="32"/>
          <w:szCs w:val="32"/>
        </w:rPr>
        <w:t>2021年12月3日，我局执法人员根据投诉举报线索对天津市北辰区普东街普济河东道34号后院天津市北辰区万人乐超市（林长堂）进行监督检查时发现，该店待售的5袋“君晓”开口松子（生产日期为2020年12月1日，保质期12个月）、3根“金锣加钙特香王”优级火腿肠（生产日期为2021年5月21日，保质期6个月）和3袋共24包“双汇”香辣香脆肠（生产日期为2021年8月8日，保质期90天）已超出保质期。当日经局领导审批，执法人员依法对涉案的5袋“君晓”开口松子、3根“金锣加钙特香王”优级火腿肠和3袋共24包“双汇”香辣香脆肠进行了扣押，现场送达了《实施行政强制措施决定书》（津辰市监普强制〔2021〕43号），并告知采取行政强制措施的理由、依据及当事人依法享有的权利、救济途径，当事人放弃陈述、申辩。12月7日执法人员报经局领导批准，予以立案调查。此案于2022年1月13日调查终结。</w:t>
      </w:r>
      <w:r>
        <w:rPr>
          <w:rFonts w:ascii="仿宋_GB2312" w:hAnsi="仿宋" w:eastAsia="仿宋_GB2312"/>
          <w:sz w:val="32"/>
          <w:szCs w:val="32"/>
        </w:rPr>
        <w:t xml:space="preserve">                             </w:t>
      </w:r>
    </w:p>
    <w:p>
      <w:pPr>
        <w:spacing w:line="4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当事人取得营业执照和食品经营许可证从事食品经营。当事人取得营业执照并取得食品经营许可证从事食品经营。当事人购入“君晓”开口松子、“金锣加钙特香王”优级火腿肠和3袋共24包“双汇”香辣香脆肠上架销售, 2021年12月3日执法人员检查时发现5袋“君晓”开口松子（生产日期为2020年12月1日，保质期12个月）、3根“金锣加钙特香王”优级火腿肠（生产日期为2021年5月21日，保质期6个月）和3袋共24包“双汇”香辣香脆肠（生产日期为2021年8月8日，保质期90天）在架上销售，“君晓”开口松子售价14.4元/袋、“波仔”椰果水果饮料售价9.6元/瓶；“金锣加钙特香王”优级火腿肠售价2元/根，上述行为满足经营超过保质期的食品行为构成要件。货值金额148.5元，超过保质期时段内售出1袋开口松子、1袋金锣火腿肠、2袋双汇牌香辣香脆肠、1罐波仔水果椰果水果饮料，违法所得3.1元。</w:t>
      </w:r>
    </w:p>
    <w:p>
      <w:pPr>
        <w:spacing w:line="48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w:t>
      </w:r>
      <w:r>
        <w:rPr>
          <w:rFonts w:ascii="Times New Roman" w:hAnsi="Times New Roman" w:eastAsia="仿宋_GB2312" w:cs="仿宋"/>
          <w:color w:val="000000"/>
          <w:sz w:val="32"/>
          <w:szCs w:val="32"/>
        </w:rPr>
        <w:t>1.</w:t>
      </w:r>
      <w:r>
        <w:rPr>
          <w:rFonts w:hint="eastAsia" w:ascii="仿宋_GB2312" w:eastAsia="仿宋_GB2312"/>
          <w:sz w:val="32"/>
          <w:szCs w:val="32"/>
        </w:rPr>
        <w:t>当事人的营业执照、食品经营证明复印件、经营者林长堂、被委托人潘明松身份证复印件、授权委托书</w:t>
      </w:r>
      <w:r>
        <w:rPr>
          <w:rFonts w:hint="eastAsia" w:ascii="Times New Roman" w:hAnsi="Times New Roman" w:eastAsia="仿宋_GB2312" w:cs="仿宋"/>
          <w:color w:val="000000"/>
          <w:sz w:val="32"/>
          <w:szCs w:val="32"/>
        </w:rPr>
        <w:t>；2. 2021年12月3日现场笔录、现场照片、现场视频；3.对被委托人潘明松的询问笔录；4.货值金额、违法所得计算说明；5.供货商营业执照、食品经营证明、进货票据复印件;6.2021年12月9日复查现场笔录。</w:t>
      </w:r>
    </w:p>
    <w:p>
      <w:pPr>
        <w:spacing w:line="48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本局于</w:t>
      </w:r>
      <w:r>
        <w:rPr>
          <w:rFonts w:ascii="Times New Roman" w:hAnsi="Times New Roman" w:eastAsia="仿宋_GB2312" w:cs="仿宋"/>
          <w:bCs/>
          <w:color w:val="000000"/>
          <w:sz w:val="32"/>
          <w:szCs w:val="32"/>
        </w:rPr>
        <w:t>2022</w:t>
      </w:r>
      <w:r>
        <w:rPr>
          <w:rFonts w:hint="eastAsia" w:ascii="Times New Roman" w:hAnsi="Times New Roman" w:eastAsia="仿宋_GB2312" w:cs="仿宋"/>
          <w:bCs/>
          <w:color w:val="000000"/>
          <w:sz w:val="32"/>
          <w:szCs w:val="32"/>
        </w:rPr>
        <w:t>年</w:t>
      </w:r>
      <w:r>
        <w:rPr>
          <w:rFonts w:ascii="Times New Roman" w:hAnsi="Times New Roman" w:eastAsia="仿宋_GB2312" w:cs="仿宋"/>
          <w:bCs/>
          <w:color w:val="000000"/>
          <w:sz w:val="32"/>
          <w:szCs w:val="32"/>
        </w:rPr>
        <w:t>2</w:t>
      </w:r>
      <w:r>
        <w:rPr>
          <w:rFonts w:hint="eastAsia" w:ascii="Times New Roman" w:hAnsi="Times New Roman" w:eastAsia="仿宋_GB2312" w:cs="仿宋"/>
          <w:bCs/>
          <w:color w:val="000000"/>
          <w:sz w:val="32"/>
          <w:szCs w:val="32"/>
        </w:rPr>
        <w:t>月</w:t>
      </w:r>
      <w:r>
        <w:rPr>
          <w:rFonts w:ascii="Times New Roman" w:hAnsi="Times New Roman" w:eastAsia="仿宋_GB2312" w:cs="仿宋"/>
          <w:bCs/>
          <w:color w:val="000000"/>
          <w:sz w:val="32"/>
          <w:szCs w:val="32"/>
        </w:rPr>
        <w:t>7</w:t>
      </w:r>
      <w:r>
        <w:rPr>
          <w:rFonts w:hint="eastAsia" w:ascii="Times New Roman" w:hAnsi="Times New Roman" w:eastAsia="仿宋_GB2312" w:cs="仿宋"/>
          <w:bCs/>
          <w:color w:val="000000"/>
          <w:sz w:val="32"/>
          <w:szCs w:val="32"/>
        </w:rPr>
        <w:t>日依法向当事人送达了《行政处罚告知书》（津辰市监罚告〔</w:t>
      </w:r>
      <w:r>
        <w:rPr>
          <w:rFonts w:ascii="Times New Roman" w:hAnsi="Times New Roman" w:eastAsia="仿宋_GB2312" w:cs="仿宋"/>
          <w:bCs/>
          <w:color w:val="000000"/>
          <w:sz w:val="32"/>
          <w:szCs w:val="32"/>
        </w:rPr>
        <w:t>2021</w:t>
      </w:r>
      <w:r>
        <w:rPr>
          <w:rFonts w:hint="eastAsia" w:ascii="Times New Roman" w:hAnsi="Times New Roman" w:eastAsia="仿宋_GB2312" w:cs="仿宋"/>
          <w:bCs/>
          <w:color w:val="000000"/>
          <w:sz w:val="32"/>
          <w:szCs w:val="32"/>
        </w:rPr>
        <w:t>〕</w:t>
      </w:r>
      <w:r>
        <w:rPr>
          <w:rFonts w:ascii="Times New Roman" w:hAnsi="Times New Roman" w:eastAsia="仿宋_GB2312" w:cs="仿宋"/>
          <w:bCs/>
          <w:color w:val="000000"/>
          <w:sz w:val="32"/>
          <w:szCs w:val="32"/>
        </w:rPr>
        <w:t>1191</w:t>
      </w:r>
      <w:r>
        <w:rPr>
          <w:rFonts w:hint="eastAsia" w:ascii="Times New Roman" w:hAnsi="Times New Roman" w:eastAsia="仿宋_GB2312" w:cs="仿宋"/>
          <w:bCs/>
          <w:color w:val="000000"/>
          <w:sz w:val="32"/>
          <w:szCs w:val="32"/>
        </w:rPr>
        <w:t>号），当事人未提出陈述申辩意见。</w:t>
      </w:r>
    </w:p>
    <w:p>
      <w:pPr>
        <w:spacing w:line="480" w:lineRule="exact"/>
        <w:ind w:firstLine="640" w:firstLineChars="200"/>
        <w:rPr>
          <w:rFonts w:ascii="仿宋_GB2312" w:eastAsia="仿宋_GB2312" w:cs="仿宋_GB2312"/>
          <w:bCs/>
          <w:sz w:val="32"/>
          <w:szCs w:val="32"/>
        </w:rPr>
      </w:pPr>
      <w:r>
        <w:rPr>
          <w:rFonts w:hint="eastAsia" w:ascii="仿宋_GB2312" w:hAnsi="楷体_GB2312" w:eastAsia="仿宋_GB2312" w:cs="楷体_GB2312"/>
          <w:color w:val="000000"/>
          <w:sz w:val="32"/>
          <w:szCs w:val="32"/>
        </w:rPr>
        <w:t>本局认为，</w:t>
      </w:r>
      <w:r>
        <w:rPr>
          <w:rFonts w:hint="eastAsia" w:ascii="仿宋_GB2312" w:eastAsia="仿宋_GB2312" w:cs="仿宋_GB2312"/>
          <w:sz w:val="32"/>
          <w:szCs w:val="32"/>
        </w:rPr>
        <w:t>当事人上述行为违反了</w:t>
      </w:r>
      <w:r>
        <w:rPr>
          <w:rFonts w:hint="eastAsia" w:ascii="仿宋_GB2312" w:hAnsi="仿宋" w:eastAsia="仿宋_GB2312"/>
          <w:sz w:val="32"/>
          <w:szCs w:val="32"/>
        </w:rPr>
        <w:t>《中华人民共和国食品安全法》第三十四条第十项：“禁止生产经营下列食品、食品添加剂、食品相关产品：（十）标注虚假生产日期、保质期或者超过保质期的食品、食品添加剂”的规定。鉴于</w:t>
      </w:r>
      <w:r>
        <w:rPr>
          <w:rFonts w:hint="eastAsia" w:ascii="仿宋_GB2312" w:hAnsi="宋体" w:eastAsia="仿宋_GB2312" w:cs="宋体"/>
          <w:color w:val="212121"/>
          <w:kern w:val="0"/>
          <w:sz w:val="32"/>
          <w:szCs w:val="32"/>
        </w:rPr>
        <w:t>当事人属初次违法，并在案发</w:t>
      </w:r>
      <w:r>
        <w:rPr>
          <w:rFonts w:hint="eastAsia" w:ascii="仿宋_GB2312" w:hAnsi="仿宋" w:eastAsia="仿宋_GB2312"/>
          <w:color w:val="000000"/>
          <w:sz w:val="32"/>
          <w:szCs w:val="32"/>
        </w:rPr>
        <w:t>后</w:t>
      </w:r>
      <w:r>
        <w:rPr>
          <w:rFonts w:hint="eastAsia" w:ascii="仿宋_GB2312" w:hAnsi="仿宋" w:eastAsia="仿宋_GB2312"/>
          <w:sz w:val="32"/>
          <w:szCs w:val="32"/>
        </w:rPr>
        <w:t>积极整改，</w:t>
      </w:r>
      <w:r>
        <w:rPr>
          <w:rStyle w:val="6"/>
          <w:rFonts w:hint="eastAsia" w:ascii="仿宋_GB2312" w:hAnsi="仿宋" w:eastAsia="仿宋_GB2312" w:cs="Arial"/>
          <w:i w:val="0"/>
          <w:sz w:val="32"/>
          <w:szCs w:val="32"/>
          <w:shd w:val="clear" w:color="auto" w:fill="FFFFFF"/>
        </w:rPr>
        <w:t>配合案件调查</w:t>
      </w:r>
      <w:r>
        <w:rPr>
          <w:rFonts w:hint="eastAsia" w:ascii="仿宋_GB2312" w:hAnsi="仿宋" w:eastAsia="仿宋_GB2312"/>
          <w:sz w:val="32"/>
          <w:szCs w:val="32"/>
        </w:rPr>
        <w:t>，应依据《中华人民共和国行政处罚法》第三十二条第五项和</w:t>
      </w:r>
      <w:r>
        <w:rPr>
          <w:rFonts w:hint="eastAsia" w:ascii="仿宋_GB2312" w:eastAsia="仿宋_GB2312" w:cs="仿宋_GB2312"/>
          <w:bCs/>
          <w:sz w:val="32"/>
          <w:szCs w:val="32"/>
        </w:rPr>
        <w:t>《天津市市场和质量监督管理委员会行政处罚裁量适用规则》第十三条第五项、第九项的规定予以减轻处罚。</w:t>
      </w:r>
      <w:r>
        <w:rPr>
          <w:rFonts w:ascii="仿宋_GB2312" w:eastAsia="仿宋_GB2312" w:cs="仿宋_GB2312"/>
          <w:bCs/>
          <w:sz w:val="32"/>
          <w:szCs w:val="32"/>
        </w:rPr>
        <w:t xml:space="preserve">  </w:t>
      </w:r>
    </w:p>
    <w:p>
      <w:pPr>
        <w:spacing w:line="500" w:lineRule="exact"/>
        <w:ind w:firstLine="640" w:firstLineChars="200"/>
        <w:rPr>
          <w:rFonts w:hint="eastAsia" w:ascii="仿宋_GB2312" w:hAnsi="仿宋" w:eastAsia="仿宋_GB2312"/>
          <w:sz w:val="32"/>
          <w:szCs w:val="32"/>
        </w:rPr>
      </w:pPr>
      <w:r>
        <w:rPr>
          <w:rFonts w:hint="eastAsia" w:ascii="仿宋_GB2312" w:hAnsi="楷体_GB2312" w:eastAsia="仿宋_GB2312" w:cs="楷体_GB2312"/>
          <w:color w:val="000000"/>
          <w:sz w:val="32"/>
          <w:szCs w:val="32"/>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rPr>
        <w:t>食品安全</w:t>
      </w:r>
      <w:r>
        <w:rPr>
          <w:rFonts w:hint="eastAsia" w:ascii="仿宋_GB2312" w:hAnsi="楷体_GB2312" w:eastAsia="仿宋_GB2312" w:cs="楷体_GB2312"/>
          <w:color w:val="000000"/>
          <w:sz w:val="32"/>
          <w:szCs w:val="32"/>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rPr>
        <w:t>的规定，对当事人给予以下行政处罚：</w:t>
      </w:r>
      <w:r>
        <w:rPr>
          <w:rFonts w:hint="eastAsia" w:ascii="仿宋_GB2312" w:hAnsi="仿宋" w:eastAsia="仿宋_GB2312"/>
          <w:sz w:val="32"/>
          <w:szCs w:val="32"/>
        </w:rPr>
        <w:t>1.没收超过保质期的5袋“君晓”开口松子、3根“金锣加钙特香王”优级火腿肠和3袋共24包“双汇”香辣香脆肠；2.没收违法所得3.1元；3.罚款1000元, 罚没款合计1003.1元。</w:t>
      </w:r>
    </w:p>
    <w:p>
      <w:pPr>
        <w:spacing w:line="50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如对本行政处罚决定不服，可以于收到本决定书之日起六十日内依法向天津市市场监督管理委员会或者天津市北辰区人民政府申请行政复议，也可以于六个月内依法向天津市北辰区人民法院提起行政诉讼。</w:t>
      </w:r>
      <w:r>
        <w:rPr>
          <w:rFonts w:ascii="仿宋_GB2312" w:eastAsia="仿宋_GB2312" w:cs="仿宋_GB2312"/>
          <w:kern w:val="1"/>
          <w:sz w:val="32"/>
          <w:szCs w:val="32"/>
        </w:rPr>
        <w:t xml:space="preserve">                   </w:t>
      </w:r>
    </w:p>
    <w:p>
      <w:pPr>
        <w:spacing w:line="480" w:lineRule="exact"/>
        <w:ind w:firstLine="601"/>
        <w:jc w:val="center"/>
        <w:rPr>
          <w:rFonts w:ascii="Times New Roman" w:hAnsi="Times New Roman" w:eastAsia="仿宋_GB2312" w:cs="仿宋"/>
          <w:color w:val="000000"/>
          <w:sz w:val="32"/>
          <w:szCs w:val="32"/>
        </w:rPr>
      </w:pPr>
    </w:p>
    <w:p>
      <w:pPr>
        <w:spacing w:line="480" w:lineRule="exact"/>
        <w:jc w:val="both"/>
        <w:rPr>
          <w:rFonts w:ascii="Times New Roman" w:hAnsi="Times New Roman" w:eastAsia="仿宋_GB2312" w:cs="仿宋"/>
          <w:color w:val="000000"/>
          <w:sz w:val="32"/>
          <w:szCs w:val="32"/>
        </w:rPr>
      </w:pPr>
      <w:bookmarkStart w:id="0" w:name="_GoBack"/>
      <w:bookmarkEnd w:id="0"/>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天津市北辰区市场监督管理局</w:t>
      </w:r>
    </w:p>
    <w:p>
      <w:pPr>
        <w:spacing w:line="480" w:lineRule="exact"/>
        <w:ind w:right="640" w:firstLine="600"/>
        <w:jc w:val="center"/>
        <w:rPr>
          <w:rFonts w:ascii="Times New Roman" w:hAnsi="Times New Roman" w:eastAsia="仿宋_GB2312" w:cs="仿宋"/>
          <w:bCs/>
          <w:color w:val="000000"/>
          <w:sz w:val="32"/>
          <w:szCs w:val="32"/>
        </w:rPr>
      </w:pPr>
      <w:r>
        <w:rPr>
          <w:rFonts w:ascii="Times New Roman" w:hAnsi="Times New Roman" w:eastAsia="仿宋_GB2312" w:cs="仿宋"/>
          <w:color w:val="000000"/>
          <w:sz w:val="32"/>
          <w:szCs w:val="32"/>
        </w:rPr>
        <w:t xml:space="preserve">             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15</w:t>
      </w:r>
      <w:r>
        <w:rPr>
          <w:rFonts w:hint="eastAsia" w:ascii="Times New Roman" w:hAnsi="Times New Roman" w:eastAsia="仿宋_GB2312" w:cs="仿宋"/>
          <w:color w:val="000000"/>
          <w:sz w:val="32"/>
          <w:szCs w:val="32"/>
        </w:rPr>
        <w:t>日</w:t>
      </w: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0F42A9"/>
    <w:rsid w:val="001051A1"/>
    <w:rsid w:val="00146018"/>
    <w:rsid w:val="00147084"/>
    <w:rsid w:val="001A180C"/>
    <w:rsid w:val="001B5319"/>
    <w:rsid w:val="00233695"/>
    <w:rsid w:val="00270884"/>
    <w:rsid w:val="002A03F8"/>
    <w:rsid w:val="002C41A4"/>
    <w:rsid w:val="002F2FC4"/>
    <w:rsid w:val="002F5E37"/>
    <w:rsid w:val="003050EB"/>
    <w:rsid w:val="00306EE2"/>
    <w:rsid w:val="00311080"/>
    <w:rsid w:val="00363089"/>
    <w:rsid w:val="0036717F"/>
    <w:rsid w:val="0038449B"/>
    <w:rsid w:val="00391B0A"/>
    <w:rsid w:val="00460F33"/>
    <w:rsid w:val="00483276"/>
    <w:rsid w:val="00492ACB"/>
    <w:rsid w:val="004A5AC3"/>
    <w:rsid w:val="004F2955"/>
    <w:rsid w:val="005046CC"/>
    <w:rsid w:val="00562944"/>
    <w:rsid w:val="00587305"/>
    <w:rsid w:val="005B15A7"/>
    <w:rsid w:val="005D7422"/>
    <w:rsid w:val="006640B1"/>
    <w:rsid w:val="0068712C"/>
    <w:rsid w:val="00695245"/>
    <w:rsid w:val="006C58E2"/>
    <w:rsid w:val="00710E68"/>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41198"/>
    <w:rsid w:val="00A729C0"/>
    <w:rsid w:val="00A7589B"/>
    <w:rsid w:val="00A766BE"/>
    <w:rsid w:val="00AD3E71"/>
    <w:rsid w:val="00B07344"/>
    <w:rsid w:val="00B242E0"/>
    <w:rsid w:val="00B66DB9"/>
    <w:rsid w:val="00B86A09"/>
    <w:rsid w:val="00BA7B66"/>
    <w:rsid w:val="00BB08BC"/>
    <w:rsid w:val="00BB1F0D"/>
    <w:rsid w:val="00BB3C43"/>
    <w:rsid w:val="00BE6579"/>
    <w:rsid w:val="00BF54D8"/>
    <w:rsid w:val="00C32623"/>
    <w:rsid w:val="00C4067B"/>
    <w:rsid w:val="00C476B2"/>
    <w:rsid w:val="00C75723"/>
    <w:rsid w:val="00C87CCA"/>
    <w:rsid w:val="00C927DD"/>
    <w:rsid w:val="00CD27EB"/>
    <w:rsid w:val="00CF10B0"/>
    <w:rsid w:val="00D62B02"/>
    <w:rsid w:val="00D71FC1"/>
    <w:rsid w:val="00DA30A2"/>
    <w:rsid w:val="00E06226"/>
    <w:rsid w:val="00E156F7"/>
    <w:rsid w:val="00E74D12"/>
    <w:rsid w:val="00EA3874"/>
    <w:rsid w:val="00EB65A9"/>
    <w:rsid w:val="00EE3FFF"/>
    <w:rsid w:val="00EF34F3"/>
    <w:rsid w:val="00EF68B8"/>
    <w:rsid w:val="00F36FA0"/>
    <w:rsid w:val="00F370B8"/>
    <w:rsid w:val="00F75002"/>
    <w:rsid w:val="00F76B87"/>
    <w:rsid w:val="00FD2A2D"/>
    <w:rsid w:val="00FE1B1F"/>
    <w:rsid w:val="00FF33C4"/>
    <w:rsid w:val="1A523DD2"/>
    <w:rsid w:val="1AB309E6"/>
    <w:rsid w:val="2AB732D7"/>
    <w:rsid w:val="2FE74CDB"/>
    <w:rsid w:val="3405148E"/>
    <w:rsid w:val="46816F58"/>
    <w:rsid w:val="4DC23B3D"/>
    <w:rsid w:val="550D4146"/>
    <w:rsid w:val="6FFEF144"/>
    <w:rsid w:val="765C0B4F"/>
    <w:rsid w:val="7C0A6A73"/>
    <w:rsid w:val="D7DF0B9E"/>
    <w:rsid w:val="DEFD1A9A"/>
    <w:rsid w:val="FFDDAA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qFormat/>
    <w:uiPriority w:val="99"/>
    <w:rPr>
      <w:rFonts w:cs="Times New Roman"/>
      <w:i/>
    </w:rPr>
  </w:style>
  <w:style w:type="character" w:customStyle="1" w:styleId="7">
    <w:name w:val="页眉 字符"/>
    <w:link w:val="3"/>
    <w:qFormat/>
    <w:uiPriority w:val="99"/>
    <w:rPr>
      <w:sz w:val="18"/>
      <w:szCs w:val="18"/>
    </w:rPr>
  </w:style>
  <w:style w:type="character" w:customStyle="1" w:styleId="8">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4</Pages>
  <Words>333</Words>
  <Characters>1904</Characters>
  <Lines>15</Lines>
  <Paragraphs>4</Paragraphs>
  <TotalTime>37</TotalTime>
  <ScaleCrop>false</ScaleCrop>
  <LinksUpToDate>false</LinksUpToDate>
  <CharactersWithSpaces>2233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2021-09-07T09:06:00Z</dcterms:created>
  <dc:creator>李光磊</dc:creator>
  <cp:lastModifiedBy>greatwall</cp:lastModifiedBy>
  <cp:lastPrinted>2021-09-02T09:20:00Z</cp:lastPrinted>
  <dcterms:modified xsi:type="dcterms:W3CDTF">2022-02-21T08:29:46Z</dcterms:modified>
  <dc:title>天津市北辰区市场监督管理局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