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u w:val="none"/>
        </w:rPr>
        <mc:AlternateContent>
          <mc:Choice Requires="wps">
            <w:drawing>
              <wp:anchor distT="0" distB="0" distL="114300" distR="114300" simplePos="0" relativeHeight="102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pt;margin-top:1638pt;height:0.1pt;width:453.7pt;z-index:102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i14omtoAAAALAQAADwAAAAAAAAABACAAAAA4AAAAZHJz&#10;L2Rvd25yZXYueG1sUEsBAhQAFAAAAAgAh07iQAK9xrLsAQAAsAMAAA4AAAAAAAAAAQAgAAAAPwEA&#10;AGRycy9lMm9Eb2MueG1sUEsFBgAAAAAGAAYAWQEAAJ0FA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津辰市监处罚〔</w:t>
      </w:r>
      <w:r>
        <w:rPr>
          <w:rFonts w:ascii="Times New Roman" w:hAnsi="Times New Roman" w:eastAsia="仿宋_GB2312" w:cs="仿宋"/>
          <w:color w:val="000000"/>
          <w:sz w:val="32"/>
          <w:szCs w:val="32"/>
          <w:u w:val="none"/>
        </w:rPr>
        <w:t>2021</w:t>
      </w:r>
      <w:r>
        <w:rPr>
          <w:rFonts w:hint="eastAsia" w:ascii="Times New Roman" w:hAnsi="Times New Roman" w:eastAsia="仿宋_GB2312" w:cs="仿宋"/>
          <w:color w:val="000000"/>
          <w:sz w:val="32"/>
          <w:szCs w:val="32"/>
          <w:u w:val="none"/>
        </w:rPr>
        <w:t>〕12</w:t>
      </w:r>
      <w:r>
        <w:rPr>
          <w:rFonts w:ascii="Times New Roman" w:hAnsi="Times New Roman" w:eastAsia="仿宋_GB2312" w:cs="仿宋"/>
          <w:color w:val="000000"/>
          <w:sz w:val="32"/>
          <w:szCs w:val="32"/>
          <w:u w:val="none"/>
        </w:rPr>
        <w:t>13</w:t>
      </w:r>
      <w:r>
        <w:rPr>
          <w:rFonts w:hint="eastAsia" w:ascii="Times New Roman" w:hAnsi="Times New Roman" w:eastAsia="仿宋_GB2312" w:cs="仿宋"/>
          <w:color w:val="000000"/>
          <w:sz w:val="32"/>
          <w:szCs w:val="32"/>
          <w:u w:val="none"/>
        </w:rPr>
        <w:t>号</w:t>
      </w:r>
    </w:p>
    <w:p>
      <w:pPr>
        <w:spacing w:line="480" w:lineRule="exact"/>
        <w:rPr>
          <w:rFonts w:ascii="Times New Roman" w:hAnsi="Times New Roman" w:eastAsia="仿宋_GB2312" w:cs="Mongolian Baiti"/>
          <w:kern w:val="1"/>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：天津市北辰区吉尚便利店（沈燕）</w:t>
      </w:r>
      <w:r>
        <w:rPr>
          <w:rFonts w:ascii="Times New Roman" w:hAnsi="Times New Roman" w:eastAsia="仿宋_GB2312" w:cs="Mongolian Baiti"/>
          <w:kern w:val="1"/>
          <w:sz w:val="32"/>
          <w:szCs w:val="32"/>
          <w:u w:val="none"/>
        </w:rPr>
        <w:t xml:space="preserve">            </w:t>
      </w:r>
    </w:p>
    <w:p>
      <w:pPr>
        <w:spacing w:line="48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主体资格证照名称：</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rPr>
        <w:t>营业执照</w:t>
      </w:r>
      <w:r>
        <w:rPr>
          <w:rFonts w:ascii="Times New Roman" w:hAnsi="Times New Roman" w:eastAsia="仿宋_GB2312" w:cs="Mongolian Baiti"/>
          <w:kern w:val="1"/>
          <w:sz w:val="32"/>
          <w:szCs w:val="32"/>
          <w:u w:val="none"/>
        </w:rPr>
        <w:t xml:space="preserve">                            </w:t>
      </w:r>
    </w:p>
    <w:p>
      <w:pPr>
        <w:spacing w:line="48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注册号：</w:t>
      </w:r>
      <w:r>
        <w:rPr>
          <w:rFonts w:ascii="Times New Roman" w:hAnsi="Times New Roman" w:eastAsia="仿宋_GB2312" w:cs="Mongolian Baiti"/>
          <w:kern w:val="1"/>
          <w:sz w:val="32"/>
          <w:szCs w:val="32"/>
          <w:u w:val="none"/>
        </w:rPr>
        <w:t>92120113MA06ERTU2Q</w:t>
      </w:r>
    </w:p>
    <w:p>
      <w:pPr>
        <w:spacing w:line="48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经营场所：天津市北辰区普东街都市桃源公寓1-3-103</w:t>
      </w:r>
      <w:r>
        <w:rPr>
          <w:rFonts w:ascii="Times New Roman" w:hAnsi="Times New Roman" w:eastAsia="仿宋_GB2312" w:cs="Mongolian Baiti"/>
          <w:kern w:val="1"/>
          <w:sz w:val="32"/>
          <w:szCs w:val="32"/>
          <w:u w:val="none"/>
        </w:rPr>
        <w:t xml:space="preserve">  </w:t>
      </w:r>
      <w:r>
        <w:rPr>
          <w:rFonts w:ascii="仿宋_GB2312" w:eastAsia="仿宋_GB2312"/>
          <w:sz w:val="32"/>
          <w:szCs w:val="32"/>
          <w:u w:val="none"/>
        </w:rPr>
        <w:t xml:space="preserve">              </w:t>
      </w:r>
    </w:p>
    <w:p>
      <w:pPr>
        <w:spacing w:line="48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经营者：沈燕</w:t>
      </w:r>
      <w:r>
        <w:rPr>
          <w:rFonts w:ascii="仿宋_GB2312" w:eastAsia="仿宋_GB2312"/>
          <w:sz w:val="32"/>
          <w:szCs w:val="32"/>
          <w:u w:val="none"/>
        </w:rPr>
        <w:t xml:space="preserve">            </w:t>
      </w:r>
      <w:r>
        <w:rPr>
          <w:rFonts w:ascii="Times New Roman" w:hAnsi="Times New Roman" w:eastAsia="仿宋_GB2312" w:cs="Mongolian Baiti"/>
          <w:kern w:val="1"/>
          <w:sz w:val="32"/>
          <w:szCs w:val="32"/>
          <w:u w:val="none"/>
        </w:rPr>
        <w:t xml:space="preserve">        </w:t>
      </w:r>
    </w:p>
    <w:p>
      <w:pPr>
        <w:spacing w:line="480" w:lineRule="exact"/>
        <w:ind w:firstLine="640" w:firstLineChars="200"/>
        <w:rPr>
          <w:rFonts w:ascii="仿宋_GB2312" w:hAnsi="仿宋" w:eastAsia="仿宋_GB2312"/>
          <w:sz w:val="32"/>
          <w:szCs w:val="32"/>
          <w:u w:val="none"/>
        </w:rPr>
      </w:pPr>
      <w:r>
        <w:rPr>
          <w:rFonts w:hint="eastAsia" w:ascii="仿宋_GB2312" w:hAnsi="仿宋" w:eastAsia="仿宋_GB2312" w:cs="宋体"/>
          <w:color w:val="000000"/>
          <w:kern w:val="0"/>
          <w:sz w:val="32"/>
          <w:szCs w:val="32"/>
          <w:u w:val="none"/>
        </w:rPr>
        <w:t>2021年12月13日，我局收到投诉称天津市北辰区吉尚便利店（沈燕）销售的1664啤酒无中文标签。2021年12月14日，我局执法人员对天津市北辰区普东街都市桃源公寓1-3-103天津市北辰区吉尚便利店（沈燕）进行检查时发现，该店待售的6瓶“1664”啤酒无中文标签。当日经局领导审批，执法人员依法对涉案的6瓶“1664”啤酒进行了扣押，现场送达了《实施行政强制措施决定书》（津辰市监普强制〔2021〕46号），并告知采取行政强制措施的理由、依据及当事人依法享有的权利、救济途径，当事人放弃陈述、申辩。12月</w:t>
      </w:r>
      <w:r>
        <w:rPr>
          <w:rFonts w:ascii="仿宋_GB2312" w:hAnsi="仿宋" w:eastAsia="仿宋_GB2312" w:cs="宋体"/>
          <w:color w:val="000000"/>
          <w:kern w:val="0"/>
          <w:sz w:val="32"/>
          <w:szCs w:val="32"/>
          <w:u w:val="none"/>
        </w:rPr>
        <w:t>20</w:t>
      </w:r>
      <w:r>
        <w:rPr>
          <w:rFonts w:hint="eastAsia" w:ascii="仿宋_GB2312" w:hAnsi="仿宋" w:eastAsia="仿宋_GB2312" w:cs="宋体"/>
          <w:color w:val="000000"/>
          <w:kern w:val="0"/>
          <w:sz w:val="32"/>
          <w:szCs w:val="32"/>
          <w:u w:val="none"/>
        </w:rPr>
        <w:t>日执法人员报经局领导批准，予以立案调查。此案于2022年2月28日调查终结。</w:t>
      </w:r>
      <w:r>
        <w:rPr>
          <w:rFonts w:ascii="仿宋_GB2312" w:hAnsi="仿宋" w:eastAsia="仿宋_GB2312"/>
          <w:sz w:val="32"/>
          <w:szCs w:val="32"/>
          <w:u w:val="none"/>
        </w:rPr>
        <w:t xml:space="preserve">                             </w:t>
      </w:r>
    </w:p>
    <w:p>
      <w:pPr>
        <w:spacing w:line="480" w:lineRule="exact"/>
        <w:ind w:firstLine="640" w:firstLineChars="200"/>
        <w:rPr>
          <w:rFonts w:ascii="Times New Roman" w:hAnsi="Times New Roman" w:eastAsia="仿宋_GB2312" w:cs="仿宋"/>
          <w:color w:val="000000"/>
          <w:sz w:val="32"/>
          <w:szCs w:val="32"/>
          <w:u w:val="none"/>
        </w:rPr>
      </w:pPr>
      <w:r>
        <w:rPr>
          <w:rFonts w:hint="eastAsia" w:ascii="仿宋_GB2312" w:hAnsi="仿宋" w:eastAsia="仿宋_GB2312"/>
          <w:color w:val="000000"/>
          <w:sz w:val="32"/>
          <w:szCs w:val="32"/>
          <w:u w:val="none"/>
        </w:rPr>
        <w:t>当事人取得营业执照并取得食品经营许可证从事食品经营。当事人2021年3月16日从天津市河北区四喜酒水批发商行购入12瓶“1664”啤酒上架销售,2021年12月14日执法人员检查时发现6瓶“1664”啤酒在店内销售，上述啤酒无中文标签，售价17元/瓶，进价折合14.83元/瓶，售出2瓶，4瓶自行饮用，根据上述行为满足销售标签不符合食品安全标准的啤酒构成要件。货值金额136元，违法所得4.34元。</w:t>
      </w:r>
      <w:r>
        <w:rPr>
          <w:rFonts w:hint="eastAsia" w:ascii="Times New Roman" w:hAnsi="Times New Roman" w:eastAsia="仿宋_GB2312" w:cs="仿宋"/>
          <w:color w:val="000000"/>
          <w:sz w:val="32"/>
          <w:szCs w:val="32"/>
          <w:u w:val="none"/>
        </w:rPr>
        <w:t>上述事实，主要有以下证据证明：1.当事人的营业执照、食品经营证明复印件、经营者沈燕身份证复印件；2. 2021年12月14日现场笔录、现场照片；3.对被委托人周勋的询问笔录、委托人身份证复印件、委托书；4.供货商资质和进货票据；5.货值金额、违法所得计算说明；6. 2021年12月18日复查现场笔录。</w:t>
      </w:r>
    </w:p>
    <w:p>
      <w:pPr>
        <w:spacing w:line="480" w:lineRule="exact"/>
        <w:ind w:firstLine="640" w:firstLineChars="200"/>
        <w:rPr>
          <w:rFonts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本局于</w:t>
      </w:r>
      <w:r>
        <w:rPr>
          <w:rFonts w:ascii="Times New Roman" w:hAnsi="Times New Roman" w:eastAsia="仿宋_GB2312" w:cs="仿宋"/>
          <w:bCs/>
          <w:color w:val="000000"/>
          <w:sz w:val="32"/>
          <w:szCs w:val="32"/>
          <w:u w:val="none"/>
        </w:rPr>
        <w:t>2022</w:t>
      </w:r>
      <w:r>
        <w:rPr>
          <w:rFonts w:hint="eastAsia" w:ascii="Times New Roman" w:hAnsi="Times New Roman" w:eastAsia="仿宋_GB2312" w:cs="仿宋"/>
          <w:bCs/>
          <w:color w:val="000000"/>
          <w:sz w:val="32"/>
          <w:szCs w:val="32"/>
          <w:u w:val="none"/>
        </w:rPr>
        <w:t>年</w:t>
      </w:r>
      <w:r>
        <w:rPr>
          <w:rFonts w:ascii="Times New Roman" w:hAnsi="Times New Roman" w:eastAsia="仿宋_GB2312" w:cs="仿宋"/>
          <w:bCs/>
          <w:color w:val="000000"/>
          <w:sz w:val="32"/>
          <w:szCs w:val="32"/>
          <w:u w:val="none"/>
        </w:rPr>
        <w:t>3</w:t>
      </w:r>
      <w:r>
        <w:rPr>
          <w:rFonts w:hint="eastAsia" w:ascii="Times New Roman" w:hAnsi="Times New Roman" w:eastAsia="仿宋_GB2312" w:cs="仿宋"/>
          <w:bCs/>
          <w:color w:val="000000"/>
          <w:sz w:val="32"/>
          <w:szCs w:val="32"/>
          <w:u w:val="none"/>
        </w:rPr>
        <w:t>月</w:t>
      </w:r>
      <w:r>
        <w:rPr>
          <w:rFonts w:ascii="Times New Roman" w:hAnsi="Times New Roman" w:eastAsia="仿宋_GB2312" w:cs="仿宋"/>
          <w:bCs/>
          <w:color w:val="000000"/>
          <w:sz w:val="32"/>
          <w:szCs w:val="32"/>
          <w:u w:val="none"/>
        </w:rPr>
        <w:t>9</w:t>
      </w:r>
      <w:r>
        <w:rPr>
          <w:rFonts w:hint="eastAsia" w:ascii="Times New Roman" w:hAnsi="Times New Roman" w:eastAsia="仿宋_GB2312" w:cs="仿宋"/>
          <w:bCs/>
          <w:color w:val="000000"/>
          <w:sz w:val="32"/>
          <w:szCs w:val="32"/>
          <w:u w:val="none"/>
        </w:rPr>
        <w:t>日依法向当事人送达了《行政处罚告知书》（津辰市监罚告〔</w:t>
      </w:r>
      <w:r>
        <w:rPr>
          <w:rFonts w:ascii="Times New Roman" w:hAnsi="Times New Roman" w:eastAsia="仿宋_GB2312" w:cs="仿宋"/>
          <w:bCs/>
          <w:color w:val="000000"/>
          <w:sz w:val="32"/>
          <w:szCs w:val="32"/>
          <w:u w:val="none"/>
        </w:rPr>
        <w:t>2021</w:t>
      </w:r>
      <w:r>
        <w:rPr>
          <w:rFonts w:hint="eastAsia" w:ascii="Times New Roman" w:hAnsi="Times New Roman" w:eastAsia="仿宋_GB2312" w:cs="仿宋"/>
          <w:bCs/>
          <w:color w:val="000000"/>
          <w:sz w:val="32"/>
          <w:szCs w:val="32"/>
          <w:u w:val="none"/>
        </w:rPr>
        <w:t>〕</w:t>
      </w:r>
      <w:r>
        <w:rPr>
          <w:rFonts w:ascii="Times New Roman" w:hAnsi="Times New Roman" w:eastAsia="仿宋_GB2312" w:cs="仿宋"/>
          <w:bCs/>
          <w:color w:val="000000"/>
          <w:sz w:val="32"/>
          <w:szCs w:val="32"/>
          <w:u w:val="none"/>
        </w:rPr>
        <w:t>1213</w:t>
      </w:r>
      <w:r>
        <w:rPr>
          <w:rFonts w:hint="eastAsia" w:ascii="Times New Roman" w:hAnsi="Times New Roman" w:eastAsia="仿宋_GB2312" w:cs="仿宋"/>
          <w:bCs/>
          <w:color w:val="000000"/>
          <w:sz w:val="32"/>
          <w:szCs w:val="32"/>
          <w:u w:val="none"/>
        </w:rPr>
        <w:t>号），当事人未提出陈述申辩意见。</w:t>
      </w:r>
    </w:p>
    <w:p>
      <w:pPr>
        <w:spacing w:line="480" w:lineRule="exact"/>
        <w:ind w:firstLine="640" w:firstLineChars="200"/>
        <w:rPr>
          <w:rFonts w:ascii="仿宋_GB2312" w:hAnsi="宋体" w:eastAsia="仿宋_GB2312" w:cs="宋体"/>
          <w:color w:val="212121"/>
          <w:kern w:val="0"/>
          <w:sz w:val="32"/>
          <w:szCs w:val="32"/>
          <w:u w:val="none"/>
        </w:rPr>
      </w:pPr>
      <w:r>
        <w:rPr>
          <w:rFonts w:hint="eastAsia" w:ascii="仿宋_GB2312" w:hAnsi="楷体_GB2312" w:eastAsia="仿宋_GB2312" w:cs="楷体_GB2312"/>
          <w:color w:val="000000"/>
          <w:sz w:val="32"/>
          <w:szCs w:val="32"/>
          <w:u w:val="none"/>
        </w:rPr>
        <w:t>本局认为，</w:t>
      </w:r>
      <w:r>
        <w:rPr>
          <w:rFonts w:hint="eastAsia" w:ascii="仿宋_GB2312" w:eastAsia="仿宋_GB2312" w:cs="仿宋_GB2312"/>
          <w:sz w:val="32"/>
          <w:szCs w:val="32"/>
          <w:u w:val="none"/>
        </w:rPr>
        <w:t>当事人上述行为违反了《中华人民共和国食品安全法》第六十七条第三款：“预包装食品的包装上应当有标签。标签应当标明下列事项：食品安全国家标准对标签标注事项另有规定的，从其规定。”和“《食品安全国家标准预包装食品标签通则》（GB7718-2011）：3.8.2 可以同时使用外文，但应与中文有对应关系（商标、进口食品的制造者和地址、国外经销者的名称和地址、网址除外）。所有外文不得大于相应的汉字(商标除外)”的规定。</w:t>
      </w:r>
      <w:r>
        <w:rPr>
          <w:rFonts w:hint="eastAsia" w:ascii="仿宋_GB2312" w:hAnsi="仿宋" w:eastAsia="仿宋_GB2312"/>
          <w:sz w:val="32"/>
          <w:szCs w:val="32"/>
          <w:u w:val="none"/>
        </w:rPr>
        <w:t>鉴于</w:t>
      </w:r>
      <w:r>
        <w:rPr>
          <w:rFonts w:hint="eastAsia" w:ascii="仿宋_GB2312" w:hAnsi="宋体" w:eastAsia="仿宋_GB2312" w:cs="宋体"/>
          <w:color w:val="212121"/>
          <w:kern w:val="0"/>
          <w:sz w:val="32"/>
          <w:szCs w:val="32"/>
          <w:u w:val="none"/>
        </w:rPr>
        <w:t>当事人属初次违法，并在案发后积极配合案件调查，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情形，因此予以从轻处罚。</w:t>
      </w:r>
    </w:p>
    <w:p>
      <w:pPr>
        <w:spacing w:line="50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依据《中华人民共和国食品安全法》第一百二十五条第一款第二项：“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二）生产经营无标签的预包装食品、食品添加剂或者标签、说明书不符合本法规定的食品、食品添加剂；”的规定，对当事人给予以下行政处罚：1.没收无中文标签的6瓶“1664”啤酒；2.没收违法所得4.34元；3.罚款5000元。</w:t>
      </w:r>
    </w:p>
    <w:p>
      <w:pPr>
        <w:spacing w:line="50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第一款第一项和第四项的规定，每日按罚款数额的百分之三加处罚款，并将依法申请人民法院强制执行。</w:t>
      </w:r>
    </w:p>
    <w:p>
      <w:pPr>
        <w:spacing w:line="480" w:lineRule="exact"/>
        <w:ind w:firstLine="640" w:firstLineChars="200"/>
        <w:rPr>
          <w:rFonts w:ascii="Times New Roman" w:hAnsi="Times New Roman" w:eastAsia="仿宋_GB2312" w:cs="仿宋"/>
          <w:color w:val="000000"/>
          <w:sz w:val="32"/>
          <w:szCs w:val="32"/>
          <w:u w:val="none"/>
        </w:rPr>
      </w:pPr>
      <w:r>
        <w:rPr>
          <w:rFonts w:hint="eastAsia" w:ascii="仿宋_GB2312" w:eastAsia="仿宋_GB2312" w:cs="仿宋_GB2312"/>
          <w:kern w:val="1"/>
          <w:sz w:val="32"/>
          <w:szCs w:val="32"/>
          <w:u w:val="none"/>
        </w:rPr>
        <w:t>如对本行政处罚决定不服，可以于收到本决定书之日起六十日内依法向天津市北辰区人民政府申请行政复议，也可以于六个月内依法向天津市北辰区人民法院提起行政诉讼。</w:t>
      </w:r>
      <w:r>
        <w:rPr>
          <w:rFonts w:ascii="仿宋_GB2312" w:eastAsia="仿宋_GB2312" w:cs="仿宋_GB2312"/>
          <w:kern w:val="1"/>
          <w:sz w:val="32"/>
          <w:szCs w:val="32"/>
          <w:u w:val="none"/>
        </w:rPr>
        <w:t xml:space="preserve">                   </w:t>
      </w:r>
    </w:p>
    <w:p>
      <w:pPr>
        <w:spacing w:line="480" w:lineRule="exact"/>
        <w:ind w:firstLine="601"/>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p>
    <w:p>
      <w:pPr>
        <w:spacing w:line="480" w:lineRule="exact"/>
        <w:ind w:firstLine="601"/>
        <w:jc w:val="center"/>
        <w:rPr>
          <w:rFonts w:ascii="Times New Roman" w:hAnsi="Times New Roman" w:eastAsia="仿宋_GB2312" w:cs="仿宋"/>
          <w:color w:val="000000"/>
          <w:sz w:val="32"/>
          <w:szCs w:val="32"/>
          <w:u w:val="none"/>
        </w:rPr>
      </w:pPr>
    </w:p>
    <w:p>
      <w:pPr>
        <w:spacing w:line="480" w:lineRule="exact"/>
        <w:jc w:val="both"/>
        <w:rPr>
          <w:rFonts w:ascii="Times New Roman" w:hAnsi="Times New Roman" w:eastAsia="仿宋_GB2312" w:cs="仿宋"/>
          <w:color w:val="000000"/>
          <w:sz w:val="32"/>
          <w:szCs w:val="32"/>
        </w:rPr>
      </w:pPr>
      <w:bookmarkStart w:id="0" w:name="_GoBack"/>
      <w:bookmarkEnd w:id="0"/>
    </w:p>
    <w:p>
      <w:pPr>
        <w:spacing w:line="480" w:lineRule="exact"/>
        <w:ind w:firstLine="601"/>
        <w:jc w:val="center"/>
        <w:rPr>
          <w:rFonts w:ascii="Times New Roman" w:hAnsi="Times New Roman" w:eastAsia="仿宋_GB2312" w:cs="仿宋"/>
          <w:color w:val="000000"/>
          <w:sz w:val="32"/>
          <w:szCs w:val="32"/>
        </w:rPr>
      </w:pPr>
    </w:p>
    <w:p>
      <w:pPr>
        <w:spacing w:line="480" w:lineRule="exact"/>
        <w:ind w:firstLine="601"/>
        <w:jc w:val="center"/>
        <w:rPr>
          <w:rFonts w:ascii="Times New Roman" w:hAnsi="Times New Roman" w:eastAsia="仿宋_GB2312" w:cs="仿宋"/>
          <w:color w:val="000000"/>
          <w:sz w:val="32"/>
          <w:szCs w:val="32"/>
        </w:rPr>
      </w:pPr>
    </w:p>
    <w:p>
      <w:pPr>
        <w:spacing w:line="480" w:lineRule="exact"/>
        <w:ind w:firstLine="601"/>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p>
    <w:p>
      <w:pPr>
        <w:spacing w:line="48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天津市北辰区市场监督管理局</w:t>
      </w:r>
    </w:p>
    <w:p>
      <w:pPr>
        <w:spacing w:line="480" w:lineRule="exact"/>
        <w:ind w:right="640" w:firstLine="600"/>
        <w:jc w:val="both"/>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 xml:space="preserve">   </w:t>
      </w:r>
      <w:r>
        <w:rPr>
          <w:rFonts w:ascii="Times New Roman" w:hAnsi="Times New Roman" w:eastAsia="仿宋_GB2312" w:cs="仿宋"/>
          <w:color w:val="000000"/>
          <w:sz w:val="32"/>
          <w:szCs w:val="32"/>
        </w:rPr>
        <w:t>2022</w:t>
      </w:r>
      <w:r>
        <w:rPr>
          <w:rFonts w:hint="eastAsia" w:ascii="Times New Roman" w:hAnsi="Times New Roman" w:eastAsia="仿宋_GB2312" w:cs="仿宋"/>
          <w:color w:val="000000"/>
          <w:sz w:val="32"/>
          <w:szCs w:val="32"/>
        </w:rPr>
        <w:t>年</w:t>
      </w:r>
      <w:r>
        <w:rPr>
          <w:rFonts w:ascii="Times New Roman" w:hAnsi="Times New Roman" w:eastAsia="仿宋_GB2312" w:cs="仿宋"/>
          <w:color w:val="000000"/>
          <w:sz w:val="32"/>
          <w:szCs w:val="32"/>
        </w:rPr>
        <w:t>3</w:t>
      </w:r>
      <w:r>
        <w:rPr>
          <w:rFonts w:hint="eastAsia" w:ascii="Times New Roman" w:hAnsi="Times New Roman" w:eastAsia="仿宋_GB2312" w:cs="仿宋"/>
          <w:color w:val="000000"/>
          <w:sz w:val="32"/>
          <w:szCs w:val="32"/>
        </w:rPr>
        <w:t>月</w:t>
      </w:r>
      <w:r>
        <w:rPr>
          <w:rFonts w:ascii="Times New Roman" w:hAnsi="Times New Roman" w:eastAsia="仿宋_GB2312" w:cs="仿宋"/>
          <w:color w:val="000000"/>
          <w:sz w:val="32"/>
          <w:szCs w:val="32"/>
        </w:rPr>
        <w:t>17</w:t>
      </w:r>
      <w:r>
        <w:rPr>
          <w:rFonts w:hint="eastAsia" w:ascii="Times New Roman" w:hAnsi="Times New Roman" w:eastAsia="仿宋_GB2312" w:cs="仿宋"/>
          <w:color w:val="000000"/>
          <w:sz w:val="32"/>
          <w:szCs w:val="32"/>
        </w:rPr>
        <w:t>日</w:t>
      </w:r>
    </w:p>
    <w:p>
      <w:pPr>
        <w:wordWrap w:val="0"/>
        <w:spacing w:line="480" w:lineRule="exact"/>
        <w:rPr>
          <w:rFonts w:ascii="Times New Roman" w:hAnsi="Times New Roman" w:eastAsia="仿宋_GB2312" w:cs="仿宋"/>
          <w:bCs/>
          <w:color w:val="000000"/>
          <w:sz w:val="32"/>
          <w:szCs w:val="32"/>
        </w:rPr>
      </w:pPr>
    </w:p>
    <w:p>
      <w:pPr>
        <w:wordWrap w:val="0"/>
        <w:spacing w:line="480" w:lineRule="exact"/>
        <w:rPr>
          <w:rFonts w:ascii="Times New Roman" w:hAnsi="Times New Roman" w:eastAsia="仿宋_GB2312" w:cs="仿宋"/>
          <w:bCs/>
          <w:color w:val="000000"/>
          <w:sz w:val="32"/>
          <w:szCs w:val="32"/>
        </w:rPr>
      </w:pPr>
    </w:p>
    <w:p>
      <w:pPr>
        <w:wordWrap w:val="0"/>
        <w:spacing w:line="480" w:lineRule="exact"/>
        <w:rPr>
          <w:rFonts w:ascii="Times New Roman" w:hAnsi="Times New Roman" w:eastAsia="仿宋_GB2312" w:cs="仿宋"/>
          <w:color w:val="000000"/>
          <w:sz w:val="32"/>
          <w:szCs w:val="32"/>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98"/>
    <w:rsid w:val="001051A1"/>
    <w:rsid w:val="00146018"/>
    <w:rsid w:val="00147084"/>
    <w:rsid w:val="001A180C"/>
    <w:rsid w:val="001B5319"/>
    <w:rsid w:val="00233695"/>
    <w:rsid w:val="00270884"/>
    <w:rsid w:val="002A03F8"/>
    <w:rsid w:val="002C41A4"/>
    <w:rsid w:val="002C7D72"/>
    <w:rsid w:val="002F2FC4"/>
    <w:rsid w:val="002F5E37"/>
    <w:rsid w:val="003050EB"/>
    <w:rsid w:val="00306EE2"/>
    <w:rsid w:val="00311080"/>
    <w:rsid w:val="00363089"/>
    <w:rsid w:val="0036717F"/>
    <w:rsid w:val="0038449B"/>
    <w:rsid w:val="00391B0A"/>
    <w:rsid w:val="00455AFF"/>
    <w:rsid w:val="00460F33"/>
    <w:rsid w:val="00483276"/>
    <w:rsid w:val="00492ACB"/>
    <w:rsid w:val="004A5AC3"/>
    <w:rsid w:val="004F2955"/>
    <w:rsid w:val="005046CC"/>
    <w:rsid w:val="00543151"/>
    <w:rsid w:val="00562944"/>
    <w:rsid w:val="00587305"/>
    <w:rsid w:val="005B15A7"/>
    <w:rsid w:val="005D7422"/>
    <w:rsid w:val="005E53CA"/>
    <w:rsid w:val="00616B16"/>
    <w:rsid w:val="006640B1"/>
    <w:rsid w:val="0068712C"/>
    <w:rsid w:val="00695245"/>
    <w:rsid w:val="006C58E2"/>
    <w:rsid w:val="00710E68"/>
    <w:rsid w:val="00742483"/>
    <w:rsid w:val="00752C62"/>
    <w:rsid w:val="00783B22"/>
    <w:rsid w:val="007A6724"/>
    <w:rsid w:val="007B5F28"/>
    <w:rsid w:val="007E66A8"/>
    <w:rsid w:val="008731DD"/>
    <w:rsid w:val="00885EED"/>
    <w:rsid w:val="009059DF"/>
    <w:rsid w:val="0091246C"/>
    <w:rsid w:val="0092740C"/>
    <w:rsid w:val="0095241C"/>
    <w:rsid w:val="009550DE"/>
    <w:rsid w:val="009F2F00"/>
    <w:rsid w:val="00A41198"/>
    <w:rsid w:val="00A729C0"/>
    <w:rsid w:val="00A7589B"/>
    <w:rsid w:val="00A766BE"/>
    <w:rsid w:val="00AD3E71"/>
    <w:rsid w:val="00B07344"/>
    <w:rsid w:val="00B242E0"/>
    <w:rsid w:val="00B66DB9"/>
    <w:rsid w:val="00B7598E"/>
    <w:rsid w:val="00B86A09"/>
    <w:rsid w:val="00BA7B66"/>
    <w:rsid w:val="00BB08BC"/>
    <w:rsid w:val="00BB1F0D"/>
    <w:rsid w:val="00BB3C43"/>
    <w:rsid w:val="00BC7BD3"/>
    <w:rsid w:val="00BE6579"/>
    <w:rsid w:val="00BF54D8"/>
    <w:rsid w:val="00C32623"/>
    <w:rsid w:val="00C4067B"/>
    <w:rsid w:val="00C476B2"/>
    <w:rsid w:val="00C75723"/>
    <w:rsid w:val="00C87CCA"/>
    <w:rsid w:val="00C927DD"/>
    <w:rsid w:val="00CD27EB"/>
    <w:rsid w:val="00CF10B0"/>
    <w:rsid w:val="00D62B02"/>
    <w:rsid w:val="00D71FC1"/>
    <w:rsid w:val="00DA30A2"/>
    <w:rsid w:val="00E06226"/>
    <w:rsid w:val="00E156F7"/>
    <w:rsid w:val="00E557A7"/>
    <w:rsid w:val="00E74D12"/>
    <w:rsid w:val="00EA3874"/>
    <w:rsid w:val="00EB65A9"/>
    <w:rsid w:val="00EE3FFF"/>
    <w:rsid w:val="00EF34F3"/>
    <w:rsid w:val="00EF68B8"/>
    <w:rsid w:val="00F36FA0"/>
    <w:rsid w:val="00F370B8"/>
    <w:rsid w:val="00F7361E"/>
    <w:rsid w:val="00F75002"/>
    <w:rsid w:val="00F76B87"/>
    <w:rsid w:val="00FE1B1F"/>
    <w:rsid w:val="00FF33C4"/>
    <w:rsid w:val="019A4356"/>
    <w:rsid w:val="0A532AC6"/>
    <w:rsid w:val="1A523DD2"/>
    <w:rsid w:val="1AB309E6"/>
    <w:rsid w:val="2AB732D7"/>
    <w:rsid w:val="2FE74CDB"/>
    <w:rsid w:val="3405148E"/>
    <w:rsid w:val="39F730A1"/>
    <w:rsid w:val="3D7872D5"/>
    <w:rsid w:val="46816F58"/>
    <w:rsid w:val="4A5B3E25"/>
    <w:rsid w:val="4DC23B3D"/>
    <w:rsid w:val="550D4146"/>
    <w:rsid w:val="6D631076"/>
    <w:rsid w:val="765C0B4F"/>
    <w:rsid w:val="7C0A6A73"/>
    <w:rsid w:val="DD7E024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qFormat/>
    <w:uiPriority w:val="99"/>
    <w:rPr>
      <w:rFonts w:cs="Times New Roman"/>
      <w:i/>
    </w:rPr>
  </w:style>
  <w:style w:type="character" w:customStyle="1" w:styleId="8">
    <w:name w:val="页眉 字符"/>
    <w:link w:val="4"/>
    <w:qFormat/>
    <w:uiPriority w:val="99"/>
    <w:rPr>
      <w:sz w:val="18"/>
      <w:szCs w:val="18"/>
    </w:rPr>
  </w:style>
  <w:style w:type="character" w:customStyle="1" w:styleId="9">
    <w:name w:val="页脚 字符"/>
    <w:link w:val="3"/>
    <w:qFormat/>
    <w:uiPriority w:val="99"/>
    <w:rPr>
      <w:sz w:val="18"/>
      <w:szCs w:val="18"/>
    </w:rPr>
  </w:style>
  <w:style w:type="character" w:customStyle="1" w:styleId="10">
    <w:name w:val="批注框文本 字符"/>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4</Pages>
  <Words>308</Words>
  <Characters>1759</Characters>
  <Lines>14</Lines>
  <Paragraphs>4</Paragraphs>
  <TotalTime>9</TotalTime>
  <ScaleCrop>false</ScaleCrop>
  <LinksUpToDate>false</LinksUpToDate>
  <CharactersWithSpaces>2063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2021-09-07T01:06:00Z</dcterms:created>
  <dc:creator>李光磊</dc:creator>
  <cp:lastModifiedBy>greatwall</cp:lastModifiedBy>
  <cp:lastPrinted>2022-03-18T02:06:00Z</cp:lastPrinted>
  <dcterms:modified xsi:type="dcterms:W3CDTF">2022-03-18T14:17:35Z</dcterms:modified>
  <dc:title>天津市北辰区市场监督管理局</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7041CE97C3284631B4CA95826428663B</vt:lpwstr>
  </property>
</Properties>
</file>