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w:t>
      </w:r>
      <w:r>
        <w:rPr>
          <w:rFonts w:ascii="Times New Roman" w:hAnsi="Times New Roman" w:eastAsia="方正小标宋简体" w:cs="方正小标宋简体"/>
          <w:bCs/>
          <w:color w:val="000000"/>
          <w:sz w:val="44"/>
          <w:szCs w:val="44"/>
          <w:u w:val="none"/>
        </w:rPr>
        <w:t>北辰区</w:t>
      </w:r>
      <w:r>
        <w:rPr>
          <w:rFonts w:hint="eastAsia" w:ascii="Times New Roman" w:hAnsi="Times New Roman" w:eastAsia="方正小标宋简体" w:cs="方正小标宋简体"/>
          <w:bCs/>
          <w:color w:val="000000"/>
          <w:sz w:val="44"/>
          <w:szCs w:val="44"/>
          <w:u w:val="none"/>
        </w:rPr>
        <w:t>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津辰市监处罚</w:t>
      </w:r>
      <w:r>
        <w:rPr>
          <w:rFonts w:hint="eastAsia" w:ascii="仿宋_GB2312" w:eastAsia="仿宋_GB2312"/>
          <w:sz w:val="32"/>
          <w:szCs w:val="32"/>
          <w:u w:val="none"/>
        </w:rPr>
        <w:t>〔</w:t>
      </w:r>
      <w:r>
        <w:rPr>
          <w:rFonts w:ascii="仿宋_GB2312" w:eastAsia="仿宋_GB2312"/>
          <w:sz w:val="32"/>
          <w:szCs w:val="32"/>
          <w:u w:val="none"/>
        </w:rPr>
        <w:t>2021</w:t>
      </w:r>
      <w:r>
        <w:rPr>
          <w:rFonts w:hint="eastAsia" w:ascii="仿宋_GB2312" w:eastAsia="仿宋_GB2312"/>
          <w:sz w:val="32"/>
          <w:szCs w:val="32"/>
          <w:u w:val="none"/>
        </w:rPr>
        <w:t>〕</w:t>
      </w:r>
      <w:bookmarkStart w:id="0" w:name="_GoBack"/>
      <w:bookmarkEnd w:id="0"/>
      <w:r>
        <w:rPr>
          <w:rFonts w:ascii="仿宋_GB2312" w:eastAsia="仿宋_GB2312"/>
          <w:sz w:val="32"/>
          <w:szCs w:val="32"/>
          <w:u w:val="none"/>
        </w:rPr>
        <w:t>1304</w:t>
      </w:r>
      <w:r>
        <w:rPr>
          <w:rFonts w:hint="eastAsia" w:ascii="仿宋_GB2312" w:eastAsia="仿宋_GB2312"/>
          <w:sz w:val="32"/>
          <w:szCs w:val="32"/>
          <w:u w:val="none"/>
        </w:rPr>
        <w:t>号</w:t>
      </w:r>
    </w:p>
    <w:p>
      <w:pPr>
        <w:spacing w:line="4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rPr>
        <w:t xml:space="preserve">天津市金生富金属包装有限公司                                              </w:t>
      </w:r>
    </w:p>
    <w:p>
      <w:pPr>
        <w:spacing w:line="4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 营业</w:t>
      </w:r>
      <w:r>
        <w:rPr>
          <w:rFonts w:ascii="Times New Roman" w:hAnsi="Times New Roman" w:eastAsia="仿宋_GB2312" w:cs="Mongolian Baiti"/>
          <w:kern w:val="1"/>
          <w:sz w:val="32"/>
          <w:szCs w:val="32"/>
          <w:u w:val="none"/>
        </w:rPr>
        <w:t>执照</w:t>
      </w:r>
      <w:r>
        <w:rPr>
          <w:rFonts w:hint="eastAsia" w:ascii="Times New Roman" w:hAnsi="Times New Roman" w:eastAsia="仿宋_GB2312" w:cs="Mongolian Baiti"/>
          <w:kern w:val="1"/>
          <w:sz w:val="32"/>
          <w:szCs w:val="32"/>
          <w:u w:val="none"/>
        </w:rPr>
        <w:t xml:space="preserve">                                    </w:t>
      </w:r>
    </w:p>
    <w:p>
      <w:pPr>
        <w:spacing w:line="4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911201137949538654</w:t>
      </w:r>
      <w:r>
        <w:rPr>
          <w:rFonts w:hint="eastAsia" w:ascii="Times New Roman" w:hAnsi="Times New Roman" w:eastAsia="仿宋_GB2312" w:cs="Mongolian Baiti"/>
          <w:kern w:val="1"/>
          <w:sz w:val="32"/>
          <w:szCs w:val="32"/>
          <w:u w:val="none"/>
        </w:rPr>
        <w:t xml:space="preserve">                               </w:t>
      </w:r>
    </w:p>
    <w:p>
      <w:pPr>
        <w:spacing w:line="4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 xml:space="preserve">  天津市北辰区双口镇线河二村村东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4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rPr>
        <w:t xml:space="preserve">   薛富强                                 </w:t>
      </w:r>
    </w:p>
    <w:p>
      <w:pPr>
        <w:spacing w:line="4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身份证（其他有效证件）号码</w:t>
      </w:r>
      <w:r>
        <w:rPr>
          <w:rFonts w:hint="eastAsia" w:ascii="Times New Roman" w:hAnsi="Times New Roman" w:eastAsia="仿宋_GB2312" w:cs="Mongolian Baiti"/>
          <w:kern w:val="1"/>
          <w:sz w:val="32"/>
          <w:szCs w:val="32"/>
          <w:u w:val="none"/>
          <w:lang w:eastAsia="zh-CN"/>
        </w:rPr>
        <w:t>：</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spacing w:line="4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联系电话：</w:t>
      </w:r>
      <w:r>
        <w:rPr>
          <w:rFonts w:hint="eastAsia" w:ascii="Times New Roman" w:hAnsi="Times New Roman" w:eastAsia="仿宋_GB2312" w:cs="Mongolian Baiti"/>
          <w:kern w:val="1"/>
          <w:sz w:val="32"/>
          <w:szCs w:val="32"/>
          <w:u w:val="none"/>
          <w:lang w:val="en-US" w:eastAsia="zh-CN"/>
        </w:rPr>
        <w:t>***********</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其他联系方式：</w:t>
      </w:r>
      <w:r>
        <w:rPr>
          <w:rFonts w:hint="eastAsia" w:ascii="Times New Roman" w:hAnsi="Times New Roman" w:eastAsia="仿宋_GB2312" w:cs="Mongolian Baiti"/>
          <w:kern w:val="1"/>
          <w:sz w:val="32"/>
          <w:szCs w:val="32"/>
          <w:u w:val="none"/>
        </w:rPr>
        <w:t xml:space="preserve">                </w:t>
      </w:r>
    </w:p>
    <w:p>
      <w:pPr>
        <w:spacing w:line="50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联系地址：</w:t>
      </w:r>
      <w:r>
        <w:rPr>
          <w:rFonts w:hint="eastAsia" w:ascii="Times New Roman" w:hAnsi="Times New Roman" w:eastAsia="仿宋_GB2312" w:cs="Mongolian Baiti"/>
          <w:kern w:val="1"/>
          <w:sz w:val="32"/>
          <w:szCs w:val="32"/>
          <w:u w:val="none"/>
        </w:rPr>
        <w:t>天津市北辰区</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before="156" w:beforeLines="50" w:line="520" w:lineRule="exact"/>
        <w:ind w:left="140" w:hanging="140"/>
        <w:rPr>
          <w:rFonts w:ascii="Times New Roman" w:hAnsi="Times New Roman" w:eastAsia="仿宋_GB2312" w:cs="仿宋"/>
          <w:color w:val="000000"/>
          <w:sz w:val="32"/>
          <w:szCs w:val="32"/>
          <w:u w:val="none"/>
        </w:rPr>
      </w:pPr>
    </w:p>
    <w:p>
      <w:pPr>
        <w:spacing w:line="520" w:lineRule="exact"/>
        <w:ind w:firstLine="640" w:firstLineChars="200"/>
        <w:rPr>
          <w:rFonts w:ascii="仿宋_GB2312" w:hAnsi="Times New Roman" w:eastAsia="仿宋_GB2312" w:cs="仿宋"/>
          <w:bCs/>
          <w:color w:val="000000"/>
          <w:sz w:val="32"/>
          <w:szCs w:val="32"/>
          <w:u w:val="none"/>
        </w:rPr>
      </w:pPr>
      <w:r>
        <w:rPr>
          <w:rFonts w:hint="eastAsia" w:ascii="仿宋_GB2312" w:hAnsi="楷体_GB2312" w:eastAsia="仿宋_GB2312" w:cs="楷体_GB2312"/>
          <w:color w:val="000000"/>
          <w:sz w:val="32"/>
          <w:szCs w:val="32"/>
          <w:u w:val="none"/>
        </w:rPr>
        <w:t>2021年9月23日，我局执法人员按照生产许可证获证企业监督检查计划会同审查组，依据《危险化学品包装物、容器产品生产许可证实施细则（一）（危险化学品包装物、容器部分）》对当事人的生产条件进行监督审查时发现，当事人产品单元为金属桶罐审查出不符合5条，经综合评价，审查组对当事人的现场审查结论是不合格，当事人对核查结果无异议。当事人涉嫌未能持续保持取得生产许可的规定条件行为。我局于2021年10月8日对当事人予以立案调查。</w:t>
      </w:r>
      <w:r>
        <w:rPr>
          <w:rFonts w:hint="eastAsia" w:ascii="仿宋_GB2312" w:hAnsi="Times New Roman" w:eastAsia="仿宋_GB2312" w:cs="仿宋"/>
          <w:color w:val="000000"/>
          <w:sz w:val="32"/>
          <w:szCs w:val="32"/>
          <w:u w:val="none"/>
        </w:rPr>
        <w:t xml:space="preserve">                                               </w:t>
      </w:r>
    </w:p>
    <w:p>
      <w:pPr>
        <w:spacing w:line="520" w:lineRule="exact"/>
        <w:ind w:firstLine="640" w:firstLineChars="200"/>
        <w:rPr>
          <w:rFonts w:ascii="仿宋_GB2312" w:hAnsi="Times New Roman" w:eastAsia="仿宋_GB2312" w:cs="仿宋"/>
          <w:bCs/>
          <w:color w:val="000000"/>
          <w:sz w:val="32"/>
          <w:szCs w:val="32"/>
          <w:u w:val="none"/>
        </w:rPr>
      </w:pPr>
      <w:r>
        <w:rPr>
          <w:rFonts w:hint="eastAsia" w:ascii="仿宋_GB2312" w:hAnsi="楷体_GB2312" w:eastAsia="仿宋_GB2312" w:cs="楷体_GB2312"/>
          <w:color w:val="000000"/>
          <w:sz w:val="32"/>
          <w:szCs w:val="32"/>
          <w:u w:val="none"/>
        </w:rPr>
        <w:t xml:space="preserve">经查明，当事人2017年10月20日取得了《全国工业产品生产许可证》，产品名称为危险化学品包装物、容器，有效期至2022年10月19日，当事人由于现气密试验装置上的压力表没有计量。同时游标卡尺和外径千分尺的计量检定证书过期、缝焊监控记录不规范起不到监控的目的、检验记录中的检验要求与检验规程的要求不一致、检验规程中的标准值中的误差与检验规程中的规定不一致等5条不符合项，现场审查结论为不合格，上述行为满足未能持续保持取得生产许可的规定条件。 </w:t>
      </w:r>
      <w:r>
        <w:rPr>
          <w:rFonts w:hint="eastAsia" w:ascii="仿宋_GB2312" w:hAnsi="Times New Roman" w:eastAsia="仿宋_GB2312" w:cs="仿宋"/>
          <w:color w:val="000000"/>
          <w:sz w:val="32"/>
          <w:szCs w:val="32"/>
          <w:u w:val="none"/>
        </w:rPr>
        <w:t xml:space="preserve">                                                   </w:t>
      </w:r>
    </w:p>
    <w:p>
      <w:pPr>
        <w:snapToGrid w:val="0"/>
        <w:spacing w:line="430" w:lineRule="exact"/>
        <w:ind w:firstLine="640" w:firstLineChars="200"/>
        <w:jc w:val="left"/>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上述事实，主要有以下证据证明：</w:t>
      </w:r>
    </w:p>
    <w:p>
      <w:pPr>
        <w:snapToGrid w:val="0"/>
        <w:spacing w:line="430" w:lineRule="exact"/>
        <w:ind w:firstLine="640" w:firstLineChars="200"/>
        <w:jc w:val="left"/>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1、当事人的营业执照、全国工业产品生产许可证复印件、法定代表人身份证复印件；2、现场笔录、现场照片；3、对出纳薛贵洋的询问笔录、授权委托书、被授权人身份证复印件、天津市</w:t>
      </w:r>
      <w:r>
        <w:rPr>
          <w:rFonts w:ascii="仿宋_GB2312" w:hAnsi="Times New Roman" w:eastAsia="仿宋_GB2312" w:cs="仿宋"/>
          <w:color w:val="000000"/>
          <w:sz w:val="32"/>
          <w:szCs w:val="32"/>
          <w:u w:val="none"/>
        </w:rPr>
        <w:t>工业产品</w:t>
      </w:r>
      <w:r>
        <w:rPr>
          <w:rFonts w:hint="eastAsia" w:ascii="仿宋_GB2312" w:hAnsi="Times New Roman" w:eastAsia="仿宋_GB2312" w:cs="仿宋"/>
          <w:color w:val="000000"/>
          <w:sz w:val="32"/>
          <w:szCs w:val="32"/>
          <w:u w:val="none"/>
        </w:rPr>
        <w:t>生产</w:t>
      </w:r>
      <w:r>
        <w:rPr>
          <w:rFonts w:ascii="仿宋_GB2312" w:hAnsi="Times New Roman" w:eastAsia="仿宋_GB2312" w:cs="仿宋"/>
          <w:color w:val="000000"/>
          <w:sz w:val="32"/>
          <w:szCs w:val="32"/>
          <w:u w:val="none"/>
        </w:rPr>
        <w:t>许可证获证企业监督检查计划</w:t>
      </w:r>
      <w:r>
        <w:rPr>
          <w:rFonts w:hint="eastAsia" w:ascii="仿宋_GB2312" w:hAnsi="Times New Roman" w:eastAsia="仿宋_GB2312" w:cs="仿宋"/>
          <w:color w:val="000000"/>
          <w:sz w:val="32"/>
          <w:szCs w:val="32"/>
          <w:u w:val="none"/>
        </w:rPr>
        <w:t xml:space="preserve">、生产许可证获证企业现场监督审查报告、生产许可证获证企业现场监督审查不符合项汇总表； 4、危险化学品包装物、容器产品生产许可证实施细则（一）（危险化学品包装物、容器部分）生产许可证实施细则。                                                                                     </w:t>
      </w:r>
    </w:p>
    <w:p>
      <w:pPr>
        <w:spacing w:line="520" w:lineRule="exact"/>
        <w:ind w:firstLine="640" w:firstLineChars="200"/>
        <w:rPr>
          <w:rFonts w:ascii="仿宋_GB2312" w:hAnsi="Times New Roman" w:eastAsia="仿宋_GB2312" w:cs="仿宋"/>
          <w:bCs/>
          <w:color w:val="000000"/>
          <w:sz w:val="32"/>
          <w:szCs w:val="32"/>
          <w:u w:val="none"/>
        </w:rPr>
      </w:pPr>
      <w:r>
        <w:rPr>
          <w:rFonts w:hint="eastAsia" w:ascii="仿宋_GB2312" w:hAnsi="楷体_GB2312" w:eastAsia="仿宋_GB2312" w:cs="楷体_GB2312"/>
          <w:color w:val="000000"/>
          <w:sz w:val="32"/>
          <w:szCs w:val="32"/>
          <w:u w:val="none"/>
        </w:rPr>
        <w:t>本局于2021年</w:t>
      </w:r>
      <w:r>
        <w:rPr>
          <w:rFonts w:ascii="仿宋_GB2312" w:hAnsi="楷体_GB2312" w:eastAsia="仿宋_GB2312" w:cs="楷体_GB2312"/>
          <w:color w:val="000000"/>
          <w:sz w:val="32"/>
          <w:szCs w:val="32"/>
          <w:u w:val="none"/>
        </w:rPr>
        <w:t>12</w:t>
      </w:r>
      <w:r>
        <w:rPr>
          <w:rFonts w:hint="eastAsia" w:ascii="仿宋_GB2312" w:hAnsi="楷体_GB2312" w:eastAsia="仿宋_GB2312" w:cs="楷体_GB2312"/>
          <w:color w:val="000000"/>
          <w:sz w:val="32"/>
          <w:szCs w:val="32"/>
          <w:u w:val="none"/>
        </w:rPr>
        <w:t>月</w:t>
      </w:r>
      <w:r>
        <w:rPr>
          <w:rFonts w:ascii="仿宋_GB2312" w:hAnsi="楷体_GB2312" w:eastAsia="仿宋_GB2312" w:cs="楷体_GB2312"/>
          <w:color w:val="000000"/>
          <w:sz w:val="32"/>
          <w:szCs w:val="32"/>
          <w:u w:val="none"/>
        </w:rPr>
        <w:t>24</w:t>
      </w:r>
      <w:r>
        <w:rPr>
          <w:rFonts w:hint="eastAsia" w:ascii="仿宋_GB2312" w:hAnsi="楷体_GB2312" w:eastAsia="仿宋_GB2312" w:cs="楷体_GB2312"/>
          <w:color w:val="000000"/>
          <w:sz w:val="32"/>
          <w:szCs w:val="32"/>
          <w:u w:val="none"/>
        </w:rPr>
        <w:t>日依法向当事人送达了《行政处罚告知书》（津辰市监罚告〔2021〕</w:t>
      </w:r>
      <w:r>
        <w:rPr>
          <w:rFonts w:ascii="仿宋_GB2312" w:hAnsi="楷体_GB2312" w:eastAsia="仿宋_GB2312" w:cs="楷体_GB2312"/>
          <w:color w:val="000000"/>
          <w:sz w:val="32"/>
          <w:szCs w:val="32"/>
          <w:u w:val="none"/>
        </w:rPr>
        <w:t>1304</w:t>
      </w:r>
      <w:r>
        <w:rPr>
          <w:rFonts w:hint="eastAsia" w:ascii="仿宋_GB2312" w:hAnsi="楷体_GB2312" w:eastAsia="仿宋_GB2312" w:cs="楷体_GB2312"/>
          <w:color w:val="000000"/>
          <w:sz w:val="32"/>
          <w:szCs w:val="32"/>
          <w:u w:val="none"/>
        </w:rPr>
        <w:t>号），当事人未提出陈述、申辩意见。</w:t>
      </w:r>
      <w:r>
        <w:rPr>
          <w:rFonts w:hint="eastAsia" w:ascii="仿宋_GB2312" w:hAnsi="楷体_GB2312" w:eastAsia="仿宋_GB2312" w:cs="楷体_GB2312"/>
          <w:bCs/>
          <w:color w:val="000000"/>
          <w:sz w:val="32"/>
          <w:szCs w:val="32"/>
          <w:u w:val="none"/>
        </w:rPr>
        <w:t xml:space="preserve">  </w:t>
      </w:r>
      <w:r>
        <w:rPr>
          <w:rFonts w:hint="eastAsia" w:ascii="仿宋_GB2312" w:hAnsi="Times New Roman" w:eastAsia="仿宋_GB2312" w:cs="仿宋"/>
          <w:bCs/>
          <w:color w:val="000000"/>
          <w:sz w:val="32"/>
          <w:szCs w:val="32"/>
          <w:u w:val="none"/>
        </w:rPr>
        <w:t xml:space="preserve">                                                          </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 xml:space="preserve">本局认为，当事人上述行为已违反了《中华人民共和国工业产品生产许可证管理条例实施办法》第四十六条“取得生产许可的企业应当保证产品质量稳定合格，并持续保持取得生产许可的规定条件”的规定。当事人积极配合检查，如实提供有关单据、记录及其他资料，并积极改正违法行为，应依据《中华人民共和国行政处罚法》第二十七条第一款第四项和《天津市市场和质量监督管理委员会行政处罚裁量适用规则》第十三条第五项的规定予以从轻处罚。                                                      </w:t>
      </w:r>
    </w:p>
    <w:p>
      <w:pPr>
        <w:spacing w:line="520" w:lineRule="exact"/>
        <w:ind w:firstLine="640" w:firstLineChars="200"/>
        <w:rPr>
          <w:rFonts w:ascii="仿宋_GB2312" w:hAnsi="Times New Roman" w:eastAsia="仿宋_GB2312" w:cs="仿宋"/>
          <w:bCs/>
          <w:color w:val="000000"/>
          <w:sz w:val="32"/>
          <w:szCs w:val="32"/>
          <w:u w:val="none"/>
        </w:rPr>
      </w:pPr>
      <w:r>
        <w:rPr>
          <w:rFonts w:hint="eastAsia" w:ascii="仿宋_GB2312" w:hAnsi="楷体_GB2312" w:eastAsia="仿宋_GB2312" w:cs="楷体_GB2312"/>
          <w:color w:val="000000"/>
          <w:sz w:val="32"/>
          <w:szCs w:val="32"/>
          <w:u w:val="none"/>
        </w:rPr>
        <w:t xml:space="preserve">依据《中华人民共和国工业产品生产许可证管理条例实施办法》第五十三条“违反本办法第四十六条规定，取得生产许可的企业未能持续保持取得生产许可的规定条件的，责令改正，处１万元以上３万元以下罚款。”之规定，责令当事人改正未能持续保持取得生产许可的规定条件的违法行为，并对当事人给予以下行政处罚：罚款10000元。                                </w:t>
      </w:r>
      <w:r>
        <w:rPr>
          <w:rFonts w:hint="eastAsia" w:ascii="仿宋_GB2312" w:hAnsi="Times New Roman" w:eastAsia="仿宋_GB2312" w:cs="仿宋"/>
          <w:bCs/>
          <w:color w:val="000000"/>
          <w:sz w:val="32"/>
          <w:szCs w:val="32"/>
          <w:u w:val="none"/>
        </w:rPr>
        <w:t xml:space="preserve">   </w:t>
      </w:r>
      <w:r>
        <w:rPr>
          <w:rFonts w:ascii="仿宋_GB2312" w:hAnsi="Times New Roman" w:eastAsia="仿宋_GB2312" w:cs="仿宋"/>
          <w:bCs/>
          <w:color w:val="000000"/>
          <w:sz w:val="32"/>
          <w:szCs w:val="32"/>
          <w:u w:val="none"/>
        </w:rPr>
        <w:t xml:space="preserve">                                              </w:t>
      </w:r>
      <w:r>
        <w:rPr>
          <w:rFonts w:hint="eastAsia" w:ascii="仿宋_GB2312" w:hAnsi="Times New Roman" w:eastAsia="仿宋_GB2312" w:cs="仿宋"/>
          <w:bCs/>
          <w:color w:val="000000"/>
          <w:sz w:val="32"/>
          <w:szCs w:val="32"/>
          <w:u w:val="none"/>
        </w:rPr>
        <w:t xml:space="preserve">   </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20" w:lineRule="exact"/>
        <w:ind w:firstLine="640" w:firstLineChars="200"/>
        <w:rPr>
          <w:rFonts w:ascii="Times New Roman" w:hAnsi="Times New Roman" w:eastAsia="仿宋_GB2312" w:cs="仿宋"/>
          <w:color w:val="000000"/>
          <w:sz w:val="32"/>
          <w:szCs w:val="32"/>
          <w:u w:val="none"/>
        </w:rPr>
      </w:pPr>
      <w:r>
        <w:rPr>
          <w:rFonts w:hint="eastAsia" w:ascii="仿宋_GB2312" w:hAnsi="楷体_GB2312" w:eastAsia="仿宋_GB2312" w:cs="楷体_GB2312"/>
          <w:color w:val="000000"/>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 xml:space="preserve">                         </w:t>
      </w:r>
    </w:p>
    <w:p>
      <w:pPr>
        <w:spacing w:line="520" w:lineRule="exact"/>
        <w:rPr>
          <w:rFonts w:ascii="Times New Roman" w:hAnsi="Times New Roman" w:eastAsia="仿宋_GB2312" w:cs="仿宋"/>
          <w:bCs/>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 xml:space="preserve">年 </w:t>
      </w:r>
      <w:r>
        <w:rPr>
          <w:rFonts w:ascii="Times New Roman" w:hAnsi="Times New Roman" w:eastAsia="仿宋_GB2312" w:cs="仿宋"/>
          <w:color w:val="000000"/>
          <w:sz w:val="32"/>
          <w:szCs w:val="32"/>
          <w:u w:val="none"/>
        </w:rPr>
        <w:t>1</w:t>
      </w:r>
      <w:r>
        <w:rPr>
          <w:rFonts w:hint="eastAsia" w:ascii="Times New Roman" w:hAnsi="Times New Roman" w:eastAsia="仿宋_GB2312" w:cs="仿宋"/>
          <w:color w:val="000000"/>
          <w:sz w:val="32"/>
          <w:szCs w:val="32"/>
          <w:u w:val="none"/>
        </w:rPr>
        <w:t xml:space="preserve"> 月</w:t>
      </w:r>
      <w:r>
        <w:rPr>
          <w:rFonts w:ascii="Times New Roman" w:hAnsi="Times New Roman" w:eastAsia="仿宋_GB2312" w:cs="仿宋"/>
          <w:color w:val="000000"/>
          <w:sz w:val="32"/>
          <w:szCs w:val="32"/>
          <w:u w:val="none"/>
        </w:rPr>
        <w:t>4</w:t>
      </w:r>
      <w:r>
        <w:rPr>
          <w:rFonts w:hint="eastAsia" w:ascii="Times New Roman" w:hAnsi="Times New Roman" w:eastAsia="仿宋_GB2312" w:cs="仿宋"/>
          <w:color w:val="000000"/>
          <w:sz w:val="32"/>
          <w:szCs w:val="32"/>
          <w:u w:val="none"/>
        </w:rPr>
        <w:t>日</w:t>
      </w: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rPr>
      </w:pPr>
    </w:p>
    <w:p>
      <w:pPr>
        <w:spacing w:line="500" w:lineRule="exact"/>
        <w:ind w:right="640" w:firstLine="600"/>
        <w:jc w:val="center"/>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wordWrap w:val="0"/>
        <w:spacing w:line="520" w:lineRule="exact"/>
        <w:rPr>
          <w:rFonts w:ascii="Times New Roman" w:hAnsi="Times New Roman" w:eastAsia="仿宋_GB2312" w:cs="仿宋"/>
          <w:color w:val="000000"/>
          <w:sz w:val="32"/>
          <w:szCs w:val="32"/>
        </w:rPr>
      </w:pPr>
    </w:p>
    <w:sectPr>
      <w:footerReference r:id="rId3" w:type="default"/>
      <w:pgSz w:w="11906" w:h="16838"/>
      <w:pgMar w:top="1440" w:right="1559" w:bottom="1440" w:left="1559"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angal">
    <w:altName w:val="FreeSerif"/>
    <w:panose1 w:val="02040503050203030202"/>
    <w:charset w:val="01"/>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4"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5C"/>
    <w:rsid w:val="000564DA"/>
    <w:rsid w:val="000C5F40"/>
    <w:rsid w:val="000D2551"/>
    <w:rsid w:val="00124120"/>
    <w:rsid w:val="001253AE"/>
    <w:rsid w:val="0013456A"/>
    <w:rsid w:val="001B0330"/>
    <w:rsid w:val="001F61B5"/>
    <w:rsid w:val="002004BE"/>
    <w:rsid w:val="00233A4F"/>
    <w:rsid w:val="002606F0"/>
    <w:rsid w:val="002644FA"/>
    <w:rsid w:val="0026645C"/>
    <w:rsid w:val="0031034D"/>
    <w:rsid w:val="0031594F"/>
    <w:rsid w:val="00382548"/>
    <w:rsid w:val="003A5B4A"/>
    <w:rsid w:val="003D2EE9"/>
    <w:rsid w:val="004173A0"/>
    <w:rsid w:val="00462DB2"/>
    <w:rsid w:val="004A6570"/>
    <w:rsid w:val="004A6C6E"/>
    <w:rsid w:val="004C3F98"/>
    <w:rsid w:val="004E7B15"/>
    <w:rsid w:val="00515AB9"/>
    <w:rsid w:val="00526C1D"/>
    <w:rsid w:val="005739B2"/>
    <w:rsid w:val="006165B6"/>
    <w:rsid w:val="00621261"/>
    <w:rsid w:val="00640583"/>
    <w:rsid w:val="00694631"/>
    <w:rsid w:val="006A0BD8"/>
    <w:rsid w:val="006C7D3A"/>
    <w:rsid w:val="006D7485"/>
    <w:rsid w:val="00766CF3"/>
    <w:rsid w:val="00767212"/>
    <w:rsid w:val="007B08A8"/>
    <w:rsid w:val="007B334C"/>
    <w:rsid w:val="007C216F"/>
    <w:rsid w:val="007C295B"/>
    <w:rsid w:val="007D7FC5"/>
    <w:rsid w:val="00800FAD"/>
    <w:rsid w:val="00866CC8"/>
    <w:rsid w:val="00870F6E"/>
    <w:rsid w:val="008E0915"/>
    <w:rsid w:val="009204AB"/>
    <w:rsid w:val="00946E0E"/>
    <w:rsid w:val="009669A6"/>
    <w:rsid w:val="009822FF"/>
    <w:rsid w:val="009C2C69"/>
    <w:rsid w:val="009C5E17"/>
    <w:rsid w:val="009F53EA"/>
    <w:rsid w:val="00A02155"/>
    <w:rsid w:val="00A03339"/>
    <w:rsid w:val="00A307ED"/>
    <w:rsid w:val="00A410E9"/>
    <w:rsid w:val="00A45869"/>
    <w:rsid w:val="00A75FFC"/>
    <w:rsid w:val="00B04F03"/>
    <w:rsid w:val="00B15FEA"/>
    <w:rsid w:val="00B16F68"/>
    <w:rsid w:val="00B26E3F"/>
    <w:rsid w:val="00B303A7"/>
    <w:rsid w:val="00B32F30"/>
    <w:rsid w:val="00B35FE7"/>
    <w:rsid w:val="00C37FB2"/>
    <w:rsid w:val="00C61A99"/>
    <w:rsid w:val="00C7258A"/>
    <w:rsid w:val="00C73513"/>
    <w:rsid w:val="00CA6494"/>
    <w:rsid w:val="00CD7F21"/>
    <w:rsid w:val="00CE09C8"/>
    <w:rsid w:val="00D0771A"/>
    <w:rsid w:val="00D1425C"/>
    <w:rsid w:val="00D96F64"/>
    <w:rsid w:val="00DA497D"/>
    <w:rsid w:val="00DB199E"/>
    <w:rsid w:val="00DB7AF4"/>
    <w:rsid w:val="00DC49E0"/>
    <w:rsid w:val="00E50D6C"/>
    <w:rsid w:val="00E56D0D"/>
    <w:rsid w:val="00E9794E"/>
    <w:rsid w:val="00F00E8F"/>
    <w:rsid w:val="00F0277F"/>
    <w:rsid w:val="00F236C5"/>
    <w:rsid w:val="00F50C58"/>
    <w:rsid w:val="00F548CF"/>
    <w:rsid w:val="00F563B7"/>
    <w:rsid w:val="00F65910"/>
    <w:rsid w:val="00F85712"/>
    <w:rsid w:val="00F96803"/>
    <w:rsid w:val="00FA4A34"/>
    <w:rsid w:val="00FB0C0A"/>
    <w:rsid w:val="00FC51F4"/>
    <w:rsid w:val="00FE71E8"/>
    <w:rsid w:val="01D97285"/>
    <w:rsid w:val="01F833FE"/>
    <w:rsid w:val="04A66223"/>
    <w:rsid w:val="0526071C"/>
    <w:rsid w:val="05982F04"/>
    <w:rsid w:val="05E50E54"/>
    <w:rsid w:val="06191A11"/>
    <w:rsid w:val="06E70B4D"/>
    <w:rsid w:val="08A96FF2"/>
    <w:rsid w:val="0946100B"/>
    <w:rsid w:val="096F203C"/>
    <w:rsid w:val="0B186487"/>
    <w:rsid w:val="0B264208"/>
    <w:rsid w:val="0DC233A7"/>
    <w:rsid w:val="0E5835C1"/>
    <w:rsid w:val="0E761E0C"/>
    <w:rsid w:val="0F8651A5"/>
    <w:rsid w:val="0FB17394"/>
    <w:rsid w:val="0FB75B73"/>
    <w:rsid w:val="1027222E"/>
    <w:rsid w:val="105A3B9E"/>
    <w:rsid w:val="10702413"/>
    <w:rsid w:val="120449B3"/>
    <w:rsid w:val="132C7E80"/>
    <w:rsid w:val="136E31D6"/>
    <w:rsid w:val="15047820"/>
    <w:rsid w:val="159453C1"/>
    <w:rsid w:val="15DA0797"/>
    <w:rsid w:val="16A57076"/>
    <w:rsid w:val="16FC678F"/>
    <w:rsid w:val="19CD7803"/>
    <w:rsid w:val="1A73152C"/>
    <w:rsid w:val="1B440454"/>
    <w:rsid w:val="1C071125"/>
    <w:rsid w:val="1C412E81"/>
    <w:rsid w:val="1CBA2783"/>
    <w:rsid w:val="1DC04016"/>
    <w:rsid w:val="1E1B1EB7"/>
    <w:rsid w:val="1F2304A0"/>
    <w:rsid w:val="1FAF6FFE"/>
    <w:rsid w:val="22787471"/>
    <w:rsid w:val="23AC3BC1"/>
    <w:rsid w:val="2490671B"/>
    <w:rsid w:val="25A9126A"/>
    <w:rsid w:val="2751094D"/>
    <w:rsid w:val="27BE7ABC"/>
    <w:rsid w:val="29033856"/>
    <w:rsid w:val="2A314963"/>
    <w:rsid w:val="2B0911BE"/>
    <w:rsid w:val="2CAB37D7"/>
    <w:rsid w:val="2CE14BAA"/>
    <w:rsid w:val="2FCE58AD"/>
    <w:rsid w:val="303D37B9"/>
    <w:rsid w:val="30616482"/>
    <w:rsid w:val="30963B3A"/>
    <w:rsid w:val="31791713"/>
    <w:rsid w:val="32170B33"/>
    <w:rsid w:val="33836597"/>
    <w:rsid w:val="34275279"/>
    <w:rsid w:val="34F36F78"/>
    <w:rsid w:val="37F91B59"/>
    <w:rsid w:val="394E6186"/>
    <w:rsid w:val="3A4144E4"/>
    <w:rsid w:val="3A957EBC"/>
    <w:rsid w:val="3B0802DD"/>
    <w:rsid w:val="3C256B74"/>
    <w:rsid w:val="3FBD6E68"/>
    <w:rsid w:val="40C12BA3"/>
    <w:rsid w:val="42796B56"/>
    <w:rsid w:val="431A223A"/>
    <w:rsid w:val="433C1422"/>
    <w:rsid w:val="43CE52FD"/>
    <w:rsid w:val="43EF1332"/>
    <w:rsid w:val="448C3F0A"/>
    <w:rsid w:val="449137A8"/>
    <w:rsid w:val="4678221C"/>
    <w:rsid w:val="47530BB4"/>
    <w:rsid w:val="48A222EF"/>
    <w:rsid w:val="493F2E86"/>
    <w:rsid w:val="4A0F3ACB"/>
    <w:rsid w:val="4A6957BA"/>
    <w:rsid w:val="4AFF64FF"/>
    <w:rsid w:val="4E5B1EC9"/>
    <w:rsid w:val="4EEC562F"/>
    <w:rsid w:val="50A27327"/>
    <w:rsid w:val="50A57FB7"/>
    <w:rsid w:val="50D558F8"/>
    <w:rsid w:val="50E92F21"/>
    <w:rsid w:val="51335AE3"/>
    <w:rsid w:val="515A61DF"/>
    <w:rsid w:val="51FF7420"/>
    <w:rsid w:val="520634E8"/>
    <w:rsid w:val="5285299D"/>
    <w:rsid w:val="52B3244F"/>
    <w:rsid w:val="52C51634"/>
    <w:rsid w:val="52E81DE3"/>
    <w:rsid w:val="53587749"/>
    <w:rsid w:val="542C199A"/>
    <w:rsid w:val="56290B9C"/>
    <w:rsid w:val="57A01283"/>
    <w:rsid w:val="57B16D73"/>
    <w:rsid w:val="58961F27"/>
    <w:rsid w:val="58BB1D3B"/>
    <w:rsid w:val="596C03A3"/>
    <w:rsid w:val="5CBF1355"/>
    <w:rsid w:val="5D3B2227"/>
    <w:rsid w:val="5DF76CD9"/>
    <w:rsid w:val="5EB43CEC"/>
    <w:rsid w:val="5ED20702"/>
    <w:rsid w:val="5EEE6ED8"/>
    <w:rsid w:val="5F74572A"/>
    <w:rsid w:val="60780E8B"/>
    <w:rsid w:val="60F3792E"/>
    <w:rsid w:val="61A41973"/>
    <w:rsid w:val="62DC523F"/>
    <w:rsid w:val="632E4706"/>
    <w:rsid w:val="646F5B44"/>
    <w:rsid w:val="66084708"/>
    <w:rsid w:val="661A1E2F"/>
    <w:rsid w:val="66EF7F7D"/>
    <w:rsid w:val="677C5778"/>
    <w:rsid w:val="68D260CC"/>
    <w:rsid w:val="693A3914"/>
    <w:rsid w:val="69BD137A"/>
    <w:rsid w:val="6AF12036"/>
    <w:rsid w:val="6C794779"/>
    <w:rsid w:val="6D095265"/>
    <w:rsid w:val="6D0F4700"/>
    <w:rsid w:val="6D9951E9"/>
    <w:rsid w:val="6E847A23"/>
    <w:rsid w:val="6ECC72ED"/>
    <w:rsid w:val="6FFD6CD0"/>
    <w:rsid w:val="7031231F"/>
    <w:rsid w:val="70820F79"/>
    <w:rsid w:val="72021F06"/>
    <w:rsid w:val="722065EB"/>
    <w:rsid w:val="726A7AC1"/>
    <w:rsid w:val="743D5172"/>
    <w:rsid w:val="75205AE6"/>
    <w:rsid w:val="756351F6"/>
    <w:rsid w:val="75D30850"/>
    <w:rsid w:val="77027DB5"/>
    <w:rsid w:val="770E7E44"/>
    <w:rsid w:val="7930545B"/>
    <w:rsid w:val="79FD5EA2"/>
    <w:rsid w:val="7B0A6E5A"/>
    <w:rsid w:val="7BE40EC3"/>
    <w:rsid w:val="7D2768F9"/>
    <w:rsid w:val="7D600A56"/>
    <w:rsid w:val="7E7F3DB1"/>
    <w:rsid w:val="7F35520B"/>
    <w:rsid w:val="7FC10228"/>
    <w:rsid w:val="7FD01F10"/>
    <w:rsid w:val="E2DF55B9"/>
    <w:rsid w:val="F9D9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paragraph" w:customStyle="1" w:styleId="9">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10">
    <w:name w:val="p17"/>
    <w:basedOn w:val="1"/>
    <w:qFormat/>
    <w:uiPriority w:val="0"/>
    <w:pPr>
      <w:widowControl/>
      <w:spacing w:before="100" w:after="100"/>
      <w:jc w:val="left"/>
    </w:pPr>
    <w:rPr>
      <w:rFonts w:ascii="宋体" w:hAnsi="宋体" w:cs="宋体"/>
      <w:kern w:val="0"/>
      <w:sz w:val="24"/>
    </w:rPr>
  </w:style>
  <w:style w:type="character" w:customStyle="1" w:styleId="11">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369</Words>
  <Characters>2107</Characters>
  <Lines>17</Lines>
  <Paragraphs>4</Paragraphs>
  <TotalTime>19</TotalTime>
  <ScaleCrop>false</ScaleCrop>
  <LinksUpToDate>false</LinksUpToDate>
  <CharactersWithSpaces>2472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2019-09-23T23:42:00Z</dcterms:created>
  <dc:creator>wenxiumei</dc:creator>
  <cp:lastModifiedBy>greatwall</cp:lastModifiedBy>
  <cp:lastPrinted>2022-01-06T18:03:00Z</cp:lastPrinted>
  <dcterms:modified xsi:type="dcterms:W3CDTF">2022-01-06T15:26:02Z</dcterms:modified>
  <dc:title>                      </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