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方正小标宋简体"/>
          <w:bCs/>
          <w:color w:val="000000"/>
          <w:sz w:val="44"/>
          <w:szCs w:val="44"/>
        </w:rPr>
        <w:t>天津市北辰区</w:t>
      </w:r>
      <w:r>
        <w:rPr>
          <w:rFonts w:hint="eastAsia" w:ascii="方正小标宋简体" w:hAnsi="方正小标宋简体" w:eastAsia="方正小标宋简体" w:cs="方正小标宋简体"/>
          <w:bCs/>
          <w:sz w:val="44"/>
          <w:szCs w:val="44"/>
        </w:rPr>
        <w:t>市场监督管理局</w:t>
      </w:r>
    </w:p>
    <w:p>
      <w:pPr>
        <w:spacing w:line="560" w:lineRule="exact"/>
        <w:jc w:val="center"/>
        <w:outlineLvl w:val="0"/>
        <w:rPr>
          <w:rFonts w:ascii="Times New Roman" w:hAnsi="Times New Roman" w:eastAsia="方正小标宋简体" w:cs="Mongolian Baiti"/>
          <w:bCs/>
          <w:color w:val="000000"/>
          <w:sz w:val="44"/>
          <w:szCs w:val="44"/>
        </w:rPr>
      </w:pPr>
      <w:bookmarkStart w:id="0" w:name="_Toc76683364"/>
      <w:r>
        <w:rPr>
          <w:rFonts w:ascii="Times New Roman" w:hAnsi="Mongolian Baiti" w:eastAsia="方正小标宋简体" w:cs="Mongolian Baiti"/>
          <w:bCs/>
          <w:color w:val="000000"/>
          <w:sz w:val="44"/>
          <w:szCs w:val="44"/>
        </w:rPr>
        <w:t>行政处罚决定书</w:t>
      </w:r>
      <w:bookmarkEnd w:id="0"/>
    </w:p>
    <w:p>
      <w:pPr>
        <w:widowControl/>
        <w:snapToGrid w:val="0"/>
        <w:spacing w:line="560" w:lineRule="exact"/>
        <w:ind w:right="55"/>
        <w:jc w:val="center"/>
        <w:outlineLvl w:val="1"/>
        <w:rPr>
          <w:rFonts w:hint="eastAsia" w:ascii="仿宋_GB2312"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2021</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1336</w:t>
      </w:r>
      <w:r>
        <w:rPr>
          <w:rFonts w:hint="eastAsia" w:ascii="仿宋_GB2312" w:hAnsi="仿宋_GB2312" w:eastAsia="仿宋_GB2312" w:cs="仿宋_GB2312"/>
          <w:bCs/>
          <w:color w:val="000000"/>
          <w:sz w:val="32"/>
          <w:szCs w:val="32"/>
          <w:u w:val="none"/>
        </w:rPr>
        <w:t>号</w:t>
      </w:r>
    </w:p>
    <w:p>
      <w:pPr>
        <w:widowControl/>
        <w:snapToGrid w:val="0"/>
        <w:spacing w:line="560" w:lineRule="exact"/>
        <w:ind w:right="55"/>
        <w:jc w:val="both"/>
        <w:outlineLvl w:val="1"/>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758592"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2" name="直接箭头连接符 2"/>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58592;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hyuLC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hint="eastAsia" w:ascii="Times New Roman" w:hAnsi="Times New Roman" w:eastAsia="仿宋_GB2312" w:cs="Mongolian Baiti"/>
          <w:bCs/>
          <w:kern w:val="1"/>
          <w:sz w:val="32"/>
          <w:szCs w:val="32"/>
          <w:u w:val="none"/>
        </w:rPr>
        <w:t>当事人：</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正兴食品经营店（王红改）</w:t>
      </w:r>
      <w:r>
        <w:rPr>
          <w:rFonts w:hint="eastAsia" w:ascii="仿宋_GB2312" w:hAnsi="Times New Roman" w:eastAsia="仿宋_GB2312"/>
          <w:sz w:val="32"/>
          <w:szCs w:val="32"/>
          <w:u w:val="none"/>
        </w:rPr>
        <w:t xml:space="preserve">          </w:t>
      </w:r>
      <w:r>
        <w:rPr>
          <w:rFonts w:hint="eastAsia" w:ascii="仿宋_GB2312" w:hAnsi="Times New Roman" w:eastAsia="仿宋_GB2312"/>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名称：营业执照                                    </w:t>
      </w:r>
    </w:p>
    <w:p>
      <w:pPr>
        <w:spacing w:line="520" w:lineRule="exact"/>
        <w:ind w:left="140" w:hanging="140"/>
        <w:rPr>
          <w:rFonts w:hint="eastAsia" w:ascii="仿宋_GB2312" w:hAnsi="仿宋_GB2312" w:eastAsia="仿宋_GB2312" w:cs="仿宋_GB2312"/>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hAnsi="仿宋_GB2312" w:eastAsia="仿宋_GB2312" w:cs="仿宋_GB2312"/>
          <w:color w:val="000000"/>
          <w:sz w:val="32"/>
          <w:szCs w:val="32"/>
          <w:lang w:val="en-US" w:eastAsia="zh-CN"/>
        </w:rPr>
        <w:t>92120113MA07GEB84Q</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住所（住址）：</w:t>
      </w:r>
      <w:r>
        <w:rPr>
          <w:rFonts w:hint="eastAsia" w:ascii="仿宋_GB2312" w:eastAsia="仿宋_GB2312"/>
          <w:color w:val="000000"/>
          <w:sz w:val="32"/>
          <w:szCs w:val="32"/>
          <w:lang w:eastAsia="zh-CN"/>
        </w:rPr>
        <w:t>天津市北辰区果园新村街道东升里</w:t>
      </w:r>
      <w:r>
        <w:rPr>
          <w:rFonts w:hint="eastAsia" w:ascii="仿宋_GB2312" w:eastAsia="仿宋_GB2312"/>
          <w:color w:val="000000"/>
          <w:sz w:val="32"/>
          <w:szCs w:val="32"/>
          <w:lang w:val="en-US" w:eastAsia="zh-CN"/>
        </w:rPr>
        <w:t>底商3-3</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20" w:lineRule="exact"/>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w:t>
      </w:r>
      <w:r>
        <w:rPr>
          <w:rFonts w:hint="eastAsia" w:ascii="仿宋_GB2312" w:hAnsi="仿宋_GB2312" w:eastAsia="仿宋_GB2312" w:cs="仿宋_GB2312"/>
          <w:kern w:val="1"/>
          <w:sz w:val="32"/>
          <w:szCs w:val="32"/>
          <w:u w:val="none"/>
          <w:lang w:eastAsia="zh-CN"/>
        </w:rPr>
        <w:t>、经营者</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王红改</w:t>
      </w:r>
      <w:r>
        <w:rPr>
          <w:rFonts w:hint="eastAsia" w:ascii="仿宋_GB2312" w:hAnsi="仿宋_GB2312" w:eastAsia="仿宋_GB2312" w:cs="仿宋_GB2312"/>
          <w:kern w:val="1"/>
          <w:sz w:val="32"/>
          <w:szCs w:val="32"/>
          <w:u w:val="none"/>
        </w:rPr>
        <w:t xml:space="preserve">                               </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仿宋_GB2312" w:hAnsi="仿宋_GB2312" w:eastAsia="仿宋_GB2312" w:cs="仿宋_GB2312"/>
          <w:kern w:val="1"/>
          <w:sz w:val="32"/>
          <w:szCs w:val="32"/>
          <w:u w:val="none"/>
        </w:rPr>
        <w:t>身份证件号码：</w:t>
      </w:r>
      <w:r>
        <w:rPr>
          <w:rFonts w:hint="eastAsia" w:ascii="仿宋_GB2312" w:hAnsi="仿宋_GB2312" w:eastAsia="仿宋_GB2312" w:cs="仿宋_GB2312"/>
          <w:color w:val="000000"/>
          <w:sz w:val="32"/>
          <w:szCs w:val="32"/>
          <w:lang w:val="en-US" w:eastAsia="zh-CN"/>
        </w:rPr>
        <w:t>/</w:t>
      </w:r>
      <w:r>
        <w:rPr>
          <w:rFonts w:hint="eastAsia" w:ascii="Times New Roman" w:hAnsi="Times New Roman" w:eastAsia="仿宋_GB2312" w:cs="Mongolian Baiti"/>
          <w:kern w:val="1"/>
          <w:sz w:val="32"/>
          <w:szCs w:val="32"/>
          <w:u w:val="none"/>
        </w:rPr>
        <w:t xml:space="preserve">                                   </w:t>
      </w:r>
    </w:p>
    <w:p>
      <w:pPr>
        <w:spacing w:line="500" w:lineRule="exact"/>
        <w:ind w:left="140" w:hanging="140"/>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联系电话：</w:t>
      </w:r>
      <w:r>
        <w:rPr>
          <w:rFonts w:hint="eastAsia" w:ascii="仿宋_GB2312" w:hAnsi="仿宋" w:eastAsia="仿宋_GB2312" w:cs="仿宋"/>
          <w:sz w:val="32"/>
          <w:szCs w:val="32"/>
          <w:u w:val="none"/>
          <w:lang w:val="en-US" w:eastAsia="zh-CN"/>
        </w:rPr>
        <w:t>/</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其他联系方式：</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仿宋_GB2312" w:hAnsi="仿宋_GB2312" w:eastAsia="仿宋_GB2312" w:cs="仿宋_GB2312"/>
          <w:kern w:val="1"/>
          <w:sz w:val="32"/>
          <w:szCs w:val="32"/>
          <w:u w:val="none"/>
        </w:rPr>
        <w:t>联系地址：</w:t>
      </w:r>
      <w:r>
        <w:rPr>
          <w:rFonts w:hint="eastAsia" w:ascii="仿宋_GB2312" w:eastAsia="仿宋_GB2312"/>
          <w:color w:val="000000"/>
          <w:sz w:val="32"/>
          <w:szCs w:val="32"/>
          <w:lang w:val="en-US" w:eastAsia="zh-CN"/>
        </w:rPr>
        <w:t>/</w:t>
      </w:r>
      <w:r>
        <w:rPr>
          <w:rFonts w:hint="eastAsia" w:ascii="仿宋_GB2312" w:hAnsi="仿宋_GB2312" w:eastAsia="仿宋_GB2312" w:cs="仿宋_GB2312"/>
          <w:kern w:val="1"/>
          <w:sz w:val="32"/>
          <w:szCs w:val="32"/>
          <w:u w:val="none"/>
        </w:rPr>
        <w:t xml:space="preserve"> </w:t>
      </w:r>
      <w:r>
        <w:rPr>
          <w:rFonts w:hint="eastAsia" w:ascii="Times New Roman" w:hAnsi="Times New Roman" w:eastAsia="仿宋_GB2312" w:cs="Mongolian Baiti"/>
          <w:kern w:val="1"/>
          <w:sz w:val="32"/>
          <w:szCs w:val="32"/>
          <w:u w:val="none"/>
        </w:rPr>
        <w:t xml:space="preserve">   </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r>
        <w:rPr>
          <w:rFonts w:ascii="Times New Roman" w:hAnsi="Times New Roman" w:eastAsia="仿宋_GB2312" w:cs="Mongolian Baiti"/>
          <w:kern w:val="1"/>
          <w:sz w:val="32"/>
          <w:szCs w:val="32"/>
          <w:u w:val="single"/>
        </w:rPr>
        <w:t xml:space="preserve"> </w:t>
      </w:r>
    </w:p>
    <w:p>
      <w:pPr>
        <w:spacing w:line="520" w:lineRule="exact"/>
        <w:ind w:firstLine="640" w:firstLineChars="200"/>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lang w:val="en-US" w:eastAsia="zh-CN"/>
        </w:rPr>
        <w:t>2021年11月25日，我局执法人员依法对</w:t>
      </w:r>
      <w:r>
        <w:rPr>
          <w:rFonts w:hint="eastAsia" w:ascii="仿宋_GB2312" w:hAnsi="仿宋_GB2312" w:eastAsia="仿宋_GB2312" w:cs="仿宋_GB2312"/>
          <w:sz w:val="32"/>
          <w:szCs w:val="32"/>
          <w:u w:val="none"/>
        </w:rPr>
        <w:t>天津市北辰区</w:t>
      </w:r>
      <w:r>
        <w:rPr>
          <w:rFonts w:hint="eastAsia" w:ascii="仿宋_GB2312" w:hAnsi="仿宋_GB2312" w:eastAsia="仿宋_GB2312" w:cs="仿宋_GB2312"/>
          <w:sz w:val="32"/>
          <w:szCs w:val="32"/>
          <w:u w:val="none"/>
          <w:lang w:eastAsia="zh-CN"/>
        </w:rPr>
        <w:t>正兴食品经营店（王红改）</w:t>
      </w:r>
      <w:r>
        <w:rPr>
          <w:rFonts w:hint="eastAsia" w:ascii="仿宋_GB2312" w:hAnsi="仿宋_GB2312" w:eastAsia="仿宋_GB2312" w:cs="仿宋_GB2312"/>
          <w:color w:val="000000"/>
          <w:sz w:val="32"/>
          <w:szCs w:val="32"/>
          <w:u w:val="none"/>
          <w:lang w:val="en-US" w:eastAsia="zh-CN"/>
        </w:rPr>
        <w:t>进行监督检查时发现，当事人营业执照的经营范围是食品销售，未办理食品经营许可证，但其经营场所内货架上摆放有“布丁”（重量2.1kg，销售价格24元/kg）“葡萄酥”（重量2.5kg，销售价格18元/kg），“牛舌饼”（重量1.8kg，销售价格24元/kg）正在销售</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当事人涉嫌未取得食品经营许可从事食品经营活动。经局领导审批，执法人员依法对涉案的食品进行了扣押，现场送达了《实施行政强制措施决定书》（津辰市监新实强[2021]23号），并告知采取行政强制措施的理由、依据及当事人依法享有的权利、救济途径。当事人放弃陈述、申辩。同日，执法人员报经局领导批准，予以立案调查。</w:t>
      </w:r>
      <w:r>
        <w:rPr>
          <w:rFonts w:hint="eastAsia" w:ascii="仿宋_GB2312" w:hAnsi="仿宋_GB2312" w:eastAsia="仿宋_GB2312" w:cs="仿宋_GB2312"/>
          <w:color w:val="000000"/>
          <w:sz w:val="32"/>
          <w:szCs w:val="32"/>
          <w:u w:val="none"/>
        </w:rPr>
        <w:t>2021年12月</w:t>
      </w:r>
      <w:r>
        <w:rPr>
          <w:rFonts w:hint="eastAsia" w:ascii="仿宋_GB2312" w:hAnsi="仿宋_GB2312" w:eastAsia="仿宋_GB2312" w:cs="仿宋_GB2312"/>
          <w:color w:val="000000"/>
          <w:sz w:val="32"/>
          <w:szCs w:val="32"/>
          <w:u w:val="none"/>
          <w:lang w:val="en-US" w:eastAsia="zh-CN"/>
        </w:rPr>
        <w:t>24</w:t>
      </w:r>
      <w:r>
        <w:rPr>
          <w:rFonts w:hint="eastAsia" w:ascii="仿宋_GB2312" w:hAnsi="仿宋_GB2312" w:eastAsia="仿宋_GB2312" w:cs="仿宋_GB2312"/>
          <w:color w:val="000000"/>
          <w:sz w:val="32"/>
          <w:szCs w:val="32"/>
          <w:u w:val="none"/>
        </w:rPr>
        <w:t>日，经局领导批准，对该行政强制措施的期限延长30日。</w:t>
      </w:r>
      <w:r>
        <w:rPr>
          <w:rFonts w:hint="eastAsia" w:ascii="仿宋_GB2312" w:hAnsi="仿宋_GB2312" w:eastAsia="仿宋_GB2312" w:cs="仿宋_GB2312"/>
          <w:bCs/>
          <w:color w:val="000000"/>
          <w:sz w:val="32"/>
          <w:szCs w:val="32"/>
          <w:u w:val="none"/>
        </w:rPr>
        <w:t xml:space="preserve">      </w:t>
      </w:r>
      <w:r>
        <w:rPr>
          <w:rFonts w:hint="eastAsia" w:ascii="仿宋_GB2312" w:hAnsi="仿宋_GB2312" w:eastAsia="仿宋_GB2312" w:cs="仿宋_GB2312"/>
          <w:bCs/>
          <w:color w:val="000000"/>
          <w:sz w:val="32"/>
          <w:szCs w:val="32"/>
          <w:u w:val="none"/>
          <w:lang w:val="en-US" w:eastAsia="zh-CN"/>
        </w:rPr>
        <w:t xml:space="preserve">                                  </w:t>
      </w:r>
      <w:r>
        <w:rPr>
          <w:rFonts w:hint="eastAsia" w:ascii="仿宋_GB2312" w:hAnsi="仿宋_GB2312" w:eastAsia="仿宋_GB2312" w:cs="仿宋_GB2312"/>
          <w:bCs/>
          <w:color w:val="000000"/>
          <w:sz w:val="32"/>
          <w:szCs w:val="32"/>
          <w:u w:val="none"/>
        </w:rPr>
        <w:t xml:space="preserve">     </w:t>
      </w:r>
    </w:p>
    <w:p>
      <w:pPr>
        <w:spacing w:line="52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经查明，2021年11月25日，当事人在未依法取得《食品经营许可证》的情况下，擅自在</w:t>
      </w:r>
      <w:r>
        <w:rPr>
          <w:rFonts w:hint="eastAsia" w:ascii="仿宋_GB2312" w:hAnsi="仿宋_GB2312" w:eastAsia="仿宋_GB2312" w:cs="仿宋_GB2312"/>
          <w:color w:val="000000"/>
          <w:sz w:val="32"/>
          <w:szCs w:val="32"/>
          <w:u w:val="none"/>
          <w:lang w:eastAsia="zh-CN"/>
        </w:rPr>
        <w:t>天津市北辰区果园新村街道东升里</w:t>
      </w:r>
      <w:r>
        <w:rPr>
          <w:rFonts w:hint="eastAsia" w:ascii="仿宋_GB2312" w:hAnsi="仿宋_GB2312" w:eastAsia="仿宋_GB2312" w:cs="仿宋_GB2312"/>
          <w:color w:val="000000"/>
          <w:sz w:val="32"/>
          <w:szCs w:val="32"/>
          <w:u w:val="none"/>
          <w:lang w:val="en-US" w:eastAsia="zh-CN"/>
        </w:rPr>
        <w:t>底商3-3销售“布丁”、“葡萄酥”、“牛舌饼”，从事食品经营活动。上述行为满足未取得食品经营许可从事食品经营活动的构成要件，本案货值金额</w:t>
      </w:r>
      <w:r>
        <w:rPr>
          <w:rFonts w:hint="eastAsia" w:ascii="仿宋_GB2312" w:hAnsi="仿宋_GB2312" w:eastAsia="仿宋_GB2312" w:cs="仿宋_GB2312"/>
          <w:sz w:val="32"/>
          <w:szCs w:val="32"/>
          <w:u w:val="none"/>
          <w:lang w:val="en-US" w:eastAsia="zh-CN"/>
        </w:rPr>
        <w:t>138.6</w:t>
      </w:r>
      <w:r>
        <w:rPr>
          <w:rFonts w:hint="eastAsia" w:ascii="仿宋_GB2312" w:hAnsi="仿宋_GB2312" w:eastAsia="仿宋_GB2312" w:cs="仿宋_GB2312"/>
          <w:color w:val="000000"/>
          <w:sz w:val="32"/>
          <w:szCs w:val="32"/>
          <w:u w:val="none"/>
          <w:lang w:val="en-US" w:eastAsia="zh-CN"/>
        </w:rPr>
        <w:t>元，因当事人无销售记录或台账，违法所得无法计算。</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上述事实，主要有以下证据证明：</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u w:val="none"/>
        </w:rPr>
        <w:t>1.当事人营业执照复印件、</w:t>
      </w:r>
      <w:r>
        <w:rPr>
          <w:rFonts w:hint="eastAsia" w:ascii="仿宋_GB2312" w:hAnsi="仿宋_GB2312" w:eastAsia="仿宋_GB2312" w:cs="仿宋_GB2312"/>
          <w:sz w:val="32"/>
          <w:szCs w:val="32"/>
          <w:u w:val="none"/>
          <w:lang w:eastAsia="zh-CN"/>
        </w:rPr>
        <w:t>经营者王红改</w:t>
      </w:r>
      <w:r>
        <w:rPr>
          <w:rFonts w:hint="eastAsia" w:ascii="仿宋_GB2312" w:hAnsi="仿宋_GB2312" w:eastAsia="仿宋_GB2312" w:cs="仿宋_GB2312"/>
          <w:sz w:val="32"/>
          <w:szCs w:val="32"/>
          <w:u w:val="none"/>
        </w:rPr>
        <w:t>身份证复印件，证明当事人的主体资格</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2.现场检查笔录、现场照片，证明当事人</w:t>
      </w:r>
      <w:r>
        <w:rPr>
          <w:rFonts w:hint="eastAsia" w:ascii="仿宋_GB2312" w:hAnsi="仿宋_GB2312" w:eastAsia="仿宋_GB2312" w:cs="仿宋_GB2312"/>
          <w:sz w:val="32"/>
          <w:szCs w:val="32"/>
          <w:u w:val="none"/>
          <w:lang w:eastAsia="zh-CN"/>
        </w:rPr>
        <w:t>王红改</w:t>
      </w:r>
      <w:r>
        <w:rPr>
          <w:rFonts w:hint="eastAsia" w:ascii="仿宋_GB2312" w:hAnsi="仿宋_GB2312" w:eastAsia="仿宋_GB2312" w:cs="仿宋_GB2312"/>
          <w:sz w:val="32"/>
          <w:szCs w:val="32"/>
          <w:u w:val="none"/>
          <w:lang w:val="en-US" w:eastAsia="zh-CN"/>
        </w:rPr>
        <w:t>未取得食品经营许可从事食品经营活动</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现场</w:t>
      </w:r>
      <w:r>
        <w:rPr>
          <w:rFonts w:hint="eastAsia" w:ascii="仿宋_GB2312" w:hAnsi="仿宋_GB2312" w:eastAsia="仿宋_GB2312" w:cs="仿宋_GB2312"/>
          <w:sz w:val="32"/>
          <w:szCs w:val="32"/>
          <w:u w:val="none"/>
          <w:lang w:eastAsia="zh-CN"/>
        </w:rPr>
        <w:t>情况；</w:t>
      </w:r>
      <w:r>
        <w:rPr>
          <w:rFonts w:hint="eastAsia" w:ascii="仿宋_GB2312" w:hAnsi="仿宋_GB2312" w:eastAsia="仿宋_GB2312" w:cs="仿宋_GB2312"/>
          <w:sz w:val="32"/>
          <w:szCs w:val="32"/>
          <w:u w:val="none"/>
        </w:rPr>
        <w:t xml:space="preserve">             3.对</w:t>
      </w:r>
      <w:r>
        <w:rPr>
          <w:rFonts w:hint="eastAsia" w:ascii="仿宋_GB2312" w:hAnsi="仿宋_GB2312" w:eastAsia="仿宋_GB2312" w:cs="仿宋_GB2312"/>
          <w:sz w:val="32"/>
          <w:szCs w:val="32"/>
          <w:u w:val="none"/>
          <w:lang w:eastAsia="zh-CN"/>
        </w:rPr>
        <w:t>当事人王红改</w:t>
      </w:r>
      <w:r>
        <w:rPr>
          <w:rFonts w:hint="eastAsia" w:ascii="仿宋_GB2312" w:hAnsi="仿宋_GB2312" w:eastAsia="仿宋_GB2312" w:cs="仿宋_GB2312"/>
          <w:sz w:val="32"/>
          <w:szCs w:val="32"/>
          <w:u w:val="none"/>
        </w:rPr>
        <w:t>的询问笔录，证明当事人</w:t>
      </w:r>
      <w:r>
        <w:rPr>
          <w:rFonts w:hint="eastAsia" w:ascii="仿宋_GB2312" w:hAnsi="仿宋_GB2312" w:eastAsia="仿宋_GB2312" w:cs="仿宋_GB2312"/>
          <w:sz w:val="32"/>
          <w:szCs w:val="32"/>
          <w:u w:val="none"/>
          <w:lang w:val="en-US" w:eastAsia="zh-CN"/>
        </w:rPr>
        <w:t>未取得食品经营许可从事食品经营活动</w:t>
      </w:r>
      <w:r>
        <w:rPr>
          <w:rFonts w:hint="eastAsia" w:ascii="仿宋_GB2312" w:hAnsi="仿宋_GB2312" w:eastAsia="仿宋_GB2312" w:cs="仿宋_GB2312"/>
          <w:sz w:val="32"/>
          <w:szCs w:val="32"/>
          <w:u w:val="none"/>
        </w:rPr>
        <w:t>的事实</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情节</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kern w:val="2"/>
          <w:sz w:val="32"/>
          <w:szCs w:val="32"/>
          <w:lang w:val="en-US" w:eastAsia="zh-CN" w:bidi="ar-SA"/>
        </w:rPr>
        <w:t>4.王红改提供的进货票据、供货商营业执照、食品经营许可证复印件，证明当事人的进货来源。</w:t>
      </w:r>
    </w:p>
    <w:p>
      <w:pPr>
        <w:keepNext w:val="0"/>
        <w:keepLines w:val="0"/>
        <w:pageBreakBefore w:val="0"/>
        <w:widowControl w:val="0"/>
        <w:kinsoku/>
        <w:wordWrap/>
        <w:overflowPunct/>
        <w:topLinePunct w:val="0"/>
        <w:autoSpaceDE/>
        <w:autoSpaceDN/>
        <w:bidi w:val="0"/>
        <w:adjustRightInd/>
        <w:spacing w:line="520" w:lineRule="exact"/>
        <w:textAlignment w:val="auto"/>
        <w:outlineLvl w:val="9"/>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kern w:val="2"/>
          <w:sz w:val="32"/>
          <w:szCs w:val="32"/>
          <w:lang w:val="en-US" w:eastAsia="zh-CN" w:bidi="ar-SA"/>
        </w:rPr>
        <w:t>5.回查现场照片、现场笔录，证明当事人王红改积极整改并已改正违法行为的事实。</w:t>
      </w:r>
      <w:r>
        <w:rPr>
          <w:rFonts w:hint="eastAsia" w:ascii="仿宋_GB2312" w:hAnsi="仿宋_GB2312" w:eastAsia="仿宋_GB2312" w:cs="仿宋_GB2312"/>
          <w:sz w:val="32"/>
          <w:szCs w:val="32"/>
          <w:u w:val="none"/>
          <w:lang w:val="en-US" w:eastAsia="zh-CN"/>
        </w:rPr>
        <w:t>6.当事人王红改提供的整改报告，证明当事人积极改正违法行为的事实。</w:t>
      </w:r>
      <w:r>
        <w:rPr>
          <w:rFonts w:hint="eastAsia" w:ascii="仿宋_GB2312" w:hAnsi="仿宋_GB2312" w:eastAsia="仿宋_GB2312" w:cs="仿宋_GB2312"/>
          <w:color w:val="000000"/>
          <w:sz w:val="32"/>
          <w:szCs w:val="32"/>
          <w:u w:val="none"/>
          <w:lang w:val="en-US" w:eastAsia="zh-CN"/>
        </w:rPr>
        <w:t xml:space="preserve">      </w:t>
      </w:r>
    </w:p>
    <w:p>
      <w:pPr>
        <w:spacing w:line="520" w:lineRule="exact"/>
        <w:ind w:firstLine="640" w:firstLineChars="200"/>
        <w:rPr>
          <w:rFonts w:ascii="Times New Roman" w:hAnsi="Times New Roman" w:eastAsia="仿宋_GB2312" w:cs="仿宋"/>
          <w:color w:val="000000"/>
          <w:sz w:val="32"/>
          <w:szCs w:val="32"/>
          <w:u w:val="none"/>
        </w:rPr>
      </w:pPr>
      <w:r>
        <w:rPr>
          <w:rFonts w:hint="eastAsia" w:ascii="仿宋_GB2312" w:hAnsi="楷体_GB2312" w:eastAsia="仿宋_GB2312" w:cs="楷体_GB2312"/>
          <w:color w:val="000000"/>
          <w:sz w:val="32"/>
          <w:szCs w:val="32"/>
          <w:u w:val="none"/>
        </w:rPr>
        <w:t>本局于20</w:t>
      </w:r>
      <w:r>
        <w:rPr>
          <w:rFonts w:hint="eastAsia" w:ascii="仿宋_GB2312" w:hAnsi="楷体_GB2312" w:eastAsia="仿宋_GB2312" w:cs="楷体_GB2312"/>
          <w:color w:val="000000"/>
          <w:sz w:val="32"/>
          <w:szCs w:val="32"/>
          <w:u w:val="none"/>
          <w:lang w:val="en-US" w:eastAsia="zh-CN"/>
        </w:rPr>
        <w:t>22</w:t>
      </w:r>
      <w:r>
        <w:rPr>
          <w:rFonts w:hint="eastAsia" w:ascii="仿宋_GB2312" w:hAnsi="楷体_GB2312" w:eastAsia="仿宋_GB2312" w:cs="楷体_GB2312"/>
          <w:color w:val="000000"/>
          <w:sz w:val="32"/>
          <w:szCs w:val="32"/>
          <w:u w:val="none"/>
        </w:rPr>
        <w:t>年</w:t>
      </w:r>
      <w:r>
        <w:rPr>
          <w:rFonts w:hint="eastAsia" w:ascii="仿宋_GB2312" w:hAnsi="楷体_GB2312" w:eastAsia="仿宋_GB2312" w:cs="楷体_GB2312"/>
          <w:color w:val="000000"/>
          <w:sz w:val="32"/>
          <w:szCs w:val="32"/>
          <w:u w:val="none"/>
          <w:lang w:val="en-US" w:eastAsia="zh-CN"/>
        </w:rPr>
        <w:t>1</w:t>
      </w:r>
      <w:r>
        <w:rPr>
          <w:rFonts w:hint="eastAsia" w:ascii="仿宋_GB2312" w:hAnsi="楷体_GB2312" w:eastAsia="仿宋_GB2312" w:cs="楷体_GB2312"/>
          <w:color w:val="000000"/>
          <w:sz w:val="32"/>
          <w:szCs w:val="32"/>
          <w:u w:val="none"/>
        </w:rPr>
        <w:t>月</w:t>
      </w:r>
      <w:r>
        <w:rPr>
          <w:rFonts w:hint="eastAsia" w:ascii="仿宋_GB2312" w:hAnsi="楷体_GB2312" w:eastAsia="仿宋_GB2312" w:cs="楷体_GB2312"/>
          <w:color w:val="000000"/>
          <w:sz w:val="32"/>
          <w:szCs w:val="32"/>
          <w:u w:val="none"/>
          <w:lang w:val="en-US" w:eastAsia="zh-CN"/>
        </w:rPr>
        <w:t>18</w:t>
      </w:r>
      <w:r>
        <w:rPr>
          <w:rFonts w:hint="eastAsia" w:ascii="仿宋_GB2312" w:hAnsi="楷体_GB2312" w:eastAsia="仿宋_GB2312" w:cs="楷体_GB2312"/>
          <w:color w:val="000000"/>
          <w:sz w:val="32"/>
          <w:szCs w:val="32"/>
          <w:u w:val="none"/>
        </w:rPr>
        <w:t>日依法向当事人送达了《行政处罚告知书》（</w:t>
      </w:r>
      <w:r>
        <w:rPr>
          <w:rFonts w:hint="eastAsia" w:ascii="仿宋_GB2312" w:hAnsi="Arial" w:eastAsia="仿宋_GB2312" w:cs="Arial"/>
          <w:color w:val="000000"/>
          <w:sz w:val="32"/>
          <w:szCs w:val="32"/>
          <w:u w:val="none"/>
          <w:shd w:val="clear" w:color="auto" w:fill="FFFFFF"/>
        </w:rPr>
        <w:t>津</w:t>
      </w:r>
      <w:r>
        <w:rPr>
          <w:rFonts w:hint="eastAsia" w:ascii="仿宋_GB2312" w:hAnsi="Arial" w:eastAsia="仿宋_GB2312" w:cs="Arial"/>
          <w:color w:val="000000"/>
          <w:sz w:val="32"/>
          <w:szCs w:val="32"/>
          <w:u w:val="none"/>
          <w:shd w:val="clear" w:color="auto" w:fill="FFFFFF"/>
          <w:lang w:eastAsia="zh-CN"/>
        </w:rPr>
        <w:t>辰</w:t>
      </w:r>
      <w:r>
        <w:rPr>
          <w:rFonts w:hint="eastAsia" w:ascii="仿宋_GB2312" w:hAnsi="Arial" w:eastAsia="仿宋_GB2312" w:cs="Arial"/>
          <w:color w:val="000000"/>
          <w:sz w:val="32"/>
          <w:szCs w:val="32"/>
          <w:u w:val="none"/>
          <w:shd w:val="clear" w:color="auto" w:fill="FFFFFF"/>
        </w:rPr>
        <w:t>市监罚告〔20</w:t>
      </w:r>
      <w:r>
        <w:rPr>
          <w:rFonts w:hint="eastAsia" w:ascii="仿宋_GB2312" w:hAnsi="Arial" w:eastAsia="仿宋_GB2312" w:cs="Arial"/>
          <w:color w:val="000000"/>
          <w:sz w:val="32"/>
          <w:szCs w:val="32"/>
          <w:u w:val="none"/>
          <w:shd w:val="clear" w:color="auto" w:fill="FFFFFF"/>
          <w:lang w:val="en-US" w:eastAsia="zh-CN"/>
        </w:rPr>
        <w:t>21</w:t>
      </w:r>
      <w:r>
        <w:rPr>
          <w:rFonts w:hint="eastAsia" w:ascii="仿宋_GB2312" w:hAnsi="Arial" w:eastAsia="仿宋_GB2312" w:cs="Arial"/>
          <w:color w:val="000000"/>
          <w:sz w:val="32"/>
          <w:szCs w:val="32"/>
          <w:u w:val="none"/>
          <w:shd w:val="clear" w:color="auto" w:fill="FFFFFF"/>
        </w:rPr>
        <w:t>〕</w:t>
      </w:r>
      <w:r>
        <w:rPr>
          <w:rFonts w:hint="eastAsia" w:ascii="仿宋_GB2312" w:hAnsi="Arial" w:eastAsia="仿宋_GB2312" w:cs="Arial"/>
          <w:color w:val="000000"/>
          <w:sz w:val="32"/>
          <w:szCs w:val="32"/>
          <w:u w:val="none"/>
          <w:shd w:val="clear" w:color="auto" w:fill="FFFFFF"/>
          <w:lang w:val="en-US" w:eastAsia="zh-CN"/>
        </w:rPr>
        <w:t>1336</w:t>
      </w:r>
      <w:r>
        <w:rPr>
          <w:rFonts w:hint="eastAsia" w:ascii="仿宋_GB2312" w:hAnsi="Arial" w:eastAsia="仿宋_GB2312" w:cs="Arial"/>
          <w:color w:val="000000"/>
          <w:sz w:val="32"/>
          <w:szCs w:val="32"/>
          <w:u w:val="none"/>
          <w:shd w:val="clear" w:color="auto" w:fill="FFFFFF"/>
        </w:rPr>
        <w:t>号</w:t>
      </w:r>
      <w:r>
        <w:rPr>
          <w:rFonts w:hint="eastAsia" w:ascii="仿宋_GB2312" w:hAnsi="楷体_GB2312" w:eastAsia="仿宋_GB2312" w:cs="楷体_GB2312"/>
          <w:color w:val="000000"/>
          <w:sz w:val="32"/>
          <w:szCs w:val="32"/>
          <w:u w:val="none"/>
        </w:rPr>
        <w:t>），当事人未提出陈述申辩意见</w:t>
      </w:r>
      <w:r>
        <w:rPr>
          <w:rFonts w:hint="eastAsia" w:ascii="仿宋_GB2312" w:eastAsia="仿宋_GB2312"/>
          <w:color w:val="000000"/>
          <w:sz w:val="32"/>
          <w:szCs w:val="32"/>
          <w:u w:val="none"/>
        </w:rPr>
        <w:t>。</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lang w:val="en-US" w:eastAsia="zh-CN"/>
        </w:rPr>
        <w:t xml:space="preserve">                </w:t>
      </w:r>
      <w:r>
        <w:rPr>
          <w:rFonts w:ascii="Times New Roman" w:hAnsi="Times New Roman" w:eastAsia="仿宋_GB2312" w:cs="仿宋"/>
          <w:color w:val="000000"/>
          <w:sz w:val="32"/>
          <w:szCs w:val="32"/>
          <w:u w:val="none"/>
        </w:rPr>
        <w:t xml:space="preserve"> </w:t>
      </w:r>
    </w:p>
    <w:p>
      <w:pPr>
        <w:pStyle w:val="3"/>
        <w:keepNext w:val="0"/>
        <w:keepLines w:val="0"/>
        <w:pageBreakBefore w:val="0"/>
        <w:widowControl w:val="0"/>
        <w:kinsoku/>
        <w:wordWrap/>
        <w:overflowPunct/>
        <w:topLinePunct w:val="0"/>
        <w:autoSpaceDE/>
        <w:autoSpaceDN/>
        <w:bidi w:val="0"/>
        <w:adjustRightInd/>
        <w:snapToGrid w:val="0"/>
        <w:spacing w:line="460" w:lineRule="exact"/>
        <w:ind w:firstLine="640"/>
        <w:jc w:val="left"/>
        <w:textAlignment w:val="auto"/>
        <w:outlineLvl w:val="9"/>
        <w:rPr>
          <w:rFonts w:hint="eastAsia" w:ascii="仿宋_GB2312" w:hAnsi="楷体_GB2312" w:eastAsia="仿宋_GB2312" w:cs="楷体_GB2312"/>
          <w:color w:val="000000"/>
          <w:sz w:val="32"/>
          <w:szCs w:val="32"/>
          <w:u w:val="none"/>
          <w:lang w:eastAsia="zh-CN"/>
        </w:rPr>
      </w:pPr>
      <w:r>
        <w:rPr>
          <w:rFonts w:hint="eastAsia" w:ascii="仿宋_GB2312" w:hAnsi="楷体_GB2312" w:eastAsia="仿宋_GB2312" w:cs="楷体_GB2312"/>
          <w:color w:val="000000"/>
          <w:sz w:val="32"/>
          <w:szCs w:val="32"/>
          <w:u w:val="none"/>
        </w:rPr>
        <w:t>本局认为，当事人上述行为违反了《中华人民共和国食品安全法》第三十五条第一款“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的规定。</w:t>
      </w:r>
    </w:p>
    <w:p>
      <w:pPr>
        <w:pStyle w:val="3"/>
        <w:keepNext w:val="0"/>
        <w:keepLines w:val="0"/>
        <w:pageBreakBefore w:val="0"/>
        <w:widowControl w:val="0"/>
        <w:kinsoku/>
        <w:wordWrap/>
        <w:overflowPunct/>
        <w:topLinePunct w:val="0"/>
        <w:autoSpaceDE/>
        <w:autoSpaceDN/>
        <w:bidi w:val="0"/>
        <w:adjustRightInd/>
        <w:snapToGrid w:val="0"/>
        <w:spacing w:line="460" w:lineRule="exact"/>
        <w:ind w:firstLine="640"/>
        <w:jc w:val="left"/>
        <w:textAlignment w:val="auto"/>
        <w:outlineLvl w:val="9"/>
        <w:rPr>
          <w:rFonts w:hint="eastAsia" w:ascii="仿宋_GB2312" w:hAnsi="仿宋_GB2312" w:eastAsia="仿宋_GB2312" w:cs="仿宋_GB2312"/>
          <w:bCs/>
          <w:sz w:val="32"/>
          <w:szCs w:val="32"/>
          <w:u w:val="none"/>
          <w:lang w:val="en-US" w:eastAsia="zh-CN"/>
        </w:rPr>
      </w:pPr>
      <w:r>
        <w:rPr>
          <w:rFonts w:hint="eastAsia" w:ascii="仿宋_GB2312" w:hAnsi="楷体_GB2312" w:eastAsia="仿宋_GB2312" w:cs="楷体_GB2312"/>
          <w:color w:val="000000"/>
          <w:sz w:val="32"/>
          <w:szCs w:val="32"/>
          <w:u w:val="none"/>
          <w:lang w:eastAsia="zh-CN"/>
        </w:rPr>
        <w:t>鉴于</w:t>
      </w:r>
      <w:r>
        <w:rPr>
          <w:rFonts w:hint="eastAsia" w:ascii="Times New Roman" w:hAnsi="Times New Roman" w:eastAsia="仿宋_GB2312" w:cs="仿宋_GB2312"/>
          <w:b w:val="0"/>
          <w:bCs/>
          <w:sz w:val="32"/>
          <w:szCs w:val="32"/>
          <w:u w:val="none"/>
          <w:lang w:eastAsia="zh-CN"/>
        </w:rPr>
        <w:t>当事人配合案件调查，积极改正违法行为，如实提供相关证据材料，依据《中华人民共和国行政处罚法》第三十二条第</w:t>
      </w:r>
      <w:r>
        <w:rPr>
          <w:rFonts w:hint="eastAsia" w:ascii="Times New Roman" w:hAnsi="Times New Roman" w:eastAsia="仿宋_GB2312" w:cs="仿宋_GB2312"/>
          <w:b w:val="0"/>
          <w:bCs/>
          <w:sz w:val="32"/>
          <w:szCs w:val="32"/>
          <w:u w:val="none"/>
          <w:lang w:val="en-US" w:eastAsia="zh-CN"/>
        </w:rPr>
        <w:t>一</w:t>
      </w:r>
      <w:r>
        <w:rPr>
          <w:rFonts w:hint="eastAsia" w:ascii="Times New Roman" w:hAnsi="Times New Roman" w:eastAsia="仿宋_GB2312" w:cs="仿宋_GB2312"/>
          <w:b w:val="0"/>
          <w:bCs/>
          <w:sz w:val="32"/>
          <w:szCs w:val="32"/>
          <w:u w:val="none"/>
          <w:lang w:eastAsia="zh-CN"/>
        </w:rPr>
        <w:t>项，参照《天津市市场和质量监督管理委员会行政处罚裁量适用规则》第十三条第一项、第五项的规定予以减轻处罚。</w:t>
      </w:r>
      <w:r>
        <w:rPr>
          <w:rFonts w:hint="eastAsia" w:ascii="仿宋_GB2312" w:hAnsi="仿宋_GB2312" w:eastAsia="仿宋_GB2312" w:cs="仿宋_GB2312"/>
          <w:bCs/>
          <w:sz w:val="32"/>
          <w:szCs w:val="32"/>
          <w:u w:val="none"/>
        </w:rPr>
        <w:t xml:space="preserve">   </w:t>
      </w:r>
    </w:p>
    <w:p>
      <w:pPr>
        <w:spacing w:line="520" w:lineRule="exact"/>
        <w:ind w:firstLine="640" w:firstLineChars="200"/>
        <w:rPr>
          <w:rFonts w:hint="eastAsia" w:ascii="仿宋_GB2312" w:hAnsi="仿宋_GB2312" w:eastAsia="仿宋_GB2312" w:cs="仿宋_GB2312"/>
          <w:bCs/>
          <w:sz w:val="32"/>
          <w:szCs w:val="32"/>
        </w:rPr>
      </w:pPr>
      <w:r>
        <w:rPr>
          <w:rFonts w:hint="eastAsia" w:ascii="Times New Roman" w:hAnsi="Times New Roman" w:eastAsia="仿宋_GB2312" w:cs="仿宋_GB2312"/>
          <w:b w:val="0"/>
          <w:bCs/>
          <w:sz w:val="32"/>
          <w:szCs w:val="32"/>
          <w:u w:val="none"/>
          <w:lang w:eastAsia="zh-CN"/>
        </w:rPr>
        <w:t>依据《中华人民共和国食品安全法》第一百二十二条第一款“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仿宋_GB2312" w:hAnsi="仿宋_GB2312" w:eastAsia="仿宋_GB2312" w:cs="仿宋_GB2312"/>
          <w:bCs/>
          <w:sz w:val="32"/>
          <w:szCs w:val="32"/>
        </w:rPr>
        <w:t>的规定，对当事人给予以下行政处罚：</w:t>
      </w:r>
    </w:p>
    <w:p>
      <w:pPr>
        <w:spacing w:line="520" w:lineRule="exact"/>
        <w:ind w:firstLine="640" w:firstLineChars="200"/>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lang w:eastAsia="zh-CN"/>
        </w:rPr>
        <w:t>没收违法经营的</w:t>
      </w:r>
      <w:r>
        <w:rPr>
          <w:rFonts w:hint="eastAsia" w:ascii="仿宋_GB2312" w:hAnsi="仿宋_GB2312" w:eastAsia="仿宋_GB2312" w:cs="仿宋_GB2312"/>
          <w:color w:val="000000"/>
          <w:sz w:val="32"/>
          <w:szCs w:val="32"/>
          <w:u w:val="none"/>
          <w:lang w:val="en-US" w:eastAsia="zh-CN"/>
        </w:rPr>
        <w:t xml:space="preserve">“布丁”2.1kg，“葡萄酥”2.5kg，“牛舌饼”1.8kg； </w:t>
      </w:r>
    </w:p>
    <w:p>
      <w:pPr>
        <w:spacing w:line="520" w:lineRule="exact"/>
        <w:ind w:firstLine="640" w:firstLineChars="200"/>
        <w:rPr>
          <w:rFonts w:hint="eastAsia" w:ascii="Times New Roman" w:hAnsi="Times New Roman" w:eastAsia="仿宋_GB2312" w:cs="仿宋"/>
          <w:color w:val="000000"/>
          <w:sz w:val="32"/>
          <w:szCs w:val="32"/>
          <w:u w:val="none"/>
        </w:rPr>
      </w:pPr>
      <w:r>
        <w:rPr>
          <w:rFonts w:hint="eastAsia" w:ascii="仿宋_GB2312" w:hAnsi="仿宋_GB2312" w:eastAsia="仿宋_GB2312" w:cs="仿宋_GB2312"/>
          <w:color w:val="000000"/>
          <w:sz w:val="32"/>
          <w:szCs w:val="32"/>
          <w:u w:val="none"/>
          <w:lang w:val="en-US" w:eastAsia="zh-CN"/>
        </w:rPr>
        <w:t>2.</w:t>
      </w:r>
      <w:r>
        <w:rPr>
          <w:rFonts w:hint="eastAsia" w:ascii="仿宋_GB2312" w:hAnsi="仿宋_GB2312" w:eastAsia="仿宋_GB2312" w:cs="仿宋_GB2312"/>
          <w:color w:val="000000"/>
          <w:sz w:val="32"/>
          <w:szCs w:val="32"/>
          <w:u w:val="none"/>
        </w:rPr>
        <w:t>罚款</w:t>
      </w:r>
      <w:r>
        <w:rPr>
          <w:rFonts w:hint="eastAsia" w:ascii="仿宋_GB2312" w:hAnsi="仿宋_GB2312" w:eastAsia="仿宋_GB2312" w:cs="仿宋_GB2312"/>
          <w:color w:val="000000"/>
          <w:sz w:val="32"/>
          <w:szCs w:val="32"/>
          <w:u w:val="none"/>
          <w:lang w:val="en-US" w:eastAsia="zh-CN"/>
        </w:rPr>
        <w:t>10</w:t>
      </w:r>
      <w:r>
        <w:rPr>
          <w:rFonts w:hint="eastAsia" w:ascii="仿宋_GB2312" w:hAnsi="仿宋_GB2312" w:eastAsia="仿宋_GB2312" w:cs="仿宋_GB2312"/>
          <w:color w:val="000000"/>
          <w:sz w:val="32"/>
          <w:szCs w:val="32"/>
          <w:u w:val="none"/>
        </w:rPr>
        <w:t>000元</w:t>
      </w:r>
      <w:r>
        <w:rPr>
          <w:rFonts w:hint="eastAsia" w:ascii="Times New Roman" w:hAnsi="Times New Roman" w:eastAsia="仿宋_GB2312" w:cs="仿宋"/>
          <w:color w:val="000000"/>
          <w:sz w:val="32"/>
          <w:szCs w:val="32"/>
          <w:u w:val="none"/>
        </w:rPr>
        <w:t>。</w:t>
      </w:r>
    </w:p>
    <w:p>
      <w:pPr>
        <w:spacing w:line="52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color w:val="000000"/>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spacing w:line="520" w:lineRule="exact"/>
        <w:ind w:firstLine="640" w:firstLineChars="200"/>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如对本行政处罚决定不服，可以于收到本决定书之日起六十日内向天津市北辰区人民政府申请复议，也可以于六个月内依法向天津市北辰区人民法院提起行政诉讼。         </w:t>
      </w: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 xml:space="preserve">     </w:t>
      </w:r>
    </w:p>
    <w:p>
      <w:pPr>
        <w:spacing w:line="500" w:lineRule="exact"/>
        <w:ind w:firstLine="601"/>
        <w:jc w:val="center"/>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601"/>
        <w:jc w:val="center"/>
        <w:rPr>
          <w:rFonts w:hint="eastAsia" w:ascii="Times New Roman" w:hAnsi="Times New Roman" w:eastAsia="仿宋_GB2312" w:cs="仿宋"/>
          <w:color w:val="000000"/>
          <w:sz w:val="32"/>
          <w:szCs w:val="32"/>
        </w:rPr>
      </w:pPr>
    </w:p>
    <w:p>
      <w:pPr>
        <w:spacing w:line="500" w:lineRule="exact"/>
        <w:ind w:firstLine="3520" w:firstLineChars="1100"/>
        <w:jc w:val="both"/>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天津市北辰区市场监督管理局</w:t>
      </w:r>
    </w:p>
    <w:p>
      <w:pPr>
        <w:spacing w:line="500" w:lineRule="exact"/>
        <w:ind w:right="640" w:firstLine="600"/>
        <w:jc w:val="both"/>
        <w:rPr>
          <w:rFonts w:hint="eastAsia" w:ascii="黑体" w:hAnsi="黑体" w:eastAsia="黑体" w:cs="黑体"/>
          <w:color w:val="000000"/>
          <w:sz w:val="30"/>
          <w:szCs w:val="30"/>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仿宋_GB2312" w:hAnsi="仿宋_GB2312" w:eastAsia="仿宋_GB2312" w:cs="仿宋_GB2312"/>
          <w:color w:val="000000"/>
          <w:sz w:val="32"/>
          <w:szCs w:val="32"/>
          <w:lang w:val="en-US" w:eastAsia="zh-CN"/>
        </w:rPr>
        <w:t xml:space="preserve">2022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 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w:t>
      </w:r>
    </w:p>
    <w:p>
      <w:pPr>
        <w:wordWrap w:val="0"/>
        <w:snapToGrid w:val="0"/>
        <w:spacing w:line="680" w:lineRule="exact"/>
        <w:rPr>
          <w:rFonts w:hint="eastAsia" w:ascii="黑体" w:hAnsi="黑体" w:eastAsia="黑体" w:cs="黑体"/>
          <w:color w:val="000000"/>
          <w:sz w:val="30"/>
          <w:szCs w:val="30"/>
        </w:rPr>
      </w:pPr>
      <w:bookmarkStart w:id="1" w:name="_GoBack"/>
      <w:bookmarkEnd w:id="1"/>
    </w:p>
    <w:p>
      <w:pPr>
        <w:wordWrap w:val="0"/>
        <w:spacing w:line="680" w:lineRule="exact"/>
        <w:rPr>
          <w:rFonts w:hint="eastAsia" w:ascii="黑体" w:hAnsi="黑体" w:eastAsia="黑体" w:cs="黑体"/>
          <w:color w:val="000000"/>
          <w:sz w:val="30"/>
          <w:szCs w:val="30"/>
        </w:rPr>
      </w:pPr>
    </w:p>
    <w:sectPr>
      <w:pgSz w:w="11906" w:h="16838"/>
      <w:pgMar w:top="1174" w:right="1531" w:bottom="123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1"/>
    <w:rsid w:val="0013439E"/>
    <w:rsid w:val="00796DFE"/>
    <w:rsid w:val="00825F48"/>
    <w:rsid w:val="009C561E"/>
    <w:rsid w:val="00D92F5A"/>
    <w:rsid w:val="00E516F1"/>
    <w:rsid w:val="01DC1D66"/>
    <w:rsid w:val="0382756A"/>
    <w:rsid w:val="03C4100E"/>
    <w:rsid w:val="03F7032F"/>
    <w:rsid w:val="056E66BB"/>
    <w:rsid w:val="05997EC5"/>
    <w:rsid w:val="062D0D58"/>
    <w:rsid w:val="06C218CF"/>
    <w:rsid w:val="07700BE6"/>
    <w:rsid w:val="0A532442"/>
    <w:rsid w:val="0A6759B9"/>
    <w:rsid w:val="0B2E682A"/>
    <w:rsid w:val="0C783BDB"/>
    <w:rsid w:val="0FD53300"/>
    <w:rsid w:val="0FD75303"/>
    <w:rsid w:val="147A7AF9"/>
    <w:rsid w:val="174343F7"/>
    <w:rsid w:val="187B1502"/>
    <w:rsid w:val="1985662B"/>
    <w:rsid w:val="198870C6"/>
    <w:rsid w:val="1B637F41"/>
    <w:rsid w:val="1EFF46EA"/>
    <w:rsid w:val="203B0E3D"/>
    <w:rsid w:val="205333BD"/>
    <w:rsid w:val="23BC3342"/>
    <w:rsid w:val="27E91AF5"/>
    <w:rsid w:val="28FA5A06"/>
    <w:rsid w:val="2AC95F02"/>
    <w:rsid w:val="2CD03589"/>
    <w:rsid w:val="2D32534E"/>
    <w:rsid w:val="2E2810FD"/>
    <w:rsid w:val="2FAB429E"/>
    <w:rsid w:val="2FF95AA5"/>
    <w:rsid w:val="30C5054F"/>
    <w:rsid w:val="31D12F76"/>
    <w:rsid w:val="32170EF0"/>
    <w:rsid w:val="346D3A9E"/>
    <w:rsid w:val="365E68A4"/>
    <w:rsid w:val="367E5308"/>
    <w:rsid w:val="37895E75"/>
    <w:rsid w:val="38CF6F59"/>
    <w:rsid w:val="395C256D"/>
    <w:rsid w:val="396C5DFB"/>
    <w:rsid w:val="3A8512C1"/>
    <w:rsid w:val="3E5E0140"/>
    <w:rsid w:val="3EF13EE6"/>
    <w:rsid w:val="3EF3C40E"/>
    <w:rsid w:val="3F3F11D4"/>
    <w:rsid w:val="4188154C"/>
    <w:rsid w:val="42CB479B"/>
    <w:rsid w:val="42ED7C6F"/>
    <w:rsid w:val="43AD4AD1"/>
    <w:rsid w:val="45E3216A"/>
    <w:rsid w:val="463715FC"/>
    <w:rsid w:val="472B2F14"/>
    <w:rsid w:val="48FA2FBF"/>
    <w:rsid w:val="4A41502F"/>
    <w:rsid w:val="4B96535E"/>
    <w:rsid w:val="4EC25B74"/>
    <w:rsid w:val="51957B94"/>
    <w:rsid w:val="52DE2FD6"/>
    <w:rsid w:val="55095504"/>
    <w:rsid w:val="57062337"/>
    <w:rsid w:val="59775DC1"/>
    <w:rsid w:val="59DC14A5"/>
    <w:rsid w:val="5AEF9AB5"/>
    <w:rsid w:val="5B1A4C48"/>
    <w:rsid w:val="5D8B570C"/>
    <w:rsid w:val="5EBDE472"/>
    <w:rsid w:val="5F6D10D4"/>
    <w:rsid w:val="5FF208A2"/>
    <w:rsid w:val="61331AB8"/>
    <w:rsid w:val="63FB25A6"/>
    <w:rsid w:val="65066DAA"/>
    <w:rsid w:val="6684205A"/>
    <w:rsid w:val="66A05BA8"/>
    <w:rsid w:val="67A21BF2"/>
    <w:rsid w:val="688F5C8A"/>
    <w:rsid w:val="68FE70DE"/>
    <w:rsid w:val="697D21E7"/>
    <w:rsid w:val="6B3129D1"/>
    <w:rsid w:val="6D9511F9"/>
    <w:rsid w:val="6DEF3B6E"/>
    <w:rsid w:val="6EF7F68B"/>
    <w:rsid w:val="6FFFF964"/>
    <w:rsid w:val="70D10485"/>
    <w:rsid w:val="71285A5E"/>
    <w:rsid w:val="75A649B5"/>
    <w:rsid w:val="76FCC97D"/>
    <w:rsid w:val="78B73C37"/>
    <w:rsid w:val="7A493C54"/>
    <w:rsid w:val="7A9D55B3"/>
    <w:rsid w:val="7D525E25"/>
    <w:rsid w:val="7DDF4F05"/>
    <w:rsid w:val="7DF7C609"/>
    <w:rsid w:val="7F4F2EA6"/>
    <w:rsid w:val="9EDD9B15"/>
    <w:rsid w:val="BADB9107"/>
    <w:rsid w:val="BD6CE8BC"/>
    <w:rsid w:val="BFAB2BCA"/>
    <w:rsid w:val="DFF31913"/>
    <w:rsid w:val="E4EF56A5"/>
    <w:rsid w:val="E7FB9E14"/>
    <w:rsid w:val="EDFD961D"/>
    <w:rsid w:val="EFFE2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278</Words>
  <Characters>1589</Characters>
  <Lines>13</Lines>
  <Paragraphs>3</Paragraphs>
  <TotalTime>9</TotalTime>
  <ScaleCrop>false</ScaleCrop>
  <LinksUpToDate>false</LinksUpToDate>
  <CharactersWithSpaces>1864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dc:creator>
  <cp:lastModifiedBy>greatwall</cp:lastModifiedBy>
  <cp:lastPrinted>2022-01-29T19:08:00Z</cp:lastPrinted>
  <dcterms:modified xsi:type="dcterms:W3CDTF">2022-02-11T11:00:33Z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