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color w:val="000000"/>
          <w:sz w:val="44"/>
          <w:szCs w:val="44"/>
          <w:u w:val="none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  <w:u w:val="none"/>
        </w:rPr>
        <w:t>天津市北辰区市场监督管理局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  <w:u w:val="none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  <w:u w:val="none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12" w:beforeLines="100" w:after="312" w:afterLines="10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20802600</wp:posOffset>
                </wp:positionV>
                <wp:extent cx="5761990" cy="1270"/>
                <wp:effectExtent l="9525" t="9525" r="19685" b="177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270"/>
                        </a:xfrm>
                        <a:prstGeom prst="straightConnector1">
                          <a:avLst/>
                        </a:prstGeom>
                        <a:ln w="1905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LXiia2gAAAAsBAAAPAAAAAAAAAAEAIAAAADgAAABkcnMvZG93bnJl&#10;di54bWxQSwECFAAUAAAACACHTuJA48fwxOUBAACiAwAADgAAAAAAAAABACAAAAA/AQAAZHJzL2Uy&#10;b0RvYy54bWxQSwUGAAAAAAYABgBZAQAAlgUAAAAA&#10;">
                <v:fill on="f" focussize="0,0"/>
                <v:stroke weight="1.5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津辰市监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罚〔20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" w:hanging="140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>当事人：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  <w:lang w:eastAsia="zh-CN"/>
        </w:rPr>
        <w:t>天津市福安宁殡仪服务有限公司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" w:hanging="140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 xml:space="preserve">主体资格证照名称：营业执照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" w:hanging="140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>统一社会信用代码（注册号）：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  <w:lang w:val="en-US" w:eastAsia="zh-CN"/>
        </w:rPr>
        <w:t>91120113MA7F326Y1H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" w:hanging="140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>住所：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  <w:lang w:eastAsia="zh-CN"/>
        </w:rPr>
        <w:t>天津市北辰区瑞景街光荣道与辰盛路交口金亿铭臣快捷酒店旁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" w:hanging="140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  <w:lang w:eastAsia="zh-CN"/>
        </w:rPr>
        <w:t>王军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" w:hanging="140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>身份证号码：</w:t>
      </w:r>
      <w:r>
        <w:rPr>
          <w:rFonts w:hint="default" w:ascii="仿宋_GB2312" w:hAnsi="仿宋_GB2312" w:eastAsia="仿宋_GB2312" w:cs="仿宋_GB2312"/>
          <w:kern w:val="1"/>
          <w:sz w:val="32"/>
          <w:szCs w:val="32"/>
          <w:u w:val="none"/>
          <w:lang w:val="en" w:eastAsia="zh-CN"/>
        </w:rPr>
        <w:t>/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0" w:hanging="1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>联系电话：</w:t>
      </w:r>
      <w:r>
        <w:rPr>
          <w:rFonts w:hint="default" w:ascii="仿宋_GB2312" w:hAnsi="仿宋_GB2312" w:eastAsia="仿宋_GB2312" w:cs="仿宋_GB2312"/>
          <w:kern w:val="1"/>
          <w:sz w:val="32"/>
          <w:szCs w:val="32"/>
          <w:u w:val="none"/>
          <w:lang w:val="en" w:eastAsia="zh-CN"/>
        </w:rPr>
        <w:t>/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年1月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日，我局执法人员依法对当事人进行监督检查时发现，当事人店内货架上摆放有待售的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>“盛世奇景”、“孝感天地”、“松鹤长青”、“万福”、“松竹梅”等多款骨灰盒殡仪用品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，当事人未对上述商品进行标价，当事人涉嫌存在未按规定明码标价的行为。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>1月9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日当日，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执法人员报经分管局长批准，予以立案调查。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</w:rPr>
        <w:t>经查，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</w:rPr>
        <w:t>于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>2023年1月9日摆放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none"/>
        </w:rPr>
        <w:t>货架上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>销售“盛世奇景”、“孝感天地”、“松鹤长青”、“万福”、“松竹梅”等多款骨灰盒殡仪用品时，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没有对商品价格、计价单位等价格信息进行标明，上述行为满足未按规定明码标价的构成要件。本案中不涉及多收价款，没有违法所得。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上述事实，主要有以下证据证明：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1.当事人营业执照复印件、法定代表人王军的身份证复印件，证明当事人的主体资格；2.现场笔录、现场照片，证明当事人发生未按规定明码标价行为的现场情况；3.对法定代表人王军的询问笔录，证明当事人发生未按规定明码标价行为的事实情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05" w:leftChars="50" w:firstLine="537" w:firstLineChars="168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本局于20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年1月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日依法向当事人送达了《行政处罚告知书》（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</w:rPr>
        <w:t>津辰市监罚告〔202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FFFFFF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），当事人未提出陈述、申辩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和听证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意见。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u w:val="none"/>
        </w:rPr>
        <w:t>当事人上述行为已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违反了《中华人民共和国价格法》第十三条第一款：“经营者销售、收购商品和提供服务，应当按照政府价格主管部门的规定明码标价，注明商品的品名、产地、规格、等级、计价单位、价格或者服务的项目、收费标准等有关情况”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依据《中华人民共和国价格法》第四十二条“经营者违反明码标价规定的，责令改正，没收违法所得，可以并处五千元以下的罚款”和《价格违法行为行政处罚规定》第十三条第一项“经营者违反明码标价规定，有下列行为之一的，责令改正，没收违法所得，可以并处5000元以下的罚款：（一）不标明价格的”的规定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责令当事人立即改正违法行为，并对当事人给予以下行政处罚：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罚款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00元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（人民币：贰仟元整）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当事人应当自收到本行政处罚决定书之日起十五日内，将罚没款缴至中国工商银行天津分行、中国银行天津分行、中国农业银行天津分行、中国建设银行天津分行、天津银行、中国光大银行天津分行、浙商银行天津分行等市财政指定非税收入收缴银行对公网点。到期不缴纳罚款的，依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价格违法行为行政处罚规定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》第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二十一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条的规定，每日按罚款数额的百分之三加处罚款，并依法申请人民法院强制执行。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如你（单位）不服本行政处罚决定，可以在收到本行政处罚决定书之日起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六十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日内向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天津市北辰区人民政府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申请行政复议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。如对复议决定不服，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可以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依法向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" w:eastAsia="zh-CN"/>
        </w:rPr>
        <w:t>北辰区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法院提起行政诉讼。申请行政复议或者提起行政诉讼期间，行政处罚不停止执行。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      天津市北辰区市场监督管理局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01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 xml:space="preserve">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01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 w:firstLine="600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non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 w:firstLine="600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 w:firstLine="600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 w:firstLine="600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 w:firstLine="600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 w:firstLine="600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 w:firstLine="600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/>
        <w:jc w:val="both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 w:firstLine="600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640" w:firstLine="600"/>
        <w:jc w:val="center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right"/>
        <w:textAlignment w:val="auto"/>
        <w:rPr>
          <w:rFonts w:ascii="Times New Roman" w:hAnsi="Times New Roman" w:eastAsia="仿宋_GB2312" w:cs="仿宋"/>
          <w:color w:val="000000"/>
          <w:sz w:val="32"/>
          <w:szCs w:val="32"/>
          <w:u w:val="none"/>
        </w:rPr>
      </w:pPr>
    </w:p>
    <w:p>
      <w:pPr>
        <w:rPr>
          <w:u w:val="none"/>
        </w:rPr>
      </w:pPr>
      <w:bookmarkStart w:id="0" w:name="_GoBack"/>
      <w:bookmarkEnd w:id="0"/>
    </w:p>
    <w:sectPr>
      <w:pgSz w:w="11906" w:h="16838"/>
      <w:pgMar w:top="1400" w:right="1531" w:bottom="140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4462B"/>
    <w:rsid w:val="00174F8A"/>
    <w:rsid w:val="00190ED7"/>
    <w:rsid w:val="001F56AD"/>
    <w:rsid w:val="00205F3E"/>
    <w:rsid w:val="00207FCD"/>
    <w:rsid w:val="003A2768"/>
    <w:rsid w:val="004515B3"/>
    <w:rsid w:val="00611539"/>
    <w:rsid w:val="006F1E51"/>
    <w:rsid w:val="009A2E91"/>
    <w:rsid w:val="009D05FF"/>
    <w:rsid w:val="00AE6A98"/>
    <w:rsid w:val="00B60514"/>
    <w:rsid w:val="00C536D4"/>
    <w:rsid w:val="00C85316"/>
    <w:rsid w:val="00C9059B"/>
    <w:rsid w:val="00D067ED"/>
    <w:rsid w:val="00DC4553"/>
    <w:rsid w:val="1FFADA2C"/>
    <w:rsid w:val="6FFFB825"/>
    <w:rsid w:val="77C7AB68"/>
    <w:rsid w:val="DF7F5A19"/>
    <w:rsid w:val="FF39F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1568</Characters>
  <Lines>13</Lines>
  <Paragraphs>3</Paragraphs>
  <TotalTime>2</TotalTime>
  <ScaleCrop>false</ScaleCrop>
  <LinksUpToDate>false</LinksUpToDate>
  <CharactersWithSpaces>1839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2019-04-02T22:52:00Z</dcterms:created>
  <dc:creator>赵明宇</dc:creator>
  <cp:lastModifiedBy>admin</cp:lastModifiedBy>
  <cp:lastPrinted>2020-01-29T23:00:00Z</cp:lastPrinted>
  <dcterms:modified xsi:type="dcterms:W3CDTF">2023-02-17T08:43:04Z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