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100</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仿宋" w:eastAsia="仿宋_GB2312" w:cs="仿宋"/>
          <w:sz w:val="32"/>
          <w:szCs w:val="32"/>
          <w:u w:val="none"/>
        </w:rPr>
        <w:t>天津市北辰区鑫之福珠宝店（潘裕峰）</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92120113MA81Y8K31T</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天津市北辰区果园新村街道金福隆大厦商场三层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w:t>
      </w:r>
      <w:r>
        <w:rPr>
          <w:rFonts w:hint="eastAsia" w:ascii="仿宋_GB2312" w:hAnsi="仿宋" w:eastAsia="仿宋_GB2312" w:cs="仿宋"/>
          <w:sz w:val="32"/>
          <w:szCs w:val="32"/>
          <w:u w:val="none"/>
        </w:rPr>
        <w:t>潘裕峰</w:t>
      </w:r>
      <w:r>
        <w:rPr>
          <w:rFonts w:hint="eastAsia" w:ascii="Times New Roman" w:hAnsi="Times New Roman" w:eastAsia="仿宋_GB2312" w:cs="Mongolian Baiti"/>
          <w:kern w:val="1"/>
          <w:sz w:val="32"/>
          <w:szCs w:val="32"/>
          <w:u w:val="none"/>
        </w:rPr>
        <w:t xml:space="preserve">                                          </w:t>
      </w:r>
    </w:p>
    <w:p>
      <w:pPr>
        <w:snapToGrid w:val="0"/>
        <w:spacing w:line="48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2023年2月21日，我局执法人员依法对当事人处进行现场检查发现，当事人使用型号为JD200.3、出厂编号为160401、生产厂家为沈阳神宇龙腾天平有限公司的电子天平用于为消费者称量金饰，当事人现场无法提供有效的检定证书。经核实，当事人无法提供有效的检定证书。当事人涉嫌使用未按照规定申请检定的强制检定计量器具，2023年2月24日，执法人员报经分管局长批准，予以立案调查。</w:t>
      </w:r>
    </w:p>
    <w:p>
      <w:pPr>
        <w:spacing w:line="48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经查明，当事人使用型号为JD200.3、出厂编号为160401、生产厂家为沈阳神宇龙腾天平有限公司的电子天平用于为消费者称量金饰，当事人无法提供有效的检定证书，上述行为满足使用未按照规定申请检定的强制检定计量器具的构成要件。</w:t>
      </w:r>
    </w:p>
    <w:p>
      <w:pPr>
        <w:spacing w:line="48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事实，主要有以下证据证明：1.当事人的营业执照、经营者潘裕峰的身份证复印件；2.现场笔录、现场照片打印件；3.对陈庆洪的询问笔录、陈庆洪身份证复印件、授权委托书；4.当事人提供的《检定证书》（证书编号：力2023-015号）复印件；5.《市场监管总局关于发布实施强制管理的计量器具目录的公告》和《实施强制管理的计量器具目录》打印件。</w:t>
      </w:r>
    </w:p>
    <w:p>
      <w:pPr>
        <w:spacing w:line="480" w:lineRule="exact"/>
        <w:ind w:firstLine="640" w:firstLineChars="200"/>
        <w:rPr>
          <w:rFonts w:ascii="仿宋_GB2312" w:eastAsia="仿宋_GB2312" w:cs="楷体_GB2312" w:hAnsiTheme="minorEastAsia"/>
          <w:color w:val="000000"/>
          <w:sz w:val="32"/>
          <w:szCs w:val="32"/>
          <w:u w:val="none"/>
        </w:rPr>
      </w:pPr>
      <w:r>
        <w:rPr>
          <w:rFonts w:hint="eastAsia" w:ascii="仿宋_GB2312" w:eastAsia="仿宋_GB2312" w:cs="楷体_GB2312" w:hAnsiTheme="minorEastAsia"/>
          <w:color w:val="000000"/>
          <w:sz w:val="32"/>
          <w:szCs w:val="32"/>
          <w:u w:val="none"/>
        </w:rPr>
        <w:t>本局于202</w:t>
      </w:r>
      <w:r>
        <w:rPr>
          <w:rFonts w:ascii="仿宋_GB2312" w:eastAsia="仿宋_GB2312" w:cs="楷体_GB2312" w:hAnsiTheme="minorEastAsia"/>
          <w:color w:val="000000"/>
          <w:sz w:val="32"/>
          <w:szCs w:val="32"/>
          <w:u w:val="none"/>
        </w:rPr>
        <w:t>3</w:t>
      </w:r>
      <w:r>
        <w:rPr>
          <w:rFonts w:hint="eastAsia" w:ascii="仿宋_GB2312" w:eastAsia="仿宋_GB2312" w:cs="楷体_GB2312" w:hAnsiTheme="minorEastAsia"/>
          <w:color w:val="000000"/>
          <w:sz w:val="32"/>
          <w:szCs w:val="32"/>
          <w:u w:val="none"/>
        </w:rPr>
        <w:t>年</w:t>
      </w:r>
      <w:r>
        <w:rPr>
          <w:rFonts w:ascii="仿宋_GB2312" w:eastAsia="仿宋_GB2312" w:cs="楷体_GB2312" w:hAnsiTheme="minorEastAsia"/>
          <w:color w:val="000000"/>
          <w:sz w:val="32"/>
          <w:szCs w:val="32"/>
          <w:u w:val="none"/>
        </w:rPr>
        <w:t>3</w:t>
      </w:r>
      <w:r>
        <w:rPr>
          <w:rFonts w:hint="eastAsia" w:ascii="仿宋_GB2312" w:eastAsia="仿宋_GB2312" w:cs="楷体_GB2312" w:hAnsiTheme="minorEastAsia"/>
          <w:color w:val="000000"/>
          <w:sz w:val="32"/>
          <w:szCs w:val="32"/>
          <w:u w:val="none"/>
        </w:rPr>
        <w:t>月</w:t>
      </w:r>
      <w:r>
        <w:rPr>
          <w:rFonts w:ascii="仿宋_GB2312" w:eastAsia="仿宋_GB2312" w:cs="楷体_GB2312" w:hAnsiTheme="minorEastAsia"/>
          <w:color w:val="000000"/>
          <w:sz w:val="32"/>
          <w:szCs w:val="32"/>
          <w:u w:val="none"/>
        </w:rPr>
        <w:t>21</w:t>
      </w:r>
      <w:r>
        <w:rPr>
          <w:rFonts w:hint="eastAsia" w:ascii="仿宋_GB2312" w:eastAsia="仿宋_GB2312" w:cs="楷体_GB2312" w:hAnsiTheme="minorEastAsia"/>
          <w:color w:val="000000"/>
          <w:sz w:val="32"/>
          <w:szCs w:val="32"/>
          <w:u w:val="none"/>
        </w:rPr>
        <w:t>日依法向当事人送达了《行政处罚告知书》（</w:t>
      </w:r>
      <w:r>
        <w:rPr>
          <w:rFonts w:hint="eastAsia" w:ascii="仿宋_GB2312" w:eastAsia="仿宋_GB2312" w:cs="Arial" w:hAnsiTheme="minorEastAsia"/>
          <w:color w:val="000000"/>
          <w:sz w:val="32"/>
          <w:szCs w:val="32"/>
          <w:u w:val="none"/>
          <w:shd w:val="clear" w:color="auto" w:fill="FFFFFF"/>
        </w:rPr>
        <w:t>津辰市监罚告〔202</w:t>
      </w:r>
      <w:r>
        <w:rPr>
          <w:rFonts w:ascii="仿宋_GB2312" w:eastAsia="仿宋_GB2312" w:cs="Arial" w:hAnsiTheme="minorEastAsia"/>
          <w:color w:val="000000"/>
          <w:sz w:val="32"/>
          <w:szCs w:val="32"/>
          <w:u w:val="none"/>
          <w:shd w:val="clear" w:color="auto" w:fill="FFFFFF"/>
        </w:rPr>
        <w:t>3</w:t>
      </w:r>
      <w:r>
        <w:rPr>
          <w:rFonts w:hint="eastAsia" w:ascii="仿宋_GB2312" w:eastAsia="仿宋_GB2312" w:cs="Arial" w:hAnsiTheme="minorEastAsia"/>
          <w:color w:val="000000"/>
          <w:sz w:val="32"/>
          <w:szCs w:val="32"/>
          <w:u w:val="none"/>
          <w:shd w:val="clear" w:color="auto" w:fill="FFFFFF"/>
        </w:rPr>
        <w:t>〕</w:t>
      </w:r>
      <w:r>
        <w:rPr>
          <w:rFonts w:ascii="仿宋_GB2312" w:eastAsia="仿宋_GB2312" w:cs="Arial" w:hAnsiTheme="minorEastAsia"/>
          <w:color w:val="000000"/>
          <w:sz w:val="32"/>
          <w:szCs w:val="32"/>
          <w:u w:val="none"/>
          <w:shd w:val="clear" w:color="auto" w:fill="FFFFFF"/>
        </w:rPr>
        <w:t>100</w:t>
      </w:r>
      <w:r>
        <w:rPr>
          <w:rFonts w:hint="eastAsia" w:ascii="仿宋_GB2312" w:eastAsia="仿宋_GB2312" w:cs="Arial" w:hAnsiTheme="minorEastAsia"/>
          <w:color w:val="000000"/>
          <w:sz w:val="32"/>
          <w:szCs w:val="32"/>
          <w:u w:val="none"/>
          <w:shd w:val="clear" w:color="auto" w:fill="FFFFFF"/>
        </w:rPr>
        <w:t>号</w:t>
      </w:r>
      <w:r>
        <w:rPr>
          <w:rFonts w:hint="eastAsia" w:ascii="仿宋_GB2312" w:eastAsia="仿宋_GB2312" w:cs="楷体_GB2312" w:hAnsiTheme="minorEastAsia"/>
          <w:color w:val="000000"/>
          <w:sz w:val="32"/>
          <w:szCs w:val="32"/>
          <w:u w:val="none"/>
        </w:rPr>
        <w:t>），当事人</w:t>
      </w:r>
      <w:r>
        <w:rPr>
          <w:rFonts w:hint="eastAsia" w:ascii="仿宋_GB2312" w:eastAsia="仿宋_GB2312" w:hAnsiTheme="minorEastAsia"/>
          <w:color w:val="000000"/>
          <w:sz w:val="32"/>
          <w:szCs w:val="32"/>
          <w:u w:val="none"/>
        </w:rPr>
        <w:t>未</w:t>
      </w:r>
      <w:r>
        <w:rPr>
          <w:rFonts w:hint="eastAsia" w:ascii="仿宋_GB2312" w:eastAsia="仿宋_GB2312" w:cs="楷体_GB2312" w:hAnsiTheme="minorEastAsia"/>
          <w:color w:val="000000"/>
          <w:sz w:val="32"/>
          <w:szCs w:val="32"/>
          <w:u w:val="none"/>
        </w:rPr>
        <w:t>提出陈述、申辩意见</w:t>
      </w:r>
      <w:r>
        <w:rPr>
          <w:rFonts w:hint="eastAsia" w:ascii="仿宋_GB2312" w:eastAsia="仿宋_GB2312" w:hAnsiTheme="minorEastAsia"/>
          <w:color w:val="000000"/>
          <w:sz w:val="32"/>
          <w:szCs w:val="32"/>
          <w:u w:val="none"/>
        </w:rPr>
        <w:t>。</w:t>
      </w:r>
    </w:p>
    <w:p>
      <w:pPr>
        <w:spacing w:line="48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中华人民共和国计量法实施细则》第十一条第一款：“使用实行强制检定的计量标准的单位和个人，应当向主持考核该项计量标准的有关人民政府计量行政部门申请周期检定。”的规定。</w:t>
      </w:r>
    </w:p>
    <w:p>
      <w:pPr>
        <w:pStyle w:val="4"/>
        <w:snapToGrid/>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的规定，责令当事人改正违法行为，给予行政处罚：罚款500元。</w:t>
      </w:r>
    </w:p>
    <w:p>
      <w:pPr>
        <w:pStyle w:val="4"/>
        <w:snapToGrid/>
        <w:spacing w:line="480" w:lineRule="exact"/>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23</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3</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29</w:t>
      </w:r>
      <w:r>
        <w:rPr>
          <w:rFonts w:hint="eastAsia" w:ascii="Times New Roman" w:hAnsi="Times New Roman" w:eastAsia="仿宋_GB2312" w:cs="仿宋"/>
          <w:color w:val="000000"/>
          <w:sz w:val="32"/>
          <w:szCs w:val="32"/>
          <w:u w:val="none"/>
        </w:rPr>
        <w:t>日</w:t>
      </w:r>
      <w:bookmarkStart w:id="0" w:name="_GoBack"/>
      <w:bookmarkEnd w:id="0"/>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B3D3C"/>
    <w:rsid w:val="001E6AED"/>
    <w:rsid w:val="001F6AE5"/>
    <w:rsid w:val="002274E5"/>
    <w:rsid w:val="00233A89"/>
    <w:rsid w:val="0034295B"/>
    <w:rsid w:val="003527CE"/>
    <w:rsid w:val="00362B6B"/>
    <w:rsid w:val="0040401A"/>
    <w:rsid w:val="004E13E0"/>
    <w:rsid w:val="00530B54"/>
    <w:rsid w:val="0053493C"/>
    <w:rsid w:val="00545C83"/>
    <w:rsid w:val="00577F87"/>
    <w:rsid w:val="00633C9A"/>
    <w:rsid w:val="006B3786"/>
    <w:rsid w:val="007F239A"/>
    <w:rsid w:val="0086204B"/>
    <w:rsid w:val="00863873"/>
    <w:rsid w:val="00974BBD"/>
    <w:rsid w:val="0099379E"/>
    <w:rsid w:val="00997CE8"/>
    <w:rsid w:val="009A35EA"/>
    <w:rsid w:val="00B02A9D"/>
    <w:rsid w:val="00BF6C69"/>
    <w:rsid w:val="00C26503"/>
    <w:rsid w:val="00C90FDC"/>
    <w:rsid w:val="00CF1DB9"/>
    <w:rsid w:val="00D0151E"/>
    <w:rsid w:val="00D170A5"/>
    <w:rsid w:val="00D17173"/>
    <w:rsid w:val="00DF041A"/>
    <w:rsid w:val="00DF1FE6"/>
    <w:rsid w:val="00E666C0"/>
    <w:rsid w:val="00F67181"/>
    <w:rsid w:val="00FB3D65"/>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FEBFC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1218</Characters>
  <Lines>10</Lines>
  <Paragraphs>2</Paragraphs>
  <TotalTime>122</TotalTime>
  <ScaleCrop>false</ScaleCrop>
  <LinksUpToDate>false</LinksUpToDate>
  <CharactersWithSpaces>1429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2022-08-11T09:08:00Z</cp:lastPrinted>
  <dcterms:modified xsi:type="dcterms:W3CDTF">2023-05-23T08:58:43Z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