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color w:val="000000"/>
          <w:sz w:val="44"/>
          <w:szCs w:val="44"/>
          <w:u w:val="none" w:color="auto"/>
        </w:rPr>
      </w:pPr>
      <w:r>
        <w:rPr>
          <w:rFonts w:hint="eastAsia" w:ascii="Times New Roman" w:hAnsi="Times New Roman" w:eastAsia="方正小标宋简体" w:cs="方正小标宋简体"/>
          <w:bCs/>
          <w:color w:val="000000"/>
          <w:sz w:val="44"/>
          <w:szCs w:val="44"/>
          <w:u w:val="none" w:color="auto"/>
          <w:lang w:eastAsia="zh-CN"/>
        </w:rPr>
        <w:t>天津市</w:t>
      </w:r>
      <w:r>
        <w:rPr>
          <w:rFonts w:hint="eastAsia" w:ascii="Times New Roman" w:hAnsi="Times New Roman" w:eastAsia="方正小标宋简体" w:cs="方正小标宋简体"/>
          <w:bCs/>
          <w:color w:val="000000"/>
          <w:sz w:val="44"/>
          <w:szCs w:val="44"/>
          <w:u w:val="none" w:color="auto"/>
        </w:rPr>
        <w:t>北辰区市场监督管理局</w:t>
      </w:r>
    </w:p>
    <w:p>
      <w:pPr>
        <w:spacing w:line="640" w:lineRule="exact"/>
        <w:jc w:val="center"/>
        <w:rPr>
          <w:rFonts w:ascii="Times New Roman" w:hAnsi="Times New Roman" w:eastAsia="方正小标宋简体" w:cs="方正小标宋简体"/>
          <w:bCs/>
          <w:color w:val="000000"/>
          <w:sz w:val="44"/>
          <w:szCs w:val="44"/>
          <w:u w:val="none" w:color="auto"/>
        </w:rPr>
      </w:pPr>
      <w:r>
        <w:rPr>
          <w:rFonts w:hint="eastAsia" w:ascii="Times New Roman" w:hAnsi="Times New Roman" w:eastAsia="方正小标宋简体" w:cs="方正小标宋简体"/>
          <w:bCs/>
          <w:color w:val="000000"/>
          <w:sz w:val="44"/>
          <w:szCs w:val="44"/>
          <w:u w:val="none" w:color="auto"/>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color="auto"/>
        </w:rPr>
      </w:pPr>
      <w:r>
        <w:rPr>
          <w:rFonts w:hint="eastAsia" w:ascii="Times New Roman" w:hAnsi="Times New Roman" w:eastAsia="仿宋_GB2312" w:cs="仿宋"/>
          <w:color w:val="000000"/>
          <w:sz w:val="32"/>
          <w:szCs w:val="32"/>
          <w:u w:val="none" w:color="auto"/>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4" name="直接箭头连接符 14"/>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IteKJraAAAACwEAAA8AAAAAAAAAAQAgAAAAOAAAAGRycy9kb3du&#10;cmV2LnhtbFBLAQIUABQAAAAIAIdO4kBXmmBI5wEAAKIDAAAOAAAAAAAAAAEAIAAAAD8BAABkcnMv&#10;ZTJvRG9jLnhtbFBLBQYAAAAABgAGAFkBAACYBQ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color="auto"/>
        </w:rPr>
        <w:t>津辰</w:t>
      </w:r>
      <w:r>
        <w:rPr>
          <w:rFonts w:hint="eastAsia" w:ascii="Times New Roman" w:hAnsi="Times New Roman" w:eastAsia="仿宋_GB2312" w:cs="仿宋"/>
          <w:color w:val="000000"/>
          <w:sz w:val="32"/>
          <w:szCs w:val="32"/>
          <w:u w:val="none" w:color="auto"/>
        </w:rPr>
        <w:t>市监</w:t>
      </w:r>
      <w:r>
        <w:rPr>
          <w:rFonts w:hint="eastAsia" w:ascii="Times New Roman" w:hAnsi="Times New Roman" w:eastAsia="仿宋_GB2312" w:cs="仿宋"/>
          <w:color w:val="000000"/>
          <w:sz w:val="32"/>
          <w:szCs w:val="32"/>
          <w:u w:val="none" w:color="auto"/>
          <w:lang w:eastAsia="zh-CN"/>
        </w:rPr>
        <w:t>处罚</w:t>
      </w:r>
      <w:r>
        <w:rPr>
          <w:rFonts w:hint="eastAsia" w:ascii="Times New Roman" w:hAnsi="Times New Roman" w:eastAsia="仿宋_GB2312" w:cs="仿宋"/>
          <w:color w:val="000000"/>
          <w:sz w:val="32"/>
          <w:szCs w:val="32"/>
          <w:u w:val="none" w:color="auto"/>
        </w:rPr>
        <w:t>〔</w:t>
      </w:r>
      <w:r>
        <w:rPr>
          <w:rFonts w:hint="eastAsia" w:ascii="Times New Roman" w:hAnsi="Times New Roman" w:eastAsia="仿宋_GB2312" w:cs="仿宋"/>
          <w:color w:val="000000"/>
          <w:sz w:val="32"/>
          <w:szCs w:val="32"/>
          <w:u w:val="none" w:color="auto"/>
        </w:rPr>
        <w:t>20</w:t>
      </w:r>
      <w:r>
        <w:rPr>
          <w:rFonts w:hint="eastAsia" w:ascii="Times New Roman" w:hAnsi="Times New Roman" w:eastAsia="仿宋_GB2312" w:cs="仿宋"/>
          <w:color w:val="000000"/>
          <w:sz w:val="32"/>
          <w:szCs w:val="32"/>
          <w:u w:val="none" w:color="auto"/>
          <w:lang w:val="en-US" w:eastAsia="zh-CN"/>
        </w:rPr>
        <w:t>23</w:t>
      </w:r>
      <w:r>
        <w:rPr>
          <w:rFonts w:hint="eastAsia" w:ascii="Times New Roman" w:hAnsi="Times New Roman" w:eastAsia="仿宋_GB2312" w:cs="仿宋"/>
          <w:color w:val="000000"/>
          <w:sz w:val="32"/>
          <w:szCs w:val="32"/>
          <w:u w:val="none" w:color="auto"/>
        </w:rPr>
        <w:t>〕</w:t>
      </w:r>
      <w:r>
        <w:rPr>
          <w:rFonts w:hint="eastAsia" w:ascii="Times New Roman" w:hAnsi="Times New Roman" w:eastAsia="仿宋_GB2312" w:cs="仿宋"/>
          <w:color w:val="000000"/>
          <w:sz w:val="32"/>
          <w:szCs w:val="32"/>
          <w:highlight w:val="none"/>
          <w:u w:val="none" w:color="auto"/>
          <w:lang w:val="en-US" w:eastAsia="zh-CN"/>
        </w:rPr>
        <w:t>122</w:t>
      </w:r>
      <w:r>
        <w:rPr>
          <w:rFonts w:hint="eastAsia" w:ascii="Times New Roman" w:hAnsi="Times New Roman" w:eastAsia="仿宋_GB2312" w:cs="仿宋"/>
          <w:color w:val="000000"/>
          <w:sz w:val="32"/>
          <w:szCs w:val="32"/>
          <w:u w:val="none" w:color="auto"/>
        </w:rPr>
        <w:t>号</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Mongolian Baiti"/>
          <w:kern w:val="1"/>
          <w:sz w:val="32"/>
          <w:szCs w:val="32"/>
          <w:u w:val="none" w:color="auto"/>
          <w:lang w:val="en-US" w:eastAsia="zh-CN"/>
        </w:rPr>
      </w:pPr>
      <w:r>
        <w:rPr>
          <w:rFonts w:hint="eastAsia" w:ascii="Times New Roman" w:hAnsi="Times New Roman" w:eastAsia="仿宋_GB2312" w:cs="微软雅黑"/>
          <w:kern w:val="1"/>
          <w:sz w:val="32"/>
          <w:szCs w:val="32"/>
          <w:u w:val="none" w:color="auto"/>
        </w:rPr>
        <w:t>当事人</w:t>
      </w:r>
      <w:r>
        <w:rPr>
          <w:rFonts w:hint="eastAsia" w:ascii="Times New Roman" w:hAnsi="Times New Roman" w:eastAsia="仿宋_GB2312" w:cs="Mongolian Baiti"/>
          <w:kern w:val="1"/>
          <w:sz w:val="32"/>
          <w:szCs w:val="32"/>
          <w:u w:val="none" w:color="auto"/>
        </w:rPr>
        <w:t>：</w:t>
      </w:r>
      <w:r>
        <w:rPr>
          <w:rFonts w:hint="eastAsia" w:ascii="仿宋_GB2312" w:hAnsi="Mongolian Baiti" w:eastAsia="仿宋_GB2312" w:cs="Mongolian Baiti"/>
          <w:kern w:val="1"/>
          <w:sz w:val="32"/>
          <w:szCs w:val="32"/>
          <w:u w:val="none" w:color="auto"/>
          <w:lang w:eastAsia="zh-CN"/>
        </w:rPr>
        <w:t>天津津福隆生活超市有限责任公司</w:t>
      </w:r>
      <w:r>
        <w:rPr>
          <w:rFonts w:hint="eastAsia" w:ascii="Times New Roman" w:hAnsi="Times New Roman" w:eastAsia="仿宋_GB2312" w:cs="Mongolian Baiti"/>
          <w:kern w:val="1"/>
          <w:sz w:val="32"/>
          <w:szCs w:val="32"/>
          <w:u w:val="none" w:color="auto"/>
        </w:rPr>
        <w:t xml:space="preserve">      </w:t>
      </w:r>
      <w:r>
        <w:rPr>
          <w:rFonts w:hint="eastAsia" w:ascii="Times New Roman" w:hAnsi="Times New Roman" w:eastAsia="仿宋_GB2312" w:cs="Mongolian Baiti"/>
          <w:kern w:val="1"/>
          <w:sz w:val="32"/>
          <w:szCs w:val="32"/>
          <w:u w:val="non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140" w:hanging="140"/>
        <w:textAlignment w:val="auto"/>
        <w:rPr>
          <w:rFonts w:ascii="Times New Roman" w:hAnsi="Times New Roman" w:eastAsia="仿宋_GB2312" w:cs="Mongolian Baiti"/>
          <w:kern w:val="1"/>
          <w:sz w:val="32"/>
          <w:szCs w:val="32"/>
          <w:u w:val="none" w:color="auto"/>
        </w:rPr>
      </w:pPr>
      <w:r>
        <w:rPr>
          <w:rFonts w:hint="eastAsia" w:ascii="Times New Roman" w:hAnsi="Times New Roman" w:eastAsia="仿宋_GB2312" w:cs="Mongolian Baiti"/>
          <w:kern w:val="1"/>
          <w:sz w:val="32"/>
          <w:szCs w:val="32"/>
          <w:u w:val="none" w:color="auto"/>
        </w:rPr>
        <w:t xml:space="preserve">主体资格证照名称： 营业执照                            </w:t>
      </w:r>
    </w:p>
    <w:p>
      <w:pPr>
        <w:keepNext w:val="0"/>
        <w:keepLines w:val="0"/>
        <w:pageBreakBefore w:val="0"/>
        <w:widowControl w:val="0"/>
        <w:kinsoku/>
        <w:wordWrap/>
        <w:overflowPunct/>
        <w:topLinePunct w:val="0"/>
        <w:autoSpaceDE/>
        <w:autoSpaceDN/>
        <w:bidi w:val="0"/>
        <w:adjustRightInd/>
        <w:snapToGrid/>
        <w:spacing w:line="540" w:lineRule="exact"/>
        <w:ind w:left="140" w:hanging="140"/>
        <w:textAlignment w:val="auto"/>
        <w:rPr>
          <w:rFonts w:hint="default" w:ascii="Times New Roman" w:hAnsi="Times New Roman" w:eastAsia="仿宋_GB2312" w:cs="Times New Roman"/>
          <w:kern w:val="1"/>
          <w:sz w:val="32"/>
          <w:szCs w:val="32"/>
          <w:u w:val="none" w:color="auto"/>
        </w:rPr>
      </w:pPr>
      <w:r>
        <w:rPr>
          <w:rFonts w:hint="eastAsia" w:ascii="Times New Roman" w:hAnsi="Times New Roman" w:eastAsia="仿宋_GB2312" w:cs="Mongolian Baiti"/>
          <w:kern w:val="1"/>
          <w:sz w:val="32"/>
          <w:szCs w:val="32"/>
          <w:u w:val="none" w:color="auto"/>
        </w:rPr>
        <w:t>注册号</w:t>
      </w:r>
      <w:r>
        <w:rPr>
          <w:rFonts w:hint="eastAsia" w:ascii="Times New Roman" w:hAnsi="Times New Roman" w:eastAsia="仿宋_GB2312" w:cs="Mongolian Baiti"/>
          <w:kern w:val="1"/>
          <w:sz w:val="32"/>
          <w:szCs w:val="32"/>
          <w:u w:val="none" w:color="auto"/>
          <w:lang w:eastAsia="zh-CN"/>
        </w:rPr>
        <w:t>：</w:t>
      </w:r>
      <w:r>
        <w:rPr>
          <w:rFonts w:hint="eastAsia" w:ascii="Times New Roman" w:hAnsi="Times New Roman" w:eastAsia="仿宋_GB2312" w:cs="Times New Roman"/>
          <w:kern w:val="1"/>
          <w:sz w:val="32"/>
          <w:szCs w:val="32"/>
          <w:u w:val="none" w:color="auto"/>
          <w:lang w:val="en-US" w:eastAsia="zh-CN"/>
        </w:rPr>
        <w:t>91120113MAC08U0D0E</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eastAsia="仿宋_GB2312" w:cs="Mongolian Baiti"/>
          <w:kern w:val="1"/>
          <w:sz w:val="32"/>
          <w:szCs w:val="32"/>
          <w:u w:val="none" w:color="auto"/>
        </w:rPr>
      </w:pPr>
      <w:r>
        <w:rPr>
          <w:rFonts w:hint="eastAsia" w:ascii="仿宋_GB2312" w:hAnsi="仿宋" w:eastAsia="仿宋_GB2312"/>
          <w:sz w:val="32"/>
          <w:szCs w:val="32"/>
          <w:u w:val="none" w:color="auto"/>
          <w:lang w:eastAsia="zh-CN"/>
        </w:rPr>
        <w:t xml:space="preserve">住所: </w:t>
      </w:r>
      <w:r>
        <w:rPr>
          <w:rFonts w:hint="eastAsia" w:ascii="仿宋_GB2312" w:hAnsi="Mongolian Baiti" w:eastAsia="仿宋_GB2312" w:cs="Mongolian Baiti"/>
          <w:kern w:val="1"/>
          <w:sz w:val="32"/>
          <w:szCs w:val="32"/>
          <w:u w:val="none" w:color="auto"/>
          <w:lang w:val="en-US" w:eastAsia="zh-CN"/>
        </w:rPr>
        <w:t>天津市北辰区普东街贵富道1号101</w:t>
      </w:r>
      <w:r>
        <w:rPr>
          <w:rFonts w:hint="eastAsia" w:ascii="仿宋_GB2312" w:eastAsia="仿宋_GB2312"/>
          <w:sz w:val="32"/>
          <w:szCs w:val="32"/>
          <w:u w:val="none" w:color="auto"/>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140" w:hanging="140"/>
        <w:textAlignment w:val="auto"/>
        <w:rPr>
          <w:rFonts w:ascii="Times New Roman" w:hAnsi="Times New Roman" w:eastAsia="仿宋_GB2312" w:cs="Mongolian Baiti"/>
          <w:kern w:val="1"/>
          <w:sz w:val="32"/>
          <w:szCs w:val="32"/>
          <w:u w:val="none" w:color="auto"/>
        </w:rPr>
      </w:pPr>
      <w:r>
        <w:rPr>
          <w:rFonts w:hint="eastAsia" w:ascii="仿宋_GB2312" w:hAnsi="仿宋" w:eastAsia="仿宋_GB2312"/>
          <w:sz w:val="32"/>
          <w:szCs w:val="32"/>
          <w:u w:val="none" w:color="auto"/>
          <w:lang w:eastAsia="zh-CN"/>
        </w:rPr>
        <w:t>法定代表人：</w:t>
      </w:r>
      <w:r>
        <w:rPr>
          <w:rFonts w:hint="eastAsia" w:ascii="仿宋_GB2312" w:hAnsi="Mongolian Baiti" w:eastAsia="仿宋_GB2312" w:cs="Mongolian Baiti"/>
          <w:kern w:val="1"/>
          <w:sz w:val="32"/>
          <w:szCs w:val="32"/>
          <w:u w:val="none" w:color="auto"/>
          <w:lang w:eastAsia="zh-CN"/>
        </w:rPr>
        <w:t>林建青</w:t>
      </w:r>
      <w:r>
        <w:rPr>
          <w:rFonts w:hint="eastAsia" w:ascii="仿宋_GB2312" w:eastAsia="仿宋_GB2312"/>
          <w:sz w:val="32"/>
          <w:szCs w:val="32"/>
          <w:u w:val="none" w:color="auto"/>
        </w:rPr>
        <w:t xml:space="preserve">              </w:t>
      </w:r>
      <w:r>
        <w:rPr>
          <w:rFonts w:hint="eastAsia" w:ascii="Times New Roman" w:hAnsi="Times New Roman" w:eastAsia="仿宋_GB2312" w:cs="Mongolian Baiti"/>
          <w:kern w:val="1"/>
          <w:sz w:val="32"/>
          <w:szCs w:val="32"/>
          <w:u w:val="none" w:color="auto"/>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 w:eastAsia="仿宋_GB2312"/>
          <w:sz w:val="32"/>
          <w:szCs w:val="32"/>
          <w:u w:val="none" w:color="auto"/>
          <w:lang w:val="en-US" w:eastAsia="zh-CN"/>
        </w:rPr>
      </w:pPr>
      <w:r>
        <w:rPr>
          <w:rFonts w:hint="eastAsia" w:ascii="仿宋_GB2312" w:hAnsi="仿宋" w:eastAsia="仿宋_GB2312" w:cs="Times New Roman"/>
          <w:sz w:val="32"/>
          <w:szCs w:val="32"/>
          <w:u w:val="none" w:color="auto"/>
          <w:lang w:eastAsia="zh-CN"/>
        </w:rPr>
        <w:t>20</w:t>
      </w:r>
      <w:r>
        <w:rPr>
          <w:rFonts w:hint="eastAsia" w:ascii="仿宋_GB2312" w:hAnsi="仿宋" w:eastAsia="仿宋_GB2312" w:cs="Times New Roman"/>
          <w:sz w:val="32"/>
          <w:szCs w:val="32"/>
          <w:u w:val="none" w:color="auto"/>
          <w:lang w:val="en-US" w:eastAsia="zh-CN"/>
        </w:rPr>
        <w:t>23</w:t>
      </w:r>
      <w:r>
        <w:rPr>
          <w:rFonts w:hint="eastAsia" w:ascii="仿宋_GB2312" w:hAnsi="仿宋" w:eastAsia="仿宋_GB2312" w:cs="Times New Roman"/>
          <w:sz w:val="32"/>
          <w:szCs w:val="32"/>
          <w:u w:val="none" w:color="auto"/>
          <w:lang w:eastAsia="zh-CN"/>
        </w:rPr>
        <w:t>年</w:t>
      </w:r>
      <w:r>
        <w:rPr>
          <w:rFonts w:hint="eastAsia" w:ascii="仿宋_GB2312" w:hAnsi="仿宋" w:eastAsia="仿宋_GB2312" w:cs="Times New Roman"/>
          <w:sz w:val="32"/>
          <w:szCs w:val="32"/>
          <w:u w:val="none" w:color="auto"/>
          <w:lang w:val="en-US" w:eastAsia="zh-CN"/>
        </w:rPr>
        <w:t>2</w:t>
      </w:r>
      <w:r>
        <w:rPr>
          <w:rFonts w:hint="eastAsia" w:ascii="仿宋_GB2312" w:hAnsi="仿宋" w:eastAsia="仿宋_GB2312" w:cs="Times New Roman"/>
          <w:sz w:val="32"/>
          <w:szCs w:val="32"/>
          <w:u w:val="none" w:color="auto"/>
          <w:lang w:eastAsia="zh-CN"/>
        </w:rPr>
        <w:t>月</w:t>
      </w:r>
      <w:r>
        <w:rPr>
          <w:rFonts w:hint="eastAsia" w:ascii="仿宋_GB2312" w:hAnsi="仿宋" w:eastAsia="仿宋_GB2312" w:cs="Times New Roman"/>
          <w:sz w:val="32"/>
          <w:szCs w:val="32"/>
          <w:u w:val="none" w:color="auto"/>
          <w:lang w:val="en-US" w:eastAsia="zh-CN"/>
        </w:rPr>
        <w:t>24</w:t>
      </w:r>
      <w:r>
        <w:rPr>
          <w:rFonts w:hint="eastAsia" w:ascii="仿宋_GB2312" w:hAnsi="仿宋" w:eastAsia="仿宋_GB2312" w:cs="Times New Roman"/>
          <w:sz w:val="32"/>
          <w:szCs w:val="32"/>
          <w:u w:val="none" w:color="auto"/>
          <w:lang w:eastAsia="zh-CN"/>
        </w:rPr>
        <w:t>日，我局接投诉称，消费者</w:t>
      </w:r>
      <w:r>
        <w:rPr>
          <w:rFonts w:hint="eastAsia" w:ascii="仿宋_GB2312" w:hAnsi="仿宋" w:eastAsia="仿宋_GB2312" w:cs="Times New Roman"/>
          <w:sz w:val="32"/>
          <w:szCs w:val="32"/>
          <w:u w:val="none" w:color="auto"/>
          <w:lang w:val="en-US" w:eastAsia="zh-CN"/>
        </w:rPr>
        <w:t>2月22日</w:t>
      </w:r>
      <w:r>
        <w:rPr>
          <w:rFonts w:hint="eastAsia" w:ascii="仿宋_GB2312" w:hAnsi="仿宋" w:eastAsia="仿宋_GB2312" w:cs="Times New Roman"/>
          <w:sz w:val="32"/>
          <w:szCs w:val="32"/>
          <w:u w:val="none" w:color="auto"/>
          <w:lang w:eastAsia="zh-CN"/>
        </w:rPr>
        <w:t>在名为“金福龙”的超市内购买了</w:t>
      </w:r>
      <w:r>
        <w:rPr>
          <w:rFonts w:hint="eastAsia" w:ascii="仿宋_GB2312" w:hAnsi="仿宋" w:eastAsia="仿宋_GB2312" w:cs="Times New Roman"/>
          <w:sz w:val="32"/>
          <w:szCs w:val="32"/>
          <w:u w:val="none" w:color="auto"/>
          <w:lang w:val="en-US" w:eastAsia="zh-CN"/>
        </w:rPr>
        <w:t>1袋“统一红烧牛肉面”</w:t>
      </w:r>
      <w:r>
        <w:rPr>
          <w:rFonts w:hint="eastAsia" w:ascii="仿宋_GB2312" w:hAnsi="仿宋" w:eastAsia="仿宋_GB2312" w:cs="Times New Roman"/>
          <w:sz w:val="32"/>
          <w:szCs w:val="32"/>
          <w:u w:val="none" w:color="auto"/>
          <w:lang w:eastAsia="zh-CN"/>
        </w:rPr>
        <w:t>（</w:t>
      </w:r>
      <w:r>
        <w:rPr>
          <w:rFonts w:hint="eastAsia" w:ascii="仿宋_GB2312" w:hAnsi="仿宋" w:eastAsia="仿宋_GB2312" w:cs="Times New Roman"/>
          <w:sz w:val="32"/>
          <w:szCs w:val="32"/>
          <w:u w:val="none" w:color="auto"/>
          <w:lang w:val="en-US" w:eastAsia="zh-CN"/>
        </w:rPr>
        <w:t>生产日期：20220801，保质期：6个月</w:t>
      </w:r>
      <w:r>
        <w:rPr>
          <w:rFonts w:hint="eastAsia" w:ascii="仿宋_GB2312" w:hAnsi="仿宋" w:eastAsia="仿宋_GB2312" w:cs="Times New Roman"/>
          <w:sz w:val="32"/>
          <w:szCs w:val="32"/>
          <w:u w:val="none" w:color="auto"/>
          <w:lang w:eastAsia="zh-CN"/>
        </w:rPr>
        <w:t>）和</w:t>
      </w:r>
      <w:r>
        <w:rPr>
          <w:rFonts w:hint="eastAsia" w:ascii="仿宋_GB2312" w:hAnsi="仿宋" w:eastAsia="仿宋_GB2312" w:cs="Times New Roman"/>
          <w:sz w:val="32"/>
          <w:szCs w:val="32"/>
          <w:u w:val="none" w:color="auto"/>
          <w:lang w:val="en-US" w:eastAsia="zh-CN"/>
        </w:rPr>
        <w:t>1支“金锣鸡肉肠”（生产日期：20220818，保质期：6个月）</w:t>
      </w:r>
      <w:r>
        <w:rPr>
          <w:rFonts w:hint="eastAsia" w:ascii="仿宋_GB2312" w:hAnsi="仿宋" w:eastAsia="仿宋_GB2312" w:cs="Times New Roman"/>
          <w:sz w:val="32"/>
          <w:szCs w:val="32"/>
          <w:u w:val="none" w:color="auto"/>
          <w:lang w:eastAsia="zh-CN"/>
        </w:rPr>
        <w:t>，食品已过期，望赔偿处理。 接投诉后</w:t>
      </w:r>
      <w:r>
        <w:rPr>
          <w:rFonts w:hint="eastAsia" w:ascii="仿宋_GB2312" w:hAnsi="仿宋" w:eastAsia="仿宋_GB2312" w:cs="Times New Roman"/>
          <w:sz w:val="32"/>
          <w:szCs w:val="32"/>
          <w:u w:val="none" w:color="auto"/>
        </w:rPr>
        <w:t>，我局</w:t>
      </w:r>
      <w:r>
        <w:rPr>
          <w:rFonts w:hint="eastAsia" w:ascii="仿宋_GB2312" w:hAnsi="仿宋" w:eastAsia="仿宋_GB2312" w:cs="Times New Roman"/>
          <w:sz w:val="32"/>
          <w:szCs w:val="32"/>
          <w:u w:val="none" w:color="auto"/>
          <w:lang w:eastAsia="zh-CN"/>
        </w:rPr>
        <w:t>执法人员</w:t>
      </w:r>
      <w:r>
        <w:rPr>
          <w:rFonts w:hint="eastAsia" w:ascii="仿宋_GB2312" w:hAnsi="仿宋" w:eastAsia="仿宋_GB2312" w:cs="Times New Roman"/>
          <w:sz w:val="32"/>
          <w:szCs w:val="32"/>
          <w:u w:val="none" w:color="auto"/>
          <w:lang w:val="en-US" w:eastAsia="zh-CN"/>
        </w:rPr>
        <w:t>于2月27日</w:t>
      </w:r>
      <w:r>
        <w:rPr>
          <w:rFonts w:hint="eastAsia" w:ascii="仿宋_GB2312" w:hAnsi="仿宋" w:eastAsia="仿宋_GB2312" w:cs="Times New Roman"/>
          <w:sz w:val="32"/>
          <w:szCs w:val="32"/>
          <w:u w:val="none" w:color="auto"/>
          <w:lang w:eastAsia="zh-CN"/>
        </w:rPr>
        <w:t>对当事人</w:t>
      </w:r>
      <w:r>
        <w:rPr>
          <w:rFonts w:hint="eastAsia" w:ascii="仿宋_GB2312" w:hAnsi="仿宋" w:eastAsia="仿宋_GB2312" w:cs="Times New Roman"/>
          <w:sz w:val="32"/>
          <w:szCs w:val="32"/>
          <w:u w:val="none" w:color="auto"/>
          <w:lang w:val="en-US" w:eastAsia="zh-CN"/>
        </w:rPr>
        <w:t>天津津福隆生活超市有限责任公司</w:t>
      </w:r>
      <w:r>
        <w:rPr>
          <w:rFonts w:hint="eastAsia" w:ascii="仿宋_GB2312" w:hAnsi="仿宋" w:eastAsia="仿宋_GB2312" w:cs="Times New Roman"/>
          <w:sz w:val="32"/>
          <w:szCs w:val="32"/>
          <w:u w:val="none" w:color="auto"/>
          <w:lang w:eastAsia="zh-CN"/>
        </w:rPr>
        <w:t>进行检查，现场发现其场所内待售的</w:t>
      </w:r>
      <w:r>
        <w:rPr>
          <w:rFonts w:hint="eastAsia" w:ascii="仿宋_GB2312" w:hAnsi="仿宋" w:eastAsia="仿宋_GB2312" w:cs="Times New Roman"/>
          <w:sz w:val="32"/>
          <w:szCs w:val="32"/>
          <w:u w:val="none" w:color="auto"/>
          <w:lang w:val="en-US" w:eastAsia="zh-CN"/>
        </w:rPr>
        <w:t>17袋“统一大面饼红烧牛肉面”</w:t>
      </w:r>
      <w:r>
        <w:rPr>
          <w:rFonts w:hint="eastAsia" w:ascii="仿宋_GB2312" w:hAnsi="仿宋" w:eastAsia="仿宋_GB2312" w:cs="Times New Roman"/>
          <w:sz w:val="32"/>
          <w:szCs w:val="32"/>
          <w:u w:val="none" w:color="auto"/>
          <w:lang w:eastAsia="zh-CN"/>
        </w:rPr>
        <w:t>（规格：</w:t>
      </w:r>
      <w:r>
        <w:rPr>
          <w:rFonts w:hint="eastAsia" w:ascii="仿宋_GB2312" w:hAnsi="仿宋" w:eastAsia="仿宋_GB2312" w:cs="Times New Roman"/>
          <w:sz w:val="32"/>
          <w:szCs w:val="32"/>
          <w:u w:val="none" w:color="auto"/>
          <w:lang w:val="en-US" w:eastAsia="zh-CN"/>
        </w:rPr>
        <w:t>136g/袋，生产日期：20220801，保质期：6个月</w:t>
      </w:r>
      <w:r>
        <w:rPr>
          <w:rFonts w:hint="eastAsia" w:ascii="仿宋_GB2312" w:hAnsi="仿宋" w:eastAsia="仿宋_GB2312" w:cs="Times New Roman"/>
          <w:sz w:val="32"/>
          <w:szCs w:val="32"/>
          <w:u w:val="none" w:color="auto"/>
          <w:lang w:eastAsia="zh-CN"/>
        </w:rPr>
        <w:t>）和</w:t>
      </w:r>
      <w:r>
        <w:rPr>
          <w:rFonts w:hint="eastAsia" w:ascii="仿宋_GB2312" w:hAnsi="仿宋" w:eastAsia="仿宋_GB2312" w:cs="Times New Roman"/>
          <w:sz w:val="32"/>
          <w:szCs w:val="32"/>
          <w:u w:val="none" w:color="auto"/>
          <w:lang w:val="en-US" w:eastAsia="zh-CN"/>
        </w:rPr>
        <w:t>9袋“统一大面饼香辣牛肉面”</w:t>
      </w:r>
      <w:r>
        <w:rPr>
          <w:rFonts w:hint="eastAsia" w:ascii="仿宋_GB2312" w:hAnsi="仿宋" w:eastAsia="仿宋_GB2312" w:cs="Times New Roman"/>
          <w:sz w:val="32"/>
          <w:szCs w:val="32"/>
          <w:u w:val="none" w:color="auto"/>
          <w:lang w:eastAsia="zh-CN"/>
        </w:rPr>
        <w:t>（规格：</w:t>
      </w:r>
      <w:r>
        <w:rPr>
          <w:rFonts w:hint="eastAsia" w:ascii="仿宋_GB2312" w:hAnsi="仿宋" w:eastAsia="仿宋_GB2312" w:cs="Times New Roman"/>
          <w:sz w:val="32"/>
          <w:szCs w:val="32"/>
          <w:u w:val="none" w:color="auto"/>
          <w:lang w:val="en-US" w:eastAsia="zh-CN"/>
        </w:rPr>
        <w:t>135g/袋，生产日期：20220822，保质期：6个月</w:t>
      </w:r>
      <w:r>
        <w:rPr>
          <w:rFonts w:hint="eastAsia" w:ascii="仿宋_GB2312" w:hAnsi="仿宋" w:eastAsia="仿宋_GB2312" w:cs="Times New Roman"/>
          <w:sz w:val="32"/>
          <w:szCs w:val="32"/>
          <w:u w:val="none" w:color="auto"/>
          <w:lang w:eastAsia="zh-CN"/>
        </w:rPr>
        <w:t>）均已超过包装标注保质期，同时对于现场未发现“金锣鸡肉肠”产品，当事人认可投诉人提供的材料，表示售出的</w:t>
      </w:r>
      <w:r>
        <w:rPr>
          <w:rFonts w:hint="eastAsia" w:ascii="仿宋_GB2312" w:hAnsi="仿宋" w:eastAsia="仿宋_GB2312" w:cs="Times New Roman"/>
          <w:sz w:val="32"/>
          <w:szCs w:val="32"/>
          <w:u w:val="none" w:color="auto"/>
          <w:lang w:val="en-US" w:eastAsia="zh-CN"/>
        </w:rPr>
        <w:t>1支金锣鸡肉肠（60g/支；生产日期20220818，保质期6个月）</w:t>
      </w:r>
      <w:r>
        <w:rPr>
          <w:rFonts w:hint="eastAsia" w:ascii="仿宋_GB2312" w:hAnsi="仿宋" w:eastAsia="仿宋_GB2312" w:cs="Times New Roman"/>
          <w:sz w:val="32"/>
          <w:szCs w:val="32"/>
          <w:u w:val="none" w:color="auto"/>
          <w:lang w:eastAsia="zh-CN"/>
        </w:rPr>
        <w:t>已超过保质期。经</w:t>
      </w:r>
      <w:r>
        <w:rPr>
          <w:rFonts w:hint="eastAsia" w:ascii="仿宋_GB2312" w:hAnsi="仿宋" w:eastAsia="仿宋_GB2312" w:cs="Times New Roman"/>
          <w:sz w:val="32"/>
          <w:szCs w:val="32"/>
          <w:u w:val="none" w:color="auto"/>
        </w:rPr>
        <w:t>局领导审批，执法人员依法对</w:t>
      </w:r>
      <w:r>
        <w:rPr>
          <w:rFonts w:hint="eastAsia" w:ascii="仿宋_GB2312" w:hAnsi="仿宋" w:eastAsia="仿宋_GB2312" w:cs="Times New Roman"/>
          <w:sz w:val="32"/>
          <w:szCs w:val="32"/>
          <w:u w:val="none" w:color="auto"/>
          <w:lang w:eastAsia="zh-CN"/>
        </w:rPr>
        <w:t>上述</w:t>
      </w:r>
      <w:r>
        <w:rPr>
          <w:rFonts w:hint="eastAsia" w:ascii="仿宋_GB2312" w:hAnsi="仿宋" w:eastAsia="仿宋_GB2312" w:cs="Times New Roman"/>
          <w:sz w:val="32"/>
          <w:szCs w:val="32"/>
          <w:u w:val="none" w:color="auto"/>
        </w:rPr>
        <w:t>涉案超过保质期的</w:t>
      </w:r>
      <w:r>
        <w:rPr>
          <w:rFonts w:hint="eastAsia" w:ascii="仿宋_GB2312" w:hAnsi="仿宋" w:eastAsia="仿宋_GB2312" w:cs="Times New Roman"/>
          <w:sz w:val="32"/>
          <w:szCs w:val="32"/>
          <w:u w:val="none" w:color="auto"/>
          <w:lang w:val="en-US" w:eastAsia="zh-CN"/>
        </w:rPr>
        <w:t>26袋方便面</w:t>
      </w:r>
      <w:r>
        <w:rPr>
          <w:rFonts w:hint="eastAsia" w:ascii="仿宋_GB2312" w:hAnsi="仿宋" w:eastAsia="仿宋_GB2312" w:cs="Times New Roman"/>
          <w:sz w:val="32"/>
          <w:szCs w:val="32"/>
          <w:u w:val="none" w:color="auto"/>
        </w:rPr>
        <w:t>进行了扣押，现</w:t>
      </w:r>
      <w:r>
        <w:rPr>
          <w:rFonts w:hint="eastAsia" w:ascii="仿宋_GB2312" w:hAnsi="仿宋" w:eastAsia="仿宋_GB2312"/>
          <w:sz w:val="32"/>
          <w:szCs w:val="32"/>
          <w:u w:val="none" w:color="auto"/>
        </w:rPr>
        <w:t>场送达了《实施行政强制措施决定书》（津辰市监普</w:t>
      </w:r>
      <w:r>
        <w:rPr>
          <w:rFonts w:hint="eastAsia" w:ascii="仿宋_GB2312" w:hAnsi="仿宋" w:eastAsia="仿宋_GB2312"/>
          <w:sz w:val="32"/>
          <w:szCs w:val="32"/>
          <w:u w:val="none" w:color="auto"/>
          <w:lang w:eastAsia="zh-CN"/>
        </w:rPr>
        <w:t>强制</w:t>
      </w:r>
      <w:r>
        <w:rPr>
          <w:rFonts w:hint="eastAsia" w:ascii="仿宋_GB2312" w:hAnsi="仿宋" w:eastAsia="仿宋_GB2312"/>
          <w:sz w:val="32"/>
          <w:szCs w:val="32"/>
          <w:u w:val="none" w:color="auto"/>
        </w:rPr>
        <w:t>〔20</w:t>
      </w:r>
      <w:r>
        <w:rPr>
          <w:rFonts w:hint="eastAsia" w:ascii="仿宋_GB2312" w:hAnsi="仿宋" w:eastAsia="仿宋_GB2312"/>
          <w:sz w:val="32"/>
          <w:szCs w:val="32"/>
          <w:u w:val="none" w:color="auto"/>
          <w:lang w:val="en-US" w:eastAsia="zh-CN"/>
        </w:rPr>
        <w:t>23</w:t>
      </w:r>
      <w:r>
        <w:rPr>
          <w:rFonts w:hint="eastAsia" w:ascii="仿宋_GB2312" w:hAnsi="仿宋" w:eastAsia="仿宋_GB2312"/>
          <w:sz w:val="32"/>
          <w:szCs w:val="32"/>
          <w:u w:val="none" w:color="auto"/>
        </w:rPr>
        <w:t>〕</w:t>
      </w:r>
      <w:r>
        <w:rPr>
          <w:rFonts w:hint="eastAsia" w:ascii="仿宋_GB2312" w:hAnsi="仿宋" w:eastAsia="仿宋_GB2312"/>
          <w:sz w:val="32"/>
          <w:szCs w:val="32"/>
          <w:u w:val="none" w:color="auto"/>
          <w:lang w:val="en-US" w:eastAsia="zh-CN"/>
        </w:rPr>
        <w:t>3</w:t>
      </w:r>
      <w:r>
        <w:rPr>
          <w:rFonts w:hint="eastAsia" w:ascii="仿宋_GB2312" w:hAnsi="仿宋" w:eastAsia="仿宋_GB2312"/>
          <w:sz w:val="32"/>
          <w:szCs w:val="32"/>
          <w:u w:val="none" w:color="auto"/>
        </w:rPr>
        <w:t>号），并告知采取行政强制措施的理由、依据及当事人依法享有的权利、救济途径。当事人放弃陈述、申辩。</w:t>
      </w:r>
      <w:r>
        <w:rPr>
          <w:rFonts w:hint="eastAsia" w:ascii="仿宋_GB2312" w:hAnsi="仿宋" w:eastAsia="仿宋_GB2312"/>
          <w:sz w:val="32"/>
          <w:szCs w:val="32"/>
          <w:u w:val="none" w:color="auto"/>
          <w:lang w:val="en-US" w:eastAsia="zh-CN"/>
        </w:rPr>
        <w:t>同日</w:t>
      </w:r>
      <w:r>
        <w:rPr>
          <w:rFonts w:hint="eastAsia" w:ascii="仿宋_GB2312" w:hAnsi="仿宋" w:eastAsia="仿宋_GB2312"/>
          <w:sz w:val="32"/>
          <w:szCs w:val="32"/>
          <w:u w:val="none" w:color="auto"/>
        </w:rPr>
        <w:t>执法人员报经</w:t>
      </w:r>
      <w:r>
        <w:rPr>
          <w:rFonts w:hint="eastAsia" w:ascii="仿宋_GB2312" w:hAnsi="仿宋" w:eastAsia="仿宋_GB2312"/>
          <w:sz w:val="32"/>
          <w:szCs w:val="32"/>
          <w:u w:val="none" w:color="auto"/>
          <w:lang w:eastAsia="zh-CN"/>
        </w:rPr>
        <w:t>局领导</w:t>
      </w:r>
      <w:r>
        <w:rPr>
          <w:rFonts w:hint="eastAsia" w:ascii="仿宋_GB2312" w:hAnsi="仿宋" w:eastAsia="仿宋_GB2312"/>
          <w:sz w:val="32"/>
          <w:szCs w:val="32"/>
          <w:u w:val="none" w:color="auto"/>
        </w:rPr>
        <w:t>批准，予以立案调查。</w:t>
      </w:r>
      <w:r>
        <w:rPr>
          <w:rFonts w:hint="eastAsia" w:ascii="仿宋_GB2312" w:hAnsi="仿宋" w:eastAsia="仿宋_GB2312"/>
          <w:sz w:val="32"/>
          <w:szCs w:val="32"/>
          <w:u w:val="non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olor w:val="000000"/>
          <w:sz w:val="32"/>
          <w:szCs w:val="32"/>
          <w:u w:val="none" w:color="auto"/>
        </w:rPr>
      </w:pPr>
      <w:r>
        <w:rPr>
          <w:rFonts w:hint="eastAsia" w:ascii="仿宋_GB2312" w:hAnsi="仿宋" w:eastAsia="仿宋_GB2312"/>
          <w:color w:val="000000"/>
          <w:sz w:val="32"/>
          <w:szCs w:val="32"/>
          <w:u w:val="none" w:color="auto"/>
          <w:lang w:eastAsia="zh-CN"/>
        </w:rPr>
        <w:t>当事人于</w:t>
      </w:r>
      <w:r>
        <w:rPr>
          <w:rFonts w:hint="eastAsia" w:ascii="仿宋_GB2312" w:hAnsi="仿宋_GB2312" w:eastAsia="仿宋_GB2312" w:cs="仿宋_GB2312"/>
          <w:sz w:val="32"/>
          <w:szCs w:val="32"/>
          <w:u w:val="none" w:color="auto"/>
          <w:lang w:val="en-US" w:eastAsia="zh-CN"/>
        </w:rPr>
        <w:t>2022年9月15日</w:t>
      </w:r>
      <w:r>
        <w:rPr>
          <w:rFonts w:hint="eastAsia" w:ascii="仿宋_GB2312" w:hAnsi="仿宋" w:eastAsia="仿宋_GB2312"/>
          <w:color w:val="000000"/>
          <w:sz w:val="32"/>
          <w:szCs w:val="32"/>
          <w:u w:val="none" w:color="auto"/>
          <w:lang w:val="en-US" w:eastAsia="zh-CN"/>
        </w:rPr>
        <w:t>从</w:t>
      </w:r>
      <w:r>
        <w:rPr>
          <w:rFonts w:hint="eastAsia" w:ascii="Times New Roman" w:hAnsi="Times New Roman" w:eastAsia="仿宋_GB2312" w:cs="仿宋"/>
          <w:sz w:val="32"/>
          <w:szCs w:val="32"/>
          <w:u w:val="none" w:color="auto"/>
          <w:lang w:eastAsia="zh-CN"/>
        </w:rPr>
        <w:t>鑫悦顺商贸有限公司分别</w:t>
      </w:r>
      <w:r>
        <w:rPr>
          <w:rFonts w:hint="eastAsia" w:ascii="仿宋_GB2312" w:hAnsi="仿宋" w:eastAsia="仿宋_GB2312"/>
          <w:color w:val="000000"/>
          <w:sz w:val="32"/>
          <w:szCs w:val="32"/>
          <w:u w:val="none" w:color="auto"/>
          <w:lang w:val="en-US" w:eastAsia="zh-CN"/>
        </w:rPr>
        <w:t>购进1箱</w:t>
      </w:r>
      <w:r>
        <w:rPr>
          <w:rFonts w:hint="eastAsia" w:ascii="仿宋_GB2312" w:hAnsi="仿宋_GB2312" w:eastAsia="仿宋_GB2312" w:cs="仿宋_GB2312"/>
          <w:sz w:val="32"/>
          <w:szCs w:val="32"/>
          <w:u w:val="none" w:color="auto"/>
          <w:lang w:val="en-US" w:eastAsia="zh-CN"/>
        </w:rPr>
        <w:t>“统一大面饼红烧牛肉面”</w:t>
      </w:r>
      <w:r>
        <w:rPr>
          <w:rFonts w:hint="eastAsia" w:ascii="仿宋_GB2312" w:hAnsi="仿宋_GB2312" w:eastAsia="仿宋_GB2312" w:cs="仿宋_GB2312"/>
          <w:sz w:val="32"/>
          <w:szCs w:val="32"/>
          <w:u w:val="none" w:color="auto"/>
          <w:lang w:eastAsia="zh-CN"/>
        </w:rPr>
        <w:t>（</w:t>
      </w:r>
      <w:r>
        <w:rPr>
          <w:rFonts w:hint="eastAsia" w:ascii="仿宋_GB2312" w:hAnsi="仿宋_GB2312" w:eastAsia="仿宋_GB2312" w:cs="仿宋_GB2312"/>
          <w:sz w:val="32"/>
          <w:szCs w:val="32"/>
          <w:u w:val="none" w:color="auto"/>
          <w:lang w:val="en-US" w:eastAsia="zh-CN"/>
        </w:rPr>
        <w:t>24袋；</w:t>
      </w:r>
      <w:r>
        <w:rPr>
          <w:rFonts w:hint="eastAsia" w:ascii="仿宋_GB2312" w:hAnsi="仿宋_GB2312" w:eastAsia="仿宋_GB2312" w:cs="仿宋_GB2312"/>
          <w:spacing w:val="-11"/>
          <w:sz w:val="32"/>
          <w:szCs w:val="32"/>
          <w:u w:val="none" w:color="auto"/>
          <w:lang w:eastAsia="zh-CN"/>
        </w:rPr>
        <w:t>规格：</w:t>
      </w:r>
      <w:r>
        <w:rPr>
          <w:rFonts w:hint="eastAsia" w:ascii="仿宋_GB2312" w:hAnsi="仿宋_GB2312" w:eastAsia="仿宋_GB2312" w:cs="仿宋_GB2312"/>
          <w:spacing w:val="-11"/>
          <w:sz w:val="32"/>
          <w:szCs w:val="32"/>
          <w:u w:val="none" w:color="auto"/>
          <w:lang w:val="en-US" w:eastAsia="zh-CN"/>
        </w:rPr>
        <w:t>136g/袋；生产日期：2022080；保质期：6个月；购进价格：2.4元/袋</w:t>
      </w:r>
      <w:r>
        <w:rPr>
          <w:rFonts w:hint="eastAsia" w:ascii="仿宋_GB2312" w:hAnsi="仿宋_GB2312" w:eastAsia="仿宋_GB2312" w:cs="仿宋_GB2312"/>
          <w:sz w:val="32"/>
          <w:szCs w:val="32"/>
          <w:u w:val="none" w:color="auto"/>
          <w:lang w:eastAsia="zh-CN"/>
        </w:rPr>
        <w:t>）和</w:t>
      </w:r>
      <w:r>
        <w:rPr>
          <w:rFonts w:hint="eastAsia" w:ascii="仿宋_GB2312" w:hAnsi="仿宋_GB2312" w:eastAsia="仿宋_GB2312" w:cs="仿宋_GB2312"/>
          <w:color w:val="000000"/>
          <w:sz w:val="32"/>
          <w:szCs w:val="32"/>
          <w:u w:val="none" w:color="auto"/>
          <w:lang w:val="en-US" w:eastAsia="zh-CN"/>
        </w:rPr>
        <w:t>1箱</w:t>
      </w:r>
      <w:r>
        <w:rPr>
          <w:rFonts w:hint="eastAsia" w:ascii="仿宋_GB2312" w:hAnsi="仿宋_GB2312" w:eastAsia="仿宋_GB2312" w:cs="仿宋_GB2312"/>
          <w:sz w:val="32"/>
          <w:szCs w:val="32"/>
          <w:u w:val="none" w:color="auto"/>
          <w:lang w:val="en-US" w:eastAsia="zh-CN"/>
        </w:rPr>
        <w:t>“统一大面饼香辣牛肉面”</w:t>
      </w:r>
      <w:r>
        <w:rPr>
          <w:rFonts w:hint="eastAsia" w:ascii="仿宋_GB2312" w:hAnsi="仿宋_GB2312" w:eastAsia="仿宋_GB2312" w:cs="仿宋_GB2312"/>
          <w:sz w:val="32"/>
          <w:szCs w:val="32"/>
          <w:u w:val="none" w:color="auto"/>
          <w:lang w:eastAsia="zh-CN"/>
        </w:rPr>
        <w:t>（</w:t>
      </w:r>
      <w:r>
        <w:rPr>
          <w:rFonts w:hint="eastAsia" w:ascii="仿宋_GB2312" w:hAnsi="仿宋_GB2312" w:eastAsia="仿宋_GB2312" w:cs="仿宋_GB2312"/>
          <w:sz w:val="32"/>
          <w:szCs w:val="32"/>
          <w:u w:val="none" w:color="auto"/>
          <w:lang w:val="en-US" w:eastAsia="zh-CN"/>
        </w:rPr>
        <w:t>24袋；</w:t>
      </w:r>
      <w:r>
        <w:rPr>
          <w:rFonts w:hint="eastAsia" w:ascii="仿宋_GB2312" w:hAnsi="仿宋_GB2312" w:eastAsia="仿宋_GB2312" w:cs="仿宋_GB2312"/>
          <w:spacing w:val="-11"/>
          <w:sz w:val="32"/>
          <w:szCs w:val="32"/>
          <w:u w:val="none" w:color="auto"/>
          <w:lang w:eastAsia="zh-CN"/>
        </w:rPr>
        <w:t>规格：</w:t>
      </w:r>
      <w:r>
        <w:rPr>
          <w:rFonts w:hint="eastAsia" w:ascii="仿宋_GB2312" w:hAnsi="仿宋_GB2312" w:eastAsia="仿宋_GB2312" w:cs="仿宋_GB2312"/>
          <w:spacing w:val="-11"/>
          <w:sz w:val="32"/>
          <w:szCs w:val="32"/>
          <w:u w:val="none" w:color="auto"/>
          <w:lang w:val="en-US" w:eastAsia="zh-CN"/>
        </w:rPr>
        <w:t>135g/袋；生产日期：20220822；保质期：6个月；购进价格：2.4元/袋</w:t>
      </w:r>
      <w:r>
        <w:rPr>
          <w:rFonts w:hint="eastAsia" w:ascii="仿宋_GB2312" w:hAnsi="仿宋_GB2312" w:eastAsia="仿宋_GB2312" w:cs="仿宋_GB2312"/>
          <w:sz w:val="32"/>
          <w:szCs w:val="32"/>
          <w:u w:val="none" w:color="auto"/>
          <w:lang w:eastAsia="zh-CN"/>
        </w:rPr>
        <w:t>）置于店内销售，售价均</w:t>
      </w:r>
      <w:r>
        <w:rPr>
          <w:rFonts w:hint="eastAsia" w:ascii="仿宋_GB2312" w:hAnsi="仿宋_GB2312" w:eastAsia="仿宋_GB2312" w:cs="仿宋_GB2312"/>
          <w:sz w:val="32"/>
          <w:szCs w:val="32"/>
          <w:u w:val="none" w:color="auto"/>
          <w:lang w:val="en-US" w:eastAsia="zh-CN"/>
        </w:rPr>
        <w:t>为2.9元/袋；并于2022年9月19日从</w:t>
      </w:r>
      <w:r>
        <w:rPr>
          <w:rFonts w:hint="eastAsia" w:ascii="仿宋_GB2312" w:hAnsi="仿宋_GB2312" w:eastAsia="仿宋_GB2312" w:cs="仿宋_GB2312"/>
          <w:sz w:val="32"/>
          <w:szCs w:val="32"/>
          <w:u w:val="none" w:color="auto"/>
          <w:lang w:eastAsia="zh-CN"/>
        </w:rPr>
        <w:t>天津市鸿煊商贸有限公司购进</w:t>
      </w:r>
      <w:r>
        <w:rPr>
          <w:rFonts w:hint="eastAsia" w:ascii="仿宋_GB2312" w:hAnsi="仿宋_GB2312" w:eastAsia="仿宋_GB2312" w:cs="仿宋_GB2312"/>
          <w:sz w:val="32"/>
          <w:szCs w:val="32"/>
          <w:u w:val="none" w:color="auto"/>
          <w:lang w:val="en-US" w:eastAsia="zh-CN"/>
        </w:rPr>
        <w:t>1件“金锣鸡肉肠”（50支；60g/支；生产日期20220818；保质期6个月；购进价格：0.8元/支）同样置于店内销售，售价为1.0元/支。</w:t>
      </w:r>
      <w:r>
        <w:rPr>
          <w:rFonts w:hint="eastAsia" w:ascii="仿宋_GB2312" w:hAnsi="仿宋_GB2312" w:eastAsia="仿宋_GB2312" w:cs="仿宋_GB2312"/>
          <w:color w:val="000000"/>
          <w:sz w:val="32"/>
          <w:szCs w:val="32"/>
          <w:u w:val="none" w:color="auto"/>
          <w:shd w:val="clear" w:color="auto" w:fill="FFFFFF"/>
        </w:rPr>
        <w:t>20</w:t>
      </w:r>
      <w:r>
        <w:rPr>
          <w:rFonts w:hint="eastAsia" w:ascii="仿宋_GB2312" w:hAnsi="仿宋_GB2312" w:eastAsia="仿宋_GB2312" w:cs="仿宋_GB2312"/>
          <w:color w:val="000000"/>
          <w:sz w:val="32"/>
          <w:szCs w:val="32"/>
          <w:u w:val="none" w:color="auto"/>
          <w:shd w:val="clear" w:color="auto" w:fill="FFFFFF"/>
          <w:lang w:val="en-US" w:eastAsia="zh-CN"/>
        </w:rPr>
        <w:t>23</w:t>
      </w:r>
      <w:r>
        <w:rPr>
          <w:rFonts w:hint="eastAsia" w:ascii="仿宋_GB2312" w:hAnsi="仿宋_GB2312" w:eastAsia="仿宋_GB2312" w:cs="仿宋_GB2312"/>
          <w:color w:val="000000"/>
          <w:sz w:val="32"/>
          <w:szCs w:val="32"/>
          <w:u w:val="none" w:color="auto"/>
          <w:shd w:val="clear" w:color="auto" w:fill="FFFFFF"/>
        </w:rPr>
        <w:t>年</w:t>
      </w:r>
      <w:r>
        <w:rPr>
          <w:rFonts w:hint="eastAsia" w:ascii="仿宋_GB2312" w:hAnsi="仿宋_GB2312" w:eastAsia="仿宋_GB2312" w:cs="仿宋_GB2312"/>
          <w:color w:val="000000"/>
          <w:sz w:val="32"/>
          <w:szCs w:val="32"/>
          <w:u w:val="none" w:color="auto"/>
          <w:shd w:val="clear" w:color="auto" w:fill="FFFFFF"/>
          <w:lang w:val="en-US" w:eastAsia="zh-CN"/>
        </w:rPr>
        <w:t>2</w:t>
      </w:r>
      <w:r>
        <w:rPr>
          <w:rFonts w:hint="eastAsia" w:ascii="仿宋_GB2312" w:hAnsi="仿宋_GB2312" w:eastAsia="仿宋_GB2312" w:cs="仿宋_GB2312"/>
          <w:color w:val="000000"/>
          <w:sz w:val="32"/>
          <w:szCs w:val="32"/>
          <w:u w:val="none" w:color="auto"/>
          <w:shd w:val="clear" w:color="auto" w:fill="FFFFFF"/>
        </w:rPr>
        <w:t>月</w:t>
      </w:r>
      <w:r>
        <w:rPr>
          <w:rFonts w:hint="eastAsia" w:ascii="仿宋_GB2312" w:hAnsi="Arial" w:eastAsia="仿宋_GB2312" w:cs="Arial"/>
          <w:color w:val="000000"/>
          <w:sz w:val="32"/>
          <w:szCs w:val="32"/>
          <w:u w:val="none" w:color="auto"/>
          <w:shd w:val="clear" w:color="auto" w:fill="FFFFFF"/>
          <w:lang w:val="en-US" w:eastAsia="zh-CN"/>
        </w:rPr>
        <w:t>27</w:t>
      </w:r>
      <w:r>
        <w:rPr>
          <w:rFonts w:hint="eastAsia" w:ascii="仿宋_GB2312" w:hAnsi="Arial" w:eastAsia="仿宋_GB2312" w:cs="Arial"/>
          <w:color w:val="000000"/>
          <w:sz w:val="32"/>
          <w:szCs w:val="32"/>
          <w:u w:val="none" w:color="auto"/>
          <w:shd w:val="clear" w:color="auto" w:fill="FFFFFF"/>
        </w:rPr>
        <w:t>日</w:t>
      </w:r>
      <w:r>
        <w:rPr>
          <w:rFonts w:hint="eastAsia" w:ascii="仿宋_GB2312" w:hAnsi="仿宋" w:eastAsia="仿宋_GB2312"/>
          <w:color w:val="000000"/>
          <w:sz w:val="32"/>
          <w:szCs w:val="32"/>
          <w:u w:val="none" w:color="auto"/>
          <w:lang w:eastAsia="zh-CN"/>
        </w:rPr>
        <w:t>执法人员根据投诉线索对当事人检查时发现场所内</w:t>
      </w:r>
      <w:r>
        <w:rPr>
          <w:rFonts w:hint="eastAsia" w:ascii="仿宋_GB2312" w:hAnsi="仿宋" w:eastAsia="仿宋_GB2312"/>
          <w:color w:val="000000"/>
          <w:sz w:val="32"/>
          <w:szCs w:val="32"/>
          <w:u w:val="none" w:color="auto"/>
        </w:rPr>
        <w:t>待售的</w:t>
      </w:r>
      <w:r>
        <w:rPr>
          <w:rFonts w:hint="eastAsia" w:ascii="仿宋_GB2312" w:hAnsi="仿宋" w:eastAsia="仿宋_GB2312"/>
          <w:sz w:val="32"/>
          <w:szCs w:val="32"/>
          <w:u w:val="none" w:color="auto"/>
          <w:lang w:val="en-US" w:eastAsia="zh-CN"/>
        </w:rPr>
        <w:t>17袋红烧牛肉面和9袋香辣牛肉面</w:t>
      </w:r>
      <w:r>
        <w:rPr>
          <w:rFonts w:hint="eastAsia" w:ascii="仿宋_GB2312" w:hAnsi="仿宋" w:eastAsia="仿宋_GB2312"/>
          <w:color w:val="000000"/>
          <w:sz w:val="32"/>
          <w:szCs w:val="32"/>
          <w:u w:val="none" w:color="auto"/>
        </w:rPr>
        <w:t>已超过</w:t>
      </w:r>
      <w:r>
        <w:rPr>
          <w:rFonts w:hint="eastAsia" w:ascii="仿宋_GB2312" w:hAnsi="仿宋" w:eastAsia="仿宋_GB2312"/>
          <w:color w:val="000000"/>
          <w:sz w:val="32"/>
          <w:szCs w:val="32"/>
          <w:u w:val="none" w:color="auto"/>
          <w:lang w:eastAsia="zh-CN"/>
        </w:rPr>
        <w:t>包装标注</w:t>
      </w:r>
      <w:r>
        <w:rPr>
          <w:rFonts w:hint="eastAsia" w:ascii="仿宋_GB2312" w:hAnsi="仿宋" w:eastAsia="仿宋_GB2312"/>
          <w:color w:val="000000"/>
          <w:sz w:val="32"/>
          <w:szCs w:val="32"/>
          <w:u w:val="none" w:color="auto"/>
        </w:rPr>
        <w:t>保质期</w:t>
      </w:r>
      <w:r>
        <w:rPr>
          <w:rFonts w:hint="eastAsia" w:ascii="仿宋_GB2312" w:hAnsi="仿宋" w:eastAsia="仿宋_GB2312"/>
          <w:color w:val="000000"/>
          <w:sz w:val="32"/>
          <w:szCs w:val="32"/>
          <w:u w:val="none" w:color="auto"/>
          <w:lang w:eastAsia="zh-CN"/>
        </w:rPr>
        <w:t>，</w:t>
      </w:r>
      <w:r>
        <w:rPr>
          <w:rFonts w:hint="eastAsia" w:ascii="仿宋_GB2312" w:hAnsi="仿宋" w:eastAsia="仿宋_GB2312" w:cs="Times New Roman"/>
          <w:sz w:val="32"/>
          <w:szCs w:val="32"/>
          <w:u w:val="none" w:color="auto"/>
          <w:lang w:eastAsia="zh-CN"/>
        </w:rPr>
        <w:t>对于现场未发现金锣鸡肉肠产品当事人认可售出给投诉人时已过期，</w:t>
      </w:r>
      <w:r>
        <w:rPr>
          <w:rFonts w:hint="eastAsia" w:ascii="仿宋_GB2312" w:hAnsi="仿宋" w:eastAsia="仿宋_GB2312"/>
          <w:color w:val="000000"/>
          <w:sz w:val="32"/>
          <w:szCs w:val="32"/>
          <w:u w:val="none" w:color="auto"/>
        </w:rPr>
        <w:t>上述行为满足经营超过保质期的食品构成要件。</w:t>
      </w:r>
      <w:r>
        <w:rPr>
          <w:rFonts w:hint="eastAsia" w:ascii="仿宋_GB2312" w:hAnsi="仿宋" w:eastAsia="仿宋_GB2312"/>
          <w:color w:val="000000"/>
          <w:sz w:val="32"/>
          <w:szCs w:val="32"/>
          <w:u w:val="none" w:color="auto"/>
          <w:lang w:eastAsia="zh-CN"/>
        </w:rPr>
        <w:t>通过查询记录，</w:t>
      </w:r>
      <w:r>
        <w:rPr>
          <w:rFonts w:hint="eastAsia" w:ascii="仿宋_GB2312" w:hAnsi="仿宋" w:eastAsia="仿宋_GB2312"/>
          <w:color w:val="000000"/>
          <w:sz w:val="32"/>
          <w:szCs w:val="32"/>
          <w:u w:val="none" w:color="auto"/>
        </w:rPr>
        <w:t>自保质期满之日</w:t>
      </w:r>
      <w:r>
        <w:rPr>
          <w:rFonts w:hint="eastAsia" w:ascii="仿宋_GB2312" w:hAnsi="仿宋" w:eastAsia="仿宋_GB2312"/>
          <w:color w:val="000000"/>
          <w:sz w:val="32"/>
          <w:szCs w:val="32"/>
          <w:u w:val="none" w:color="auto"/>
          <w:lang w:eastAsia="zh-CN"/>
        </w:rPr>
        <w:t>至执法人员检查期间当事人售出</w:t>
      </w:r>
      <w:r>
        <w:rPr>
          <w:rFonts w:hint="eastAsia" w:ascii="仿宋_GB2312" w:hAnsi="仿宋" w:eastAsia="仿宋_GB2312"/>
          <w:color w:val="000000"/>
          <w:sz w:val="32"/>
          <w:szCs w:val="32"/>
          <w:u w:val="none" w:color="auto"/>
          <w:lang w:val="en-US" w:eastAsia="zh-CN"/>
        </w:rPr>
        <w:t>2袋红烧牛肉面、3袋香辣牛肉面和1支金锣鸡肉肠</w:t>
      </w:r>
      <w:r>
        <w:rPr>
          <w:rFonts w:hint="eastAsia" w:ascii="仿宋_GB2312" w:hAnsi="仿宋" w:eastAsia="仿宋_GB2312"/>
          <w:color w:val="000000"/>
          <w:sz w:val="32"/>
          <w:szCs w:val="32"/>
          <w:u w:val="none" w:color="auto"/>
        </w:rPr>
        <w:t>。</w:t>
      </w:r>
      <w:r>
        <w:rPr>
          <w:rFonts w:hint="eastAsia" w:ascii="仿宋_GB2312" w:hAnsi="仿宋" w:eastAsia="仿宋_GB2312"/>
          <w:color w:val="000000"/>
          <w:sz w:val="32"/>
          <w:szCs w:val="32"/>
          <w:u w:val="none" w:color="auto"/>
          <w:lang w:eastAsia="zh-CN"/>
        </w:rPr>
        <w:t>本案</w:t>
      </w:r>
      <w:r>
        <w:rPr>
          <w:rFonts w:hint="eastAsia" w:ascii="仿宋_GB2312" w:hAnsi="仿宋" w:eastAsia="仿宋_GB2312"/>
          <w:color w:val="000000"/>
          <w:sz w:val="32"/>
          <w:szCs w:val="32"/>
          <w:u w:val="none" w:color="auto"/>
        </w:rPr>
        <w:t>货值金额</w:t>
      </w:r>
      <w:r>
        <w:rPr>
          <w:rFonts w:hint="eastAsia" w:ascii="仿宋" w:hAnsi="仿宋" w:eastAsia="仿宋"/>
          <w:sz w:val="32"/>
          <w:szCs w:val="32"/>
          <w:u w:val="none" w:color="auto"/>
          <w:lang w:val="en-US" w:eastAsia="zh-CN"/>
        </w:rPr>
        <w:t>90.9</w:t>
      </w:r>
      <w:r>
        <w:rPr>
          <w:rFonts w:hint="eastAsia" w:ascii="仿宋_GB2312" w:hAnsi="仿宋" w:eastAsia="仿宋_GB2312"/>
          <w:color w:val="000000"/>
          <w:sz w:val="32"/>
          <w:szCs w:val="32"/>
          <w:u w:val="none" w:color="auto"/>
        </w:rPr>
        <w:t>元，违法所得</w:t>
      </w:r>
      <w:r>
        <w:rPr>
          <w:rFonts w:hint="eastAsia" w:ascii="仿宋_GB2312" w:hAnsi="仿宋" w:eastAsia="仿宋_GB2312"/>
          <w:color w:val="000000"/>
          <w:sz w:val="32"/>
          <w:szCs w:val="32"/>
          <w:u w:val="none" w:color="auto"/>
          <w:lang w:val="en-US" w:eastAsia="zh-CN"/>
        </w:rPr>
        <w:t>2.7元</w:t>
      </w:r>
      <w:r>
        <w:rPr>
          <w:rFonts w:hint="eastAsia" w:ascii="仿宋_GB2312" w:hAnsi="仿宋" w:eastAsia="仿宋_GB2312"/>
          <w:color w:val="000000"/>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仿宋"/>
          <w:bCs/>
          <w:color w:val="000000"/>
          <w:sz w:val="32"/>
          <w:szCs w:val="32"/>
          <w:u w:val="none" w:color="auto"/>
          <w:lang w:val="en-US" w:eastAsia="zh-CN"/>
        </w:rPr>
      </w:pPr>
      <w:r>
        <w:rPr>
          <w:rFonts w:hint="eastAsia" w:ascii="Times New Roman" w:hAnsi="Times New Roman" w:eastAsia="仿宋_GB2312" w:cs="仿宋"/>
          <w:color w:val="000000"/>
          <w:sz w:val="32"/>
          <w:szCs w:val="32"/>
          <w:u w:val="none" w:color="auto"/>
        </w:rPr>
        <w:t>上述事实，主要有以下证据证明：1.</w:t>
      </w:r>
      <w:r>
        <w:rPr>
          <w:rFonts w:hint="eastAsia" w:ascii="仿宋_GB2312" w:eastAsia="仿宋_GB2312"/>
          <w:sz w:val="32"/>
          <w:szCs w:val="32"/>
          <w:u w:val="none" w:color="auto"/>
        </w:rPr>
        <w:t>当事人的营业执照、食品经营许可证复印件、</w:t>
      </w:r>
      <w:r>
        <w:rPr>
          <w:rFonts w:hint="eastAsia" w:ascii="仿宋_GB2312" w:eastAsia="仿宋_GB2312"/>
          <w:sz w:val="32"/>
          <w:szCs w:val="32"/>
          <w:u w:val="none" w:color="auto"/>
          <w:lang w:eastAsia="zh-CN"/>
        </w:rPr>
        <w:t>法定代表人</w:t>
      </w:r>
      <w:r>
        <w:rPr>
          <w:rFonts w:hint="eastAsia" w:ascii="仿宋_GB2312" w:hAnsi="仿宋" w:eastAsia="仿宋_GB2312"/>
          <w:sz w:val="32"/>
          <w:szCs w:val="32"/>
          <w:u w:val="none" w:color="auto"/>
          <w:lang w:val="en-US" w:eastAsia="zh-CN"/>
        </w:rPr>
        <w:t>林建青</w:t>
      </w:r>
      <w:r>
        <w:rPr>
          <w:rFonts w:hint="eastAsia" w:ascii="仿宋_GB2312" w:eastAsia="仿宋_GB2312"/>
          <w:sz w:val="32"/>
          <w:szCs w:val="32"/>
          <w:u w:val="none" w:color="auto"/>
        </w:rPr>
        <w:t>身份证复印件</w:t>
      </w:r>
      <w:r>
        <w:rPr>
          <w:rFonts w:hint="eastAsia" w:ascii="Times New Roman" w:hAnsi="Times New Roman" w:eastAsia="仿宋_GB2312" w:cs="仿宋"/>
          <w:color w:val="000000"/>
          <w:sz w:val="32"/>
          <w:szCs w:val="32"/>
          <w:u w:val="none" w:color="auto"/>
        </w:rPr>
        <w:t>；2</w:t>
      </w:r>
      <w:r>
        <w:rPr>
          <w:rFonts w:hint="eastAsia" w:ascii="仿宋_GB2312" w:eastAsia="仿宋_GB2312"/>
          <w:sz w:val="32"/>
          <w:szCs w:val="32"/>
          <w:u w:val="none" w:color="auto"/>
          <w:lang w:eastAsia="zh-CN"/>
        </w:rPr>
        <w:t>第一次</w:t>
      </w:r>
      <w:r>
        <w:rPr>
          <w:rFonts w:hint="eastAsia" w:ascii="仿宋_GB2312" w:eastAsia="仿宋_GB2312"/>
          <w:sz w:val="32"/>
          <w:szCs w:val="32"/>
          <w:u w:val="none" w:color="auto"/>
        </w:rPr>
        <w:t>现场笔录</w:t>
      </w:r>
      <w:r>
        <w:rPr>
          <w:rFonts w:hint="eastAsia" w:ascii="仿宋_GB2312" w:eastAsia="仿宋_GB2312"/>
          <w:sz w:val="32"/>
          <w:szCs w:val="32"/>
          <w:u w:val="none" w:color="auto"/>
          <w:lang w:eastAsia="zh-CN"/>
        </w:rPr>
        <w:t>（</w:t>
      </w:r>
      <w:r>
        <w:rPr>
          <w:rFonts w:hint="eastAsia" w:ascii="仿宋_GB2312" w:eastAsia="仿宋_GB2312"/>
          <w:sz w:val="32"/>
          <w:szCs w:val="32"/>
          <w:u w:val="none" w:color="auto"/>
          <w:lang w:val="en-US" w:eastAsia="zh-CN"/>
        </w:rPr>
        <w:t>2023年2月27日</w:t>
      </w:r>
      <w:r>
        <w:rPr>
          <w:rFonts w:hint="eastAsia" w:ascii="仿宋_GB2312" w:eastAsia="仿宋_GB2312"/>
          <w:sz w:val="32"/>
          <w:szCs w:val="32"/>
          <w:u w:val="none" w:color="auto"/>
          <w:lang w:eastAsia="zh-CN"/>
        </w:rPr>
        <w:t>）</w:t>
      </w:r>
      <w:r>
        <w:rPr>
          <w:rFonts w:hint="eastAsia" w:ascii="仿宋_GB2312" w:eastAsia="仿宋_GB2312"/>
          <w:sz w:val="32"/>
          <w:szCs w:val="32"/>
          <w:u w:val="none" w:color="auto"/>
        </w:rPr>
        <w:t>、现场照片</w:t>
      </w:r>
      <w:r>
        <w:rPr>
          <w:rFonts w:hint="eastAsia" w:ascii="Times New Roman" w:hAnsi="Times New Roman" w:eastAsia="仿宋_GB2312" w:cs="仿宋"/>
          <w:color w:val="000000"/>
          <w:sz w:val="32"/>
          <w:szCs w:val="32"/>
          <w:u w:val="none" w:color="auto"/>
        </w:rPr>
        <w:t>；3.</w:t>
      </w:r>
      <w:r>
        <w:rPr>
          <w:rFonts w:hint="eastAsia" w:ascii="仿宋_GB2312" w:eastAsia="仿宋_GB2312"/>
          <w:sz w:val="32"/>
          <w:szCs w:val="32"/>
          <w:u w:val="none" w:color="auto"/>
        </w:rPr>
        <w:t>对</w:t>
      </w:r>
      <w:r>
        <w:rPr>
          <w:rFonts w:hint="eastAsia" w:ascii="仿宋_GB2312" w:eastAsia="仿宋_GB2312"/>
          <w:sz w:val="32"/>
          <w:szCs w:val="32"/>
          <w:u w:val="none" w:color="auto"/>
          <w:lang w:eastAsia="zh-CN"/>
        </w:rPr>
        <w:t>法定代表人林建青</w:t>
      </w:r>
      <w:r>
        <w:rPr>
          <w:rFonts w:hint="eastAsia" w:ascii="仿宋_GB2312" w:eastAsia="仿宋_GB2312"/>
          <w:sz w:val="32"/>
          <w:szCs w:val="32"/>
          <w:u w:val="none" w:color="auto"/>
        </w:rPr>
        <w:t>的询问笔录</w:t>
      </w:r>
      <w:r>
        <w:rPr>
          <w:rFonts w:hint="eastAsia" w:ascii="仿宋_GB2312" w:eastAsia="仿宋_GB2312"/>
          <w:sz w:val="32"/>
          <w:szCs w:val="32"/>
          <w:u w:val="none" w:color="auto"/>
          <w:lang w:eastAsia="zh-CN"/>
        </w:rPr>
        <w:t>；</w:t>
      </w:r>
      <w:r>
        <w:rPr>
          <w:rFonts w:hint="eastAsia" w:ascii="仿宋_GB2312" w:eastAsia="仿宋_GB2312"/>
          <w:sz w:val="32"/>
          <w:szCs w:val="32"/>
          <w:u w:val="none" w:color="auto"/>
          <w:lang w:val="en-US" w:eastAsia="zh-CN"/>
        </w:rPr>
        <w:t>4.</w:t>
      </w:r>
      <w:r>
        <w:rPr>
          <w:rFonts w:hint="eastAsia" w:ascii="仿宋_GB2312" w:eastAsia="仿宋_GB2312"/>
          <w:sz w:val="32"/>
          <w:szCs w:val="32"/>
          <w:u w:val="none" w:color="auto"/>
          <w:lang w:eastAsia="zh-CN"/>
        </w:rPr>
        <w:t>涉案食品</w:t>
      </w:r>
      <w:r>
        <w:rPr>
          <w:rFonts w:hint="eastAsia" w:ascii="仿宋_GB2312" w:eastAsia="仿宋_GB2312"/>
          <w:sz w:val="32"/>
          <w:szCs w:val="32"/>
          <w:u w:val="none" w:color="auto"/>
        </w:rPr>
        <w:t>货值金额</w:t>
      </w:r>
      <w:r>
        <w:rPr>
          <w:rFonts w:hint="eastAsia" w:ascii="仿宋_GB2312" w:eastAsia="仿宋_GB2312"/>
          <w:sz w:val="32"/>
          <w:szCs w:val="32"/>
          <w:u w:val="none" w:color="auto"/>
          <w:lang w:eastAsia="zh-CN"/>
        </w:rPr>
        <w:t>、违法所得</w:t>
      </w:r>
      <w:r>
        <w:rPr>
          <w:rFonts w:hint="eastAsia" w:ascii="仿宋_GB2312" w:eastAsia="仿宋_GB2312"/>
          <w:sz w:val="32"/>
          <w:szCs w:val="32"/>
          <w:u w:val="none" w:color="auto"/>
        </w:rPr>
        <w:t>计算说明</w:t>
      </w:r>
      <w:r>
        <w:rPr>
          <w:rFonts w:hint="eastAsia" w:ascii="仿宋_GB2312" w:eastAsia="仿宋_GB2312"/>
          <w:sz w:val="32"/>
          <w:szCs w:val="32"/>
          <w:u w:val="none" w:color="auto"/>
          <w:lang w:val="en-US" w:eastAsia="zh-CN"/>
        </w:rPr>
        <w:t>；5.第二次现场笔录（2023年2月28日）；6.当事人提供的过期食品供货商资质和进货票据复印件；7.投诉人提供的购买产品照片。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仿宋"/>
          <w:bCs/>
          <w:color w:val="000000"/>
          <w:sz w:val="32"/>
          <w:szCs w:val="32"/>
          <w:u w:val="none" w:color="auto"/>
        </w:rPr>
      </w:pPr>
      <w:r>
        <w:rPr>
          <w:rFonts w:hint="eastAsia" w:ascii="Times New Roman" w:hAnsi="Times New Roman" w:eastAsia="仿宋_GB2312" w:cs="仿宋"/>
          <w:bCs/>
          <w:color w:val="000000"/>
          <w:sz w:val="32"/>
          <w:szCs w:val="32"/>
          <w:u w:val="none" w:color="auto"/>
        </w:rPr>
        <w:t>本局于</w:t>
      </w:r>
      <w:r>
        <w:rPr>
          <w:rFonts w:hint="eastAsia" w:ascii="Times New Roman" w:hAnsi="Times New Roman" w:eastAsia="仿宋_GB2312" w:cs="仿宋"/>
          <w:bCs/>
          <w:color w:val="000000" w:themeColor="text1"/>
          <w:sz w:val="32"/>
          <w:szCs w:val="32"/>
          <w:u w:val="none" w:color="auto"/>
          <w14:textFill>
            <w14:solidFill>
              <w14:schemeClr w14:val="tx1"/>
            </w14:solidFill>
          </w14:textFill>
        </w:rPr>
        <w:t>20</w:t>
      </w:r>
      <w:r>
        <w:rPr>
          <w:rFonts w:hint="eastAsia" w:ascii="Times New Roman" w:hAnsi="Times New Roman" w:eastAsia="仿宋_GB2312" w:cs="仿宋"/>
          <w:bCs/>
          <w:color w:val="000000" w:themeColor="text1"/>
          <w:sz w:val="32"/>
          <w:szCs w:val="32"/>
          <w:u w:val="none" w:color="auto"/>
          <w:lang w:val="en-US" w:eastAsia="zh-CN"/>
          <w14:textFill>
            <w14:solidFill>
              <w14:schemeClr w14:val="tx1"/>
            </w14:solidFill>
          </w14:textFill>
        </w:rPr>
        <w:t>23</w:t>
      </w:r>
      <w:r>
        <w:rPr>
          <w:rFonts w:hint="eastAsia" w:ascii="Times New Roman" w:hAnsi="Times New Roman" w:eastAsia="仿宋_GB2312" w:cs="仿宋"/>
          <w:bCs/>
          <w:color w:val="000000" w:themeColor="text1"/>
          <w:sz w:val="32"/>
          <w:szCs w:val="32"/>
          <w:u w:val="none" w:color="auto"/>
          <w14:textFill>
            <w14:solidFill>
              <w14:schemeClr w14:val="tx1"/>
            </w14:solidFill>
          </w14:textFill>
        </w:rPr>
        <w:t>年</w:t>
      </w:r>
      <w:r>
        <w:rPr>
          <w:rFonts w:hint="eastAsia" w:ascii="Times New Roman" w:hAnsi="Times New Roman" w:eastAsia="仿宋_GB2312" w:cs="仿宋"/>
          <w:bCs/>
          <w:color w:val="000000" w:themeColor="text1"/>
          <w:sz w:val="32"/>
          <w:szCs w:val="32"/>
          <w:u w:val="none" w:color="auto"/>
          <w:lang w:val="en-US" w:eastAsia="zh-CN"/>
          <w14:textFill>
            <w14:solidFill>
              <w14:schemeClr w14:val="tx1"/>
            </w14:solidFill>
          </w14:textFill>
        </w:rPr>
        <w:t>3</w:t>
      </w:r>
      <w:r>
        <w:rPr>
          <w:rFonts w:hint="eastAsia" w:ascii="Times New Roman" w:hAnsi="Times New Roman" w:eastAsia="仿宋_GB2312" w:cs="仿宋"/>
          <w:bCs/>
          <w:color w:val="000000" w:themeColor="text1"/>
          <w:sz w:val="32"/>
          <w:szCs w:val="32"/>
          <w:u w:val="none" w:color="auto"/>
          <w14:textFill>
            <w14:solidFill>
              <w14:schemeClr w14:val="tx1"/>
            </w14:solidFill>
          </w14:textFill>
        </w:rPr>
        <w:t>月</w:t>
      </w:r>
      <w:r>
        <w:rPr>
          <w:rFonts w:hint="eastAsia" w:ascii="Times New Roman" w:hAnsi="Times New Roman" w:eastAsia="仿宋_GB2312" w:cs="仿宋"/>
          <w:bCs/>
          <w:color w:val="000000" w:themeColor="text1"/>
          <w:sz w:val="32"/>
          <w:szCs w:val="32"/>
          <w:u w:val="none" w:color="auto"/>
          <w:lang w:val="en-US" w:eastAsia="zh-CN"/>
          <w14:textFill>
            <w14:solidFill>
              <w14:schemeClr w14:val="tx1"/>
            </w14:solidFill>
          </w14:textFill>
        </w:rPr>
        <w:t>3</w:t>
      </w:r>
      <w:r>
        <w:rPr>
          <w:rFonts w:hint="eastAsia" w:ascii="Times New Roman" w:hAnsi="Times New Roman" w:eastAsia="仿宋_GB2312" w:cs="仿宋"/>
          <w:bCs/>
          <w:color w:val="000000" w:themeColor="text1"/>
          <w:sz w:val="32"/>
          <w:szCs w:val="32"/>
          <w:u w:val="none" w:color="auto"/>
          <w14:textFill>
            <w14:solidFill>
              <w14:schemeClr w14:val="tx1"/>
            </w14:solidFill>
          </w14:textFill>
        </w:rPr>
        <w:t>日</w:t>
      </w:r>
      <w:r>
        <w:rPr>
          <w:rFonts w:hint="eastAsia" w:ascii="Times New Roman" w:hAnsi="Times New Roman" w:eastAsia="仿宋_GB2312" w:cs="仿宋"/>
          <w:bCs/>
          <w:color w:val="000000"/>
          <w:sz w:val="32"/>
          <w:szCs w:val="32"/>
          <w:u w:val="none" w:color="auto"/>
        </w:rPr>
        <w:t>依法向当事人送达了《行政处罚告知书》（津辰市监罚告〔20</w:t>
      </w:r>
      <w:r>
        <w:rPr>
          <w:rFonts w:hint="eastAsia" w:ascii="Times New Roman" w:hAnsi="Times New Roman" w:eastAsia="仿宋_GB2312" w:cs="仿宋"/>
          <w:bCs/>
          <w:color w:val="000000"/>
          <w:sz w:val="32"/>
          <w:szCs w:val="32"/>
          <w:u w:val="none" w:color="auto"/>
          <w:lang w:val="en-US" w:eastAsia="zh-CN"/>
        </w:rPr>
        <w:t>23</w:t>
      </w:r>
      <w:r>
        <w:rPr>
          <w:rFonts w:hint="eastAsia" w:ascii="Times New Roman" w:hAnsi="Times New Roman" w:eastAsia="仿宋_GB2312" w:cs="仿宋"/>
          <w:bCs/>
          <w:color w:val="000000"/>
          <w:sz w:val="32"/>
          <w:szCs w:val="32"/>
          <w:u w:val="none" w:color="auto"/>
        </w:rPr>
        <w:t>〕</w:t>
      </w:r>
      <w:r>
        <w:rPr>
          <w:rFonts w:hint="eastAsia" w:ascii="Times New Roman" w:hAnsi="Times New Roman" w:eastAsia="仿宋_GB2312" w:cs="仿宋"/>
          <w:bCs/>
          <w:color w:val="000000"/>
          <w:sz w:val="32"/>
          <w:szCs w:val="32"/>
          <w:highlight w:val="none"/>
          <w:u w:val="none" w:color="auto"/>
          <w:lang w:val="en-US" w:eastAsia="zh-CN"/>
        </w:rPr>
        <w:t>122</w:t>
      </w:r>
      <w:r>
        <w:rPr>
          <w:rFonts w:hint="eastAsia" w:ascii="Times New Roman" w:hAnsi="Times New Roman" w:eastAsia="仿宋_GB2312" w:cs="仿宋"/>
          <w:bCs/>
          <w:color w:val="000000"/>
          <w:sz w:val="32"/>
          <w:szCs w:val="32"/>
          <w:u w:val="none" w:color="auto"/>
        </w:rPr>
        <w:t>号），当事人未提出陈述申辩意见。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bCs/>
          <w:sz w:val="32"/>
          <w:szCs w:val="32"/>
          <w:u w:val="none" w:color="auto"/>
          <w:lang w:val="en-US" w:eastAsia="zh-CN"/>
        </w:rPr>
      </w:pPr>
      <w:r>
        <w:rPr>
          <w:rFonts w:hint="eastAsia" w:ascii="仿宋_GB2312" w:hAnsi="楷体_GB2312" w:eastAsia="仿宋_GB2312" w:cs="楷体_GB2312"/>
          <w:color w:val="000000"/>
          <w:sz w:val="32"/>
          <w:szCs w:val="32"/>
          <w:u w:val="none" w:color="auto"/>
        </w:rPr>
        <w:t>本局认为，</w:t>
      </w:r>
      <w:r>
        <w:rPr>
          <w:rFonts w:hint="eastAsia" w:ascii="仿宋_GB2312" w:eastAsia="仿宋_GB2312" w:cs="仿宋_GB2312"/>
          <w:sz w:val="32"/>
          <w:szCs w:val="32"/>
          <w:u w:val="none" w:color="auto"/>
        </w:rPr>
        <w:t>当事人上述行为违反了</w:t>
      </w:r>
      <w:r>
        <w:rPr>
          <w:rFonts w:hint="eastAsia" w:ascii="仿宋_GB2312" w:hAnsi="仿宋" w:eastAsia="仿宋_GB2312"/>
          <w:sz w:val="32"/>
          <w:szCs w:val="32"/>
          <w:u w:val="none" w:color="auto"/>
        </w:rPr>
        <w:t>《中华人民共和国食品安全法》第三十四条第十项：“禁止生产经营下列食品、食品添加剂、食品相关产品：（十）标注虚假生产日期、保质期或者超过保质期的食品、食品添加剂”的规定。</w:t>
      </w:r>
      <w:r>
        <w:rPr>
          <w:rFonts w:hint="eastAsia" w:ascii="仿宋_GB2312" w:hAnsi="仿宋" w:eastAsia="仿宋_GB2312"/>
          <w:sz w:val="32"/>
          <w:szCs w:val="32"/>
          <w:u w:val="none" w:color="auto"/>
          <w:lang w:eastAsia="zh-CN"/>
        </w:rPr>
        <w:t>鉴于</w:t>
      </w:r>
      <w:r>
        <w:rPr>
          <w:rFonts w:hint="eastAsia" w:ascii="仿宋_GB2312" w:hAnsi="仿宋" w:eastAsia="仿宋_GB2312"/>
          <w:sz w:val="32"/>
          <w:szCs w:val="32"/>
          <w:u w:val="none" w:color="auto"/>
        </w:rPr>
        <w:t>当事人在案发后</w:t>
      </w:r>
      <w:r>
        <w:rPr>
          <w:rFonts w:hint="eastAsia" w:ascii="仿宋_GB2312" w:hAnsi="仿宋" w:eastAsia="仿宋_GB2312"/>
          <w:sz w:val="32"/>
          <w:szCs w:val="32"/>
          <w:u w:val="none" w:color="auto"/>
          <w:lang w:eastAsia="zh-CN"/>
        </w:rPr>
        <w:t>积极</w:t>
      </w:r>
      <w:r>
        <w:rPr>
          <w:rFonts w:hint="eastAsia" w:ascii="仿宋_GB2312" w:hAnsi="仿宋" w:eastAsia="仿宋_GB2312"/>
          <w:sz w:val="32"/>
          <w:szCs w:val="32"/>
          <w:u w:val="none" w:color="auto"/>
        </w:rPr>
        <w:t>配合案件调查，</w:t>
      </w:r>
      <w:r>
        <w:rPr>
          <w:rFonts w:hint="eastAsia" w:ascii="仿宋_GB2312" w:hAnsi="仿宋" w:eastAsia="仿宋_GB2312"/>
          <w:sz w:val="32"/>
          <w:szCs w:val="32"/>
          <w:u w:val="none" w:color="auto"/>
          <w:lang w:eastAsia="zh-CN"/>
        </w:rPr>
        <w:t>提供材料，符合</w:t>
      </w:r>
      <w:r>
        <w:rPr>
          <w:rFonts w:hint="eastAsia" w:ascii="仿宋_GB2312" w:hAnsi="仿宋" w:eastAsia="仿宋_GB2312"/>
          <w:sz w:val="32"/>
          <w:szCs w:val="32"/>
          <w:u w:val="none" w:color="auto"/>
        </w:rPr>
        <w:t>《天津市市场和质量监督管理委员会行政处罚裁量适用规则》第十三条第五项</w:t>
      </w:r>
      <w:r>
        <w:rPr>
          <w:rFonts w:hint="eastAsia" w:ascii="仿宋_GB2312" w:hAnsi="仿宋" w:eastAsia="仿宋_GB2312"/>
          <w:sz w:val="32"/>
          <w:szCs w:val="32"/>
          <w:u w:val="none" w:color="auto"/>
          <w:lang w:eastAsia="zh-CN"/>
        </w:rPr>
        <w:t>“</w:t>
      </w:r>
      <w:r>
        <w:rPr>
          <w:rFonts w:hint="eastAsia" w:ascii="仿宋_GB2312" w:hAnsi="仿宋" w:eastAsia="仿宋_GB2312"/>
          <w:sz w:val="32"/>
          <w:szCs w:val="32"/>
          <w:u w:val="none" w:color="auto"/>
          <w:lang w:val="en-US"/>
        </w:rPr>
        <w:t>当事人有下列情形之一的，应当依法从轻或者减轻行政处罚：积极配合行政机关检查，如实提供有关账册、协议、单据、文件、记录、业务函件和其他资料以及积极改正违法行为的</w:t>
      </w:r>
      <w:r>
        <w:rPr>
          <w:rFonts w:hint="eastAsia" w:ascii="仿宋_GB2312" w:hAnsi="仿宋" w:eastAsia="仿宋_GB2312"/>
          <w:sz w:val="32"/>
          <w:szCs w:val="32"/>
          <w:u w:val="none" w:color="auto"/>
          <w:lang w:eastAsia="zh-CN"/>
        </w:rPr>
        <w:t>”</w:t>
      </w:r>
      <w:r>
        <w:rPr>
          <w:rFonts w:hint="eastAsia" w:ascii="仿宋_GB2312" w:hAnsi="仿宋" w:eastAsia="仿宋_GB2312"/>
          <w:sz w:val="32"/>
          <w:szCs w:val="32"/>
          <w:u w:val="none" w:color="auto"/>
        </w:rPr>
        <w:t>的规定</w:t>
      </w:r>
      <w:r>
        <w:rPr>
          <w:rFonts w:hint="eastAsia" w:ascii="仿宋_GB2312" w:hAnsi="仿宋" w:eastAsia="仿宋_GB2312"/>
          <w:sz w:val="32"/>
          <w:szCs w:val="32"/>
          <w:u w:val="none" w:color="auto"/>
          <w:lang w:eastAsia="zh-CN"/>
        </w:rPr>
        <w:t>，</w:t>
      </w:r>
      <w:r>
        <w:rPr>
          <w:rFonts w:hint="eastAsia" w:ascii="仿宋_GB2312" w:hAnsi="仿宋" w:eastAsia="仿宋_GB2312"/>
          <w:sz w:val="32"/>
          <w:szCs w:val="32"/>
          <w:u w:val="none" w:color="auto"/>
        </w:rPr>
        <w:t>予以减轻处罚。</w:t>
      </w:r>
      <w:r>
        <w:rPr>
          <w:rFonts w:hint="eastAsia" w:ascii="仿宋_GB2312" w:eastAsia="仿宋_GB2312" w:cs="仿宋_GB2312"/>
          <w:bCs/>
          <w:sz w:val="32"/>
          <w:szCs w:val="32"/>
          <w:u w:val="non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u w:val="none" w:color="auto"/>
        </w:rPr>
      </w:pPr>
      <w:r>
        <w:rPr>
          <w:rFonts w:hint="eastAsia" w:ascii="仿宋_GB2312" w:hAnsi="楷体_GB2312" w:eastAsia="仿宋_GB2312" w:cs="楷体_GB2312"/>
          <w:color w:val="000000"/>
          <w:sz w:val="32"/>
          <w:szCs w:val="32"/>
          <w:u w:val="none" w:color="auto"/>
        </w:rPr>
        <w:t>依据《中华人民共和国食品安全法》第一百二十四条第一款第五项：“违反本法规定，有下列情形之一，尚不构成犯罪的，由县级以上人民政府</w:t>
      </w:r>
      <w:r>
        <w:rPr>
          <w:rFonts w:hint="eastAsia" w:ascii="仿宋_GB2312" w:hAnsi="楷体_GB2312" w:eastAsia="仿宋_GB2312" w:cs="楷体_GB2312"/>
          <w:bCs/>
          <w:color w:val="000000"/>
          <w:sz w:val="32"/>
          <w:szCs w:val="32"/>
          <w:u w:val="none" w:color="auto"/>
        </w:rPr>
        <w:t>食品安全</w:t>
      </w:r>
      <w:r>
        <w:rPr>
          <w:rFonts w:hint="eastAsia" w:ascii="仿宋_GB2312" w:hAnsi="楷体_GB2312" w:eastAsia="仿宋_GB2312" w:cs="楷体_GB2312"/>
          <w:color w:val="000000"/>
          <w:sz w:val="32"/>
          <w:szCs w:val="32"/>
          <w:u w:val="none" w:color="auto"/>
        </w:rPr>
        <w:t>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五）生产经营标注虚假生产日期、保质期或者超过保质期的食品、食品添加剂”</w:t>
      </w:r>
      <w:r>
        <w:rPr>
          <w:rFonts w:hint="eastAsia" w:ascii="仿宋_GB2312" w:hAnsi="楷体_GB2312" w:eastAsia="仿宋_GB2312" w:cs="楷体_GB2312"/>
          <w:bCs/>
          <w:color w:val="000000"/>
          <w:sz w:val="32"/>
          <w:szCs w:val="32"/>
          <w:u w:val="none" w:color="auto"/>
        </w:rPr>
        <w:t xml:space="preserve"> 的规定，对当事人给予以下行政处罚：</w:t>
      </w:r>
      <w:r>
        <w:rPr>
          <w:rFonts w:hint="eastAsia" w:ascii="仿宋_GB2312" w:hAnsi="仿宋" w:eastAsia="仿宋_GB2312"/>
          <w:sz w:val="32"/>
          <w:szCs w:val="32"/>
          <w:u w:val="none" w:color="auto"/>
        </w:rPr>
        <w:t>1.没收超过保质期的</w:t>
      </w:r>
      <w:r>
        <w:rPr>
          <w:rFonts w:hint="eastAsia" w:ascii="仿宋_GB2312" w:hAnsi="仿宋" w:eastAsia="仿宋_GB2312"/>
          <w:sz w:val="32"/>
          <w:szCs w:val="32"/>
          <w:u w:val="none" w:color="auto"/>
          <w:lang w:val="en-US" w:eastAsia="zh-CN"/>
        </w:rPr>
        <w:t>26袋统一方便面</w:t>
      </w:r>
      <w:r>
        <w:rPr>
          <w:rFonts w:hint="eastAsia" w:ascii="仿宋_GB2312" w:hAnsi="仿宋" w:eastAsia="仿宋_GB2312"/>
          <w:sz w:val="32"/>
          <w:szCs w:val="32"/>
          <w:u w:val="none" w:color="auto"/>
        </w:rPr>
        <w:t>；2.</w:t>
      </w:r>
      <w:r>
        <w:rPr>
          <w:rFonts w:hint="eastAsia" w:ascii="仿宋_GB2312" w:hAnsi="仿宋" w:eastAsia="仿宋_GB2312"/>
          <w:sz w:val="32"/>
          <w:szCs w:val="32"/>
          <w:u w:val="none" w:color="auto"/>
          <w:lang w:eastAsia="zh-CN"/>
        </w:rPr>
        <w:t>没收违法所得</w:t>
      </w:r>
      <w:r>
        <w:rPr>
          <w:rFonts w:hint="eastAsia" w:ascii="仿宋_GB2312" w:hAnsi="仿宋" w:eastAsia="仿宋_GB2312"/>
          <w:sz w:val="32"/>
          <w:szCs w:val="32"/>
          <w:u w:val="none" w:color="auto"/>
          <w:lang w:val="en-US" w:eastAsia="zh-CN"/>
        </w:rPr>
        <w:t>2.7元；3.</w:t>
      </w:r>
      <w:r>
        <w:rPr>
          <w:rFonts w:hint="eastAsia" w:ascii="仿宋_GB2312" w:hAnsi="仿宋" w:eastAsia="仿宋_GB2312"/>
          <w:sz w:val="32"/>
          <w:szCs w:val="32"/>
          <w:u w:val="none" w:color="auto"/>
        </w:rPr>
        <w:t>罚款</w:t>
      </w:r>
      <w:r>
        <w:rPr>
          <w:rFonts w:hint="eastAsia" w:ascii="仿宋_GB2312" w:hAnsi="仿宋" w:eastAsia="仿宋_GB2312"/>
          <w:color w:val="000000"/>
          <w:sz w:val="32"/>
          <w:szCs w:val="32"/>
          <w:u w:val="none" w:color="auto"/>
          <w:lang w:val="en-US" w:eastAsia="zh-CN"/>
        </w:rPr>
        <w:t>4000</w:t>
      </w:r>
      <w:r>
        <w:rPr>
          <w:rFonts w:hint="eastAsia" w:ascii="仿宋_GB2312" w:hAnsi="仿宋" w:eastAsia="仿宋_GB2312"/>
          <w:sz w:val="32"/>
          <w:szCs w:val="32"/>
          <w:u w:val="none" w:color="auto"/>
        </w:rPr>
        <w:t>元</w:t>
      </w:r>
      <w:r>
        <w:rPr>
          <w:rFonts w:hint="eastAsia" w:ascii="仿宋_GB2312" w:hAnsi="仿宋" w:eastAsia="仿宋_GB2312"/>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楷体_GB2312" w:eastAsia="仿宋_GB2312" w:cs="楷体_GB2312"/>
          <w:color w:val="000000"/>
          <w:sz w:val="32"/>
          <w:szCs w:val="32"/>
          <w:u w:val="none" w:color="auto"/>
        </w:rPr>
      </w:pPr>
      <w:r>
        <w:rPr>
          <w:rFonts w:hint="eastAsia" w:ascii="仿宋_GB2312" w:hAnsi="楷体_GB2312" w:eastAsia="仿宋_GB2312" w:cs="楷体_GB2312"/>
          <w:color w:val="000000"/>
          <w:sz w:val="32"/>
          <w:szCs w:val="32"/>
          <w:u w:val="none" w:color="auto"/>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w:t>
      </w:r>
      <w:r>
        <w:rPr>
          <w:rFonts w:hint="eastAsia" w:ascii="仿宋_GB2312" w:hAnsi="楷体_GB2312" w:eastAsia="仿宋_GB2312" w:cs="楷体_GB2312"/>
          <w:color w:val="000000"/>
          <w:sz w:val="32"/>
          <w:szCs w:val="32"/>
          <w:u w:val="none" w:color="auto"/>
          <w:lang w:eastAsia="zh-CN"/>
        </w:rPr>
        <w:t>七十二条第一款</w:t>
      </w:r>
      <w:r>
        <w:rPr>
          <w:rFonts w:hint="eastAsia" w:ascii="仿宋_GB2312" w:hAnsi="楷体_GB2312" w:eastAsia="仿宋_GB2312" w:cs="楷体_GB2312"/>
          <w:color w:val="000000"/>
          <w:sz w:val="32"/>
          <w:szCs w:val="32"/>
          <w:u w:val="none" w:color="auto"/>
        </w:rPr>
        <w:t>的规定，每日按罚款数额的百分之三加处罚款，并将依法申请人民法院强制执行。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
          <w:color w:val="000000"/>
          <w:sz w:val="32"/>
          <w:szCs w:val="32"/>
          <w:u w:val="none" w:color="auto"/>
        </w:rPr>
      </w:pPr>
      <w:r>
        <w:rPr>
          <w:rFonts w:hint="eastAsia" w:ascii="仿宋_GB2312" w:eastAsia="仿宋_GB2312" w:cs="仿宋_GB2312"/>
          <w:kern w:val="1"/>
          <w:sz w:val="32"/>
          <w:szCs w:val="32"/>
          <w:u w:val="none" w:color="auto"/>
        </w:rPr>
        <w:t xml:space="preserve">如对本行政处罚决定不服，可以于收到本决定书之日起六十日内依法向天津市北辰区人民政府申请行政复议，也可以于六个月内依法向天津市北辰区人民法院提起行政诉讼。                   </w:t>
      </w:r>
    </w:p>
    <w:p>
      <w:pPr>
        <w:keepNext w:val="0"/>
        <w:keepLines w:val="0"/>
        <w:pageBreakBefore w:val="0"/>
        <w:widowControl w:val="0"/>
        <w:kinsoku/>
        <w:wordWrap/>
        <w:overflowPunct/>
        <w:topLinePunct w:val="0"/>
        <w:autoSpaceDE/>
        <w:autoSpaceDN/>
        <w:bidi w:val="0"/>
        <w:adjustRightInd/>
        <w:snapToGrid/>
        <w:spacing w:line="560" w:lineRule="exact"/>
        <w:ind w:firstLine="601"/>
        <w:jc w:val="center"/>
        <w:textAlignment w:val="auto"/>
        <w:rPr>
          <w:rFonts w:hint="eastAsia" w:ascii="Times New Roman" w:hAnsi="Times New Roman" w:eastAsia="仿宋_GB2312" w:cs="仿宋"/>
          <w:color w:val="000000"/>
          <w:sz w:val="32"/>
          <w:szCs w:val="32"/>
          <w:u w:val="none" w:color="auto"/>
        </w:rPr>
      </w:pPr>
    </w:p>
    <w:p>
      <w:pPr>
        <w:keepNext w:val="0"/>
        <w:keepLines w:val="0"/>
        <w:pageBreakBefore w:val="0"/>
        <w:widowControl w:val="0"/>
        <w:kinsoku/>
        <w:wordWrap/>
        <w:overflowPunct/>
        <w:topLinePunct w:val="0"/>
        <w:autoSpaceDE/>
        <w:autoSpaceDN/>
        <w:bidi w:val="0"/>
        <w:adjustRightInd/>
        <w:snapToGrid/>
        <w:spacing w:line="560" w:lineRule="exact"/>
        <w:ind w:firstLine="601"/>
        <w:jc w:val="center"/>
        <w:textAlignment w:val="auto"/>
        <w:rPr>
          <w:rFonts w:hint="eastAsia" w:ascii="Times New Roman" w:hAnsi="Times New Roman" w:eastAsia="仿宋_GB2312" w:cs="仿宋"/>
          <w:color w:val="000000"/>
          <w:sz w:val="32"/>
          <w:szCs w:val="32"/>
          <w:u w:val="none" w:color="auto"/>
        </w:rPr>
      </w:pPr>
    </w:p>
    <w:p>
      <w:pPr>
        <w:keepNext w:val="0"/>
        <w:keepLines w:val="0"/>
        <w:pageBreakBefore w:val="0"/>
        <w:widowControl w:val="0"/>
        <w:kinsoku/>
        <w:wordWrap/>
        <w:overflowPunct/>
        <w:topLinePunct w:val="0"/>
        <w:autoSpaceDE/>
        <w:autoSpaceDN/>
        <w:bidi w:val="0"/>
        <w:adjustRightInd/>
        <w:snapToGrid/>
        <w:spacing w:line="560" w:lineRule="exact"/>
        <w:ind w:firstLine="601"/>
        <w:jc w:val="center"/>
        <w:textAlignment w:val="auto"/>
        <w:rPr>
          <w:rFonts w:hint="eastAsia" w:ascii="Times New Roman" w:hAnsi="Times New Roman" w:eastAsia="仿宋_GB2312" w:cs="仿宋"/>
          <w:color w:val="000000"/>
          <w:sz w:val="32"/>
          <w:szCs w:val="32"/>
          <w:u w:val="none" w:color="auto"/>
        </w:rPr>
      </w:pPr>
    </w:p>
    <w:p>
      <w:pPr>
        <w:keepNext w:val="0"/>
        <w:keepLines w:val="0"/>
        <w:pageBreakBefore w:val="0"/>
        <w:widowControl w:val="0"/>
        <w:kinsoku/>
        <w:wordWrap/>
        <w:overflowPunct/>
        <w:topLinePunct w:val="0"/>
        <w:autoSpaceDE/>
        <w:autoSpaceDN/>
        <w:bidi w:val="0"/>
        <w:adjustRightInd/>
        <w:snapToGrid/>
        <w:spacing w:line="560" w:lineRule="exact"/>
        <w:ind w:firstLine="601"/>
        <w:jc w:val="center"/>
        <w:textAlignment w:val="auto"/>
        <w:rPr>
          <w:rFonts w:hint="eastAsia" w:ascii="Times New Roman" w:hAnsi="Times New Roman" w:eastAsia="仿宋_GB2312" w:cs="仿宋"/>
          <w:color w:val="000000"/>
          <w:sz w:val="32"/>
          <w:szCs w:val="32"/>
          <w:u w:val="none" w:color="auto"/>
        </w:rPr>
      </w:pPr>
      <w:r>
        <w:rPr>
          <w:rFonts w:hint="eastAsia" w:ascii="Times New Roman" w:hAnsi="Times New Roman" w:eastAsia="仿宋_GB2312" w:cs="仿宋"/>
          <w:color w:val="000000"/>
          <w:sz w:val="32"/>
          <w:szCs w:val="32"/>
          <w:u w:val="none" w:color="auto"/>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01"/>
        <w:jc w:val="center"/>
        <w:textAlignment w:val="auto"/>
        <w:rPr>
          <w:rFonts w:ascii="Times New Roman" w:hAnsi="Times New Roman" w:eastAsia="仿宋_GB2312" w:cs="仿宋"/>
          <w:color w:val="000000"/>
          <w:sz w:val="32"/>
          <w:szCs w:val="32"/>
          <w:u w:val="none" w:color="auto"/>
        </w:rPr>
      </w:pPr>
      <w:r>
        <w:rPr>
          <w:rFonts w:hint="eastAsia" w:ascii="Times New Roman" w:hAnsi="Times New Roman" w:eastAsia="仿宋_GB2312" w:cs="仿宋"/>
          <w:color w:val="000000"/>
          <w:sz w:val="32"/>
          <w:szCs w:val="32"/>
          <w:u w:val="none" w:color="auto"/>
          <w:lang w:val="en-US" w:eastAsia="zh-CN"/>
        </w:rPr>
        <w:t xml:space="preserve">         </w:t>
      </w:r>
      <w:r>
        <w:rPr>
          <w:rFonts w:hint="eastAsia" w:ascii="Times New Roman" w:hAnsi="Times New Roman" w:eastAsia="仿宋_GB2312" w:cs="仿宋"/>
          <w:color w:val="000000"/>
          <w:sz w:val="32"/>
          <w:szCs w:val="32"/>
          <w:u w:val="none" w:color="auto"/>
          <w:lang w:eastAsia="zh-CN"/>
        </w:rPr>
        <w:t>天津市</w:t>
      </w:r>
      <w:r>
        <w:rPr>
          <w:rFonts w:hint="eastAsia" w:ascii="Times New Roman" w:hAnsi="Times New Roman" w:eastAsia="仿宋_GB2312" w:cs="仿宋"/>
          <w:color w:val="000000"/>
          <w:sz w:val="32"/>
          <w:szCs w:val="32"/>
          <w:u w:val="none" w:color="auto"/>
        </w:rPr>
        <w:t>北辰区市场监督管理局</w:t>
      </w:r>
    </w:p>
    <w:p>
      <w:pPr>
        <w:keepNext w:val="0"/>
        <w:keepLines w:val="0"/>
        <w:pageBreakBefore w:val="0"/>
        <w:widowControl w:val="0"/>
        <w:kinsoku/>
        <w:wordWrap/>
        <w:overflowPunct/>
        <w:topLinePunct w:val="0"/>
        <w:autoSpaceDE/>
        <w:autoSpaceDN/>
        <w:bidi w:val="0"/>
        <w:adjustRightInd/>
        <w:snapToGrid/>
        <w:spacing w:line="560" w:lineRule="exact"/>
        <w:ind w:right="640" w:firstLine="600"/>
        <w:jc w:val="center"/>
        <w:textAlignment w:val="auto"/>
        <w:rPr>
          <w:rFonts w:ascii="Times New Roman" w:hAnsi="Times New Roman" w:eastAsia="仿宋_GB2312" w:cs="仿宋"/>
          <w:color w:val="000000"/>
          <w:sz w:val="32"/>
          <w:szCs w:val="32"/>
          <w:u w:val="none" w:color="auto"/>
        </w:rPr>
      </w:pPr>
      <w:r>
        <w:rPr>
          <w:rFonts w:hint="eastAsia" w:ascii="Times New Roman" w:hAnsi="Times New Roman" w:eastAsia="仿宋_GB2312" w:cs="仿宋"/>
          <w:color w:val="000000"/>
          <w:sz w:val="32"/>
          <w:szCs w:val="32"/>
          <w:u w:val="none" w:color="auto"/>
        </w:rPr>
        <w:t xml:space="preserve">               </w:t>
      </w:r>
      <w:bookmarkStart w:id="0" w:name="_GoBack"/>
      <w:bookmarkEnd w:id="0"/>
      <w:r>
        <w:rPr>
          <w:rFonts w:hint="eastAsia" w:ascii="Times New Roman" w:hAnsi="Times New Roman" w:eastAsia="仿宋_GB2312" w:cs="仿宋"/>
          <w:color w:val="000000"/>
          <w:sz w:val="32"/>
          <w:szCs w:val="32"/>
          <w:u w:val="none" w:color="auto"/>
        </w:rPr>
        <w:t>20</w:t>
      </w:r>
      <w:r>
        <w:rPr>
          <w:rFonts w:hint="eastAsia" w:ascii="Times New Roman" w:hAnsi="Times New Roman" w:eastAsia="仿宋_GB2312" w:cs="仿宋"/>
          <w:color w:val="000000"/>
          <w:sz w:val="32"/>
          <w:szCs w:val="32"/>
          <w:u w:val="none" w:color="auto"/>
          <w:lang w:val="en-US" w:eastAsia="zh-CN"/>
        </w:rPr>
        <w:t>23</w:t>
      </w:r>
      <w:r>
        <w:rPr>
          <w:rFonts w:hint="eastAsia" w:ascii="Times New Roman" w:hAnsi="Times New Roman" w:eastAsia="仿宋_GB2312" w:cs="仿宋"/>
          <w:color w:val="000000"/>
          <w:sz w:val="32"/>
          <w:szCs w:val="32"/>
          <w:u w:val="none" w:color="auto"/>
        </w:rPr>
        <w:t>年</w:t>
      </w:r>
      <w:r>
        <w:rPr>
          <w:rFonts w:hint="eastAsia" w:ascii="Times New Roman" w:hAnsi="Times New Roman" w:eastAsia="仿宋_GB2312" w:cs="仿宋"/>
          <w:color w:val="000000"/>
          <w:sz w:val="32"/>
          <w:szCs w:val="32"/>
          <w:u w:val="none" w:color="auto"/>
          <w:lang w:val="en-US" w:eastAsia="zh-CN"/>
        </w:rPr>
        <w:t>3</w:t>
      </w:r>
      <w:r>
        <w:rPr>
          <w:rFonts w:hint="eastAsia" w:ascii="Times New Roman" w:hAnsi="Times New Roman" w:eastAsia="仿宋_GB2312" w:cs="仿宋"/>
          <w:color w:val="000000"/>
          <w:sz w:val="32"/>
          <w:szCs w:val="32"/>
          <w:u w:val="none" w:color="auto"/>
        </w:rPr>
        <w:t>月</w:t>
      </w:r>
      <w:r>
        <w:rPr>
          <w:rFonts w:hint="eastAsia" w:ascii="Times New Roman" w:hAnsi="Times New Roman" w:eastAsia="仿宋_GB2312" w:cs="仿宋"/>
          <w:color w:val="000000"/>
          <w:sz w:val="32"/>
          <w:szCs w:val="32"/>
          <w:u w:val="none" w:color="auto"/>
          <w:lang w:val="en-US" w:eastAsia="zh-CN"/>
        </w:rPr>
        <w:t>10</w:t>
      </w:r>
      <w:r>
        <w:rPr>
          <w:rFonts w:hint="eastAsia" w:ascii="Times New Roman" w:hAnsi="Times New Roman" w:eastAsia="仿宋_GB2312" w:cs="仿宋"/>
          <w:color w:val="000000"/>
          <w:sz w:val="32"/>
          <w:szCs w:val="32"/>
          <w:u w:val="none" w:color="auto"/>
        </w:rPr>
        <w:t>日</w:t>
      </w:r>
    </w:p>
    <w:p>
      <w:pPr>
        <w:keepNext w:val="0"/>
        <w:keepLines w:val="0"/>
        <w:pageBreakBefore w:val="0"/>
        <w:widowControl w:val="0"/>
        <w:kinsoku/>
        <w:wordWrap w:val="0"/>
        <w:overflowPunct/>
        <w:topLinePunct w:val="0"/>
        <w:autoSpaceDE/>
        <w:autoSpaceDN/>
        <w:bidi w:val="0"/>
        <w:adjustRightInd/>
        <w:snapToGrid/>
        <w:spacing w:line="480" w:lineRule="exact"/>
        <w:jc w:val="center"/>
        <w:textAlignment w:val="auto"/>
        <w:rPr>
          <w:rFonts w:hint="eastAsia" w:ascii="黑体" w:hAnsi="黑体" w:eastAsia="黑体"/>
          <w:color w:val="231F20"/>
          <w:spacing w:val="-16"/>
          <w:sz w:val="28"/>
          <w:szCs w:val="28"/>
          <w:u w:val="none" w:color="auto"/>
        </w:rPr>
      </w:pPr>
    </w:p>
    <w:p>
      <w:pPr>
        <w:keepNext w:val="0"/>
        <w:keepLines w:val="0"/>
        <w:pageBreakBefore w:val="0"/>
        <w:widowControl w:val="0"/>
        <w:kinsoku/>
        <w:wordWrap w:val="0"/>
        <w:overflowPunct/>
        <w:topLinePunct w:val="0"/>
        <w:autoSpaceDE/>
        <w:autoSpaceDN/>
        <w:bidi w:val="0"/>
        <w:adjustRightInd/>
        <w:snapToGrid/>
        <w:spacing w:line="480" w:lineRule="exact"/>
        <w:jc w:val="center"/>
        <w:textAlignment w:val="auto"/>
        <w:rPr>
          <w:rFonts w:hint="eastAsia" w:ascii="黑体" w:hAnsi="黑体" w:eastAsia="黑体"/>
          <w:color w:val="231F20"/>
          <w:spacing w:val="-16"/>
          <w:sz w:val="28"/>
          <w:szCs w:val="28"/>
          <w:u w:val="none" w:color="auto"/>
        </w:rPr>
      </w:pPr>
    </w:p>
    <w:p>
      <w:pPr>
        <w:keepNext w:val="0"/>
        <w:keepLines w:val="0"/>
        <w:pageBreakBefore w:val="0"/>
        <w:widowControl w:val="0"/>
        <w:kinsoku/>
        <w:wordWrap w:val="0"/>
        <w:overflowPunct/>
        <w:topLinePunct w:val="0"/>
        <w:autoSpaceDE/>
        <w:autoSpaceDN/>
        <w:bidi w:val="0"/>
        <w:adjustRightInd/>
        <w:snapToGrid/>
        <w:spacing w:line="480" w:lineRule="exact"/>
        <w:jc w:val="center"/>
        <w:textAlignment w:val="auto"/>
        <w:rPr>
          <w:rFonts w:hint="eastAsia" w:ascii="黑体" w:hAnsi="黑体" w:eastAsia="黑体"/>
          <w:color w:val="231F20"/>
          <w:spacing w:val="-16"/>
          <w:sz w:val="28"/>
          <w:szCs w:val="28"/>
          <w:u w:val="none" w:color="auto"/>
        </w:rPr>
      </w:pPr>
    </w:p>
    <w:p>
      <w:pPr>
        <w:keepNext w:val="0"/>
        <w:keepLines w:val="0"/>
        <w:pageBreakBefore w:val="0"/>
        <w:widowControl w:val="0"/>
        <w:kinsoku/>
        <w:wordWrap w:val="0"/>
        <w:overflowPunct/>
        <w:topLinePunct w:val="0"/>
        <w:autoSpaceDE/>
        <w:autoSpaceDN/>
        <w:bidi w:val="0"/>
        <w:adjustRightInd/>
        <w:snapToGrid/>
        <w:spacing w:line="480" w:lineRule="exact"/>
        <w:jc w:val="center"/>
        <w:textAlignment w:val="auto"/>
        <w:rPr>
          <w:rFonts w:hint="eastAsia" w:ascii="黑体" w:hAnsi="黑体" w:eastAsia="黑体"/>
          <w:color w:val="231F20"/>
          <w:spacing w:val="-16"/>
          <w:sz w:val="28"/>
          <w:szCs w:val="28"/>
          <w:u w:val="none" w:color="auto"/>
        </w:rPr>
      </w:pPr>
    </w:p>
    <w:p>
      <w:pPr>
        <w:keepNext w:val="0"/>
        <w:keepLines w:val="0"/>
        <w:pageBreakBefore w:val="0"/>
        <w:widowControl w:val="0"/>
        <w:kinsoku/>
        <w:wordWrap w:val="0"/>
        <w:overflowPunct/>
        <w:topLinePunct w:val="0"/>
        <w:autoSpaceDE/>
        <w:autoSpaceDN/>
        <w:bidi w:val="0"/>
        <w:adjustRightInd/>
        <w:snapToGrid/>
        <w:spacing w:line="480" w:lineRule="exact"/>
        <w:jc w:val="center"/>
        <w:textAlignment w:val="auto"/>
        <w:rPr>
          <w:rFonts w:hint="eastAsia" w:ascii="黑体" w:hAnsi="黑体" w:eastAsia="黑体"/>
          <w:color w:val="231F20"/>
          <w:spacing w:val="-16"/>
          <w:sz w:val="28"/>
          <w:szCs w:val="28"/>
          <w:u w:val="none" w:color="auto"/>
        </w:rPr>
      </w:pPr>
    </w:p>
    <w:p>
      <w:pPr>
        <w:keepNext w:val="0"/>
        <w:keepLines w:val="0"/>
        <w:pageBreakBefore w:val="0"/>
        <w:widowControl w:val="0"/>
        <w:kinsoku/>
        <w:wordWrap w:val="0"/>
        <w:overflowPunct/>
        <w:topLinePunct w:val="0"/>
        <w:autoSpaceDE/>
        <w:autoSpaceDN/>
        <w:bidi w:val="0"/>
        <w:adjustRightInd/>
        <w:snapToGrid/>
        <w:spacing w:line="480" w:lineRule="exact"/>
        <w:jc w:val="center"/>
        <w:textAlignment w:val="auto"/>
        <w:rPr>
          <w:rFonts w:hint="eastAsia" w:ascii="黑体" w:hAnsi="黑体" w:eastAsia="黑体"/>
          <w:color w:val="231F20"/>
          <w:spacing w:val="-16"/>
          <w:sz w:val="28"/>
          <w:szCs w:val="28"/>
          <w:u w:val="none" w:color="auto"/>
        </w:rPr>
      </w:pPr>
    </w:p>
    <w:p>
      <w:pPr>
        <w:keepNext w:val="0"/>
        <w:keepLines w:val="0"/>
        <w:pageBreakBefore w:val="0"/>
        <w:widowControl w:val="0"/>
        <w:kinsoku/>
        <w:wordWrap w:val="0"/>
        <w:overflowPunct/>
        <w:topLinePunct w:val="0"/>
        <w:autoSpaceDE/>
        <w:autoSpaceDN/>
        <w:bidi w:val="0"/>
        <w:adjustRightInd/>
        <w:snapToGrid/>
        <w:spacing w:line="480" w:lineRule="exact"/>
        <w:jc w:val="center"/>
        <w:textAlignment w:val="auto"/>
        <w:rPr>
          <w:rFonts w:hint="eastAsia" w:ascii="黑体" w:hAnsi="黑体" w:eastAsia="黑体"/>
          <w:color w:val="231F20"/>
          <w:spacing w:val="-16"/>
          <w:sz w:val="28"/>
          <w:szCs w:val="28"/>
          <w:u w:val="none" w:color="auto"/>
        </w:rPr>
      </w:pPr>
    </w:p>
    <w:p>
      <w:pPr>
        <w:keepNext w:val="0"/>
        <w:keepLines w:val="0"/>
        <w:pageBreakBefore w:val="0"/>
        <w:widowControl w:val="0"/>
        <w:kinsoku/>
        <w:wordWrap w:val="0"/>
        <w:overflowPunct/>
        <w:topLinePunct w:val="0"/>
        <w:autoSpaceDE/>
        <w:autoSpaceDN/>
        <w:bidi w:val="0"/>
        <w:adjustRightInd/>
        <w:snapToGrid/>
        <w:spacing w:line="480" w:lineRule="exact"/>
        <w:jc w:val="center"/>
        <w:textAlignment w:val="auto"/>
        <w:rPr>
          <w:rFonts w:hint="eastAsia" w:ascii="黑体" w:hAnsi="黑体" w:eastAsia="黑体"/>
          <w:color w:val="231F20"/>
          <w:spacing w:val="-16"/>
          <w:sz w:val="28"/>
          <w:szCs w:val="28"/>
          <w:u w:val="none" w:color="auto"/>
        </w:rPr>
      </w:pPr>
    </w:p>
    <w:p>
      <w:pPr>
        <w:keepNext w:val="0"/>
        <w:keepLines w:val="0"/>
        <w:pageBreakBefore w:val="0"/>
        <w:widowControl w:val="0"/>
        <w:kinsoku/>
        <w:wordWrap w:val="0"/>
        <w:overflowPunct/>
        <w:topLinePunct w:val="0"/>
        <w:autoSpaceDE/>
        <w:autoSpaceDN/>
        <w:bidi w:val="0"/>
        <w:adjustRightInd/>
        <w:snapToGrid/>
        <w:spacing w:line="480" w:lineRule="exact"/>
        <w:jc w:val="center"/>
        <w:textAlignment w:val="auto"/>
        <w:rPr>
          <w:rFonts w:hint="eastAsia" w:ascii="黑体" w:hAnsi="黑体" w:eastAsia="黑体"/>
          <w:color w:val="231F20"/>
          <w:spacing w:val="-16"/>
          <w:sz w:val="28"/>
          <w:szCs w:val="28"/>
          <w:u w:val="none" w:color="auto"/>
        </w:rPr>
      </w:pPr>
    </w:p>
    <w:p>
      <w:pPr>
        <w:keepNext w:val="0"/>
        <w:keepLines w:val="0"/>
        <w:pageBreakBefore w:val="0"/>
        <w:widowControl w:val="0"/>
        <w:kinsoku/>
        <w:wordWrap w:val="0"/>
        <w:overflowPunct/>
        <w:topLinePunct w:val="0"/>
        <w:autoSpaceDE/>
        <w:autoSpaceDN/>
        <w:bidi w:val="0"/>
        <w:adjustRightInd/>
        <w:snapToGrid/>
        <w:spacing w:line="480" w:lineRule="exact"/>
        <w:jc w:val="center"/>
        <w:textAlignment w:val="auto"/>
        <w:rPr>
          <w:rFonts w:hint="eastAsia" w:ascii="黑体" w:hAnsi="黑体" w:eastAsia="黑体"/>
          <w:color w:val="231F20"/>
          <w:spacing w:val="-16"/>
          <w:sz w:val="28"/>
          <w:szCs w:val="28"/>
          <w:u w:val="none" w:color="auto"/>
        </w:rPr>
      </w:pPr>
    </w:p>
    <w:p>
      <w:pPr>
        <w:keepNext w:val="0"/>
        <w:keepLines w:val="0"/>
        <w:pageBreakBefore w:val="0"/>
        <w:widowControl w:val="0"/>
        <w:kinsoku/>
        <w:wordWrap w:val="0"/>
        <w:overflowPunct/>
        <w:topLinePunct w:val="0"/>
        <w:autoSpaceDE/>
        <w:autoSpaceDN/>
        <w:bidi w:val="0"/>
        <w:adjustRightInd/>
        <w:snapToGrid/>
        <w:spacing w:line="480" w:lineRule="exact"/>
        <w:jc w:val="center"/>
        <w:textAlignment w:val="auto"/>
        <w:rPr>
          <w:rFonts w:hint="eastAsia" w:ascii="黑体" w:hAnsi="黑体" w:eastAsia="黑体"/>
          <w:color w:val="231F20"/>
          <w:spacing w:val="-16"/>
          <w:sz w:val="28"/>
          <w:szCs w:val="28"/>
          <w:u w:val="none" w:color="auto"/>
        </w:rPr>
      </w:pPr>
    </w:p>
    <w:p>
      <w:pPr>
        <w:keepNext w:val="0"/>
        <w:keepLines w:val="0"/>
        <w:pageBreakBefore w:val="0"/>
        <w:widowControl w:val="0"/>
        <w:kinsoku/>
        <w:wordWrap w:val="0"/>
        <w:overflowPunct/>
        <w:topLinePunct w:val="0"/>
        <w:autoSpaceDE/>
        <w:autoSpaceDN/>
        <w:bidi w:val="0"/>
        <w:adjustRightInd/>
        <w:snapToGrid/>
        <w:spacing w:line="480" w:lineRule="exact"/>
        <w:jc w:val="center"/>
        <w:textAlignment w:val="auto"/>
        <w:rPr>
          <w:rFonts w:hint="eastAsia" w:ascii="黑体" w:hAnsi="黑体" w:eastAsia="黑体"/>
          <w:color w:val="231F20"/>
          <w:spacing w:val="-16"/>
          <w:sz w:val="28"/>
          <w:szCs w:val="28"/>
          <w:u w:val="none" w:color="auto"/>
        </w:rPr>
      </w:pPr>
    </w:p>
    <w:p>
      <w:pPr>
        <w:keepNext w:val="0"/>
        <w:keepLines w:val="0"/>
        <w:pageBreakBefore w:val="0"/>
        <w:widowControl w:val="0"/>
        <w:kinsoku/>
        <w:wordWrap w:val="0"/>
        <w:overflowPunct/>
        <w:topLinePunct w:val="0"/>
        <w:autoSpaceDE/>
        <w:autoSpaceDN/>
        <w:bidi w:val="0"/>
        <w:adjustRightInd/>
        <w:snapToGrid/>
        <w:spacing w:line="480" w:lineRule="exact"/>
        <w:jc w:val="center"/>
        <w:textAlignment w:val="auto"/>
        <w:rPr>
          <w:rFonts w:hint="eastAsia" w:ascii="黑体" w:hAnsi="黑体" w:eastAsia="黑体"/>
          <w:color w:val="231F20"/>
          <w:spacing w:val="-16"/>
          <w:sz w:val="28"/>
          <w:szCs w:val="28"/>
          <w:u w:val="none" w:color="auto"/>
        </w:rPr>
      </w:pPr>
    </w:p>
    <w:p>
      <w:pPr>
        <w:keepNext w:val="0"/>
        <w:keepLines w:val="0"/>
        <w:pageBreakBefore w:val="0"/>
        <w:widowControl w:val="0"/>
        <w:kinsoku/>
        <w:wordWrap w:val="0"/>
        <w:overflowPunct/>
        <w:topLinePunct w:val="0"/>
        <w:autoSpaceDE/>
        <w:autoSpaceDN/>
        <w:bidi w:val="0"/>
        <w:adjustRightInd/>
        <w:snapToGrid/>
        <w:spacing w:line="480" w:lineRule="exact"/>
        <w:jc w:val="center"/>
        <w:textAlignment w:val="auto"/>
        <w:rPr>
          <w:rFonts w:hint="eastAsia" w:ascii="黑体" w:hAnsi="黑体" w:eastAsia="黑体"/>
          <w:color w:val="231F20"/>
          <w:spacing w:val="-16"/>
          <w:sz w:val="28"/>
          <w:szCs w:val="28"/>
          <w:u w:val="none" w:color="auto"/>
        </w:rPr>
      </w:pPr>
    </w:p>
    <w:p>
      <w:pPr>
        <w:keepNext w:val="0"/>
        <w:keepLines w:val="0"/>
        <w:pageBreakBefore w:val="0"/>
        <w:widowControl w:val="0"/>
        <w:kinsoku/>
        <w:wordWrap w:val="0"/>
        <w:overflowPunct/>
        <w:topLinePunct w:val="0"/>
        <w:autoSpaceDE/>
        <w:autoSpaceDN/>
        <w:bidi w:val="0"/>
        <w:adjustRightInd/>
        <w:snapToGrid/>
        <w:spacing w:line="480" w:lineRule="exact"/>
        <w:jc w:val="center"/>
        <w:textAlignment w:val="auto"/>
        <w:rPr>
          <w:rFonts w:hint="eastAsia" w:ascii="黑体" w:hAnsi="黑体" w:eastAsia="黑体"/>
          <w:color w:val="231F20"/>
          <w:spacing w:val="-16"/>
          <w:sz w:val="28"/>
          <w:szCs w:val="28"/>
          <w:u w:val="none" w:color="auto"/>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ascii="Times New Roman" w:hAnsi="Times New Roman" w:eastAsia="仿宋_GB2312" w:cs="仿宋"/>
          <w:color w:val="000000"/>
          <w:sz w:val="32"/>
          <w:szCs w:val="32"/>
          <w:u w:val="none" w:color="auto"/>
        </w:rPr>
      </w:pP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98"/>
    <w:rsid w:val="002C41A4"/>
    <w:rsid w:val="00562944"/>
    <w:rsid w:val="007B5F28"/>
    <w:rsid w:val="009059DF"/>
    <w:rsid w:val="0095241C"/>
    <w:rsid w:val="009550DE"/>
    <w:rsid w:val="00A41198"/>
    <w:rsid w:val="00A729C0"/>
    <w:rsid w:val="00CF10B0"/>
    <w:rsid w:val="00EA3874"/>
    <w:rsid w:val="091817CC"/>
    <w:rsid w:val="092335FC"/>
    <w:rsid w:val="098D4333"/>
    <w:rsid w:val="1145099D"/>
    <w:rsid w:val="16A20938"/>
    <w:rsid w:val="1A523DD2"/>
    <w:rsid w:val="1AB309E6"/>
    <w:rsid w:val="2A7B222F"/>
    <w:rsid w:val="2AB732D7"/>
    <w:rsid w:val="2FE74CDB"/>
    <w:rsid w:val="3405148E"/>
    <w:rsid w:val="39794580"/>
    <w:rsid w:val="3F902986"/>
    <w:rsid w:val="46816F58"/>
    <w:rsid w:val="49C413DB"/>
    <w:rsid w:val="4A493F93"/>
    <w:rsid w:val="4DC23B3D"/>
    <w:rsid w:val="547B34B4"/>
    <w:rsid w:val="550D4146"/>
    <w:rsid w:val="6AEB778D"/>
    <w:rsid w:val="765C0B4F"/>
    <w:rsid w:val="79EC1630"/>
    <w:rsid w:val="7C0A6A73"/>
    <w:rsid w:val="FFB6A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Emphasis"/>
    <w:qFormat/>
    <w:uiPriority w:val="0"/>
    <w:rPr>
      <w:i/>
      <w:i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天津市北辰区市场和质量监督管理局</Company>
  <Pages>3</Pages>
  <Words>313</Words>
  <Characters>1785</Characters>
  <Lines>14</Lines>
  <Paragraphs>4</Paragraphs>
  <TotalTime>0</TotalTime>
  <ScaleCrop>false</ScaleCrop>
  <LinksUpToDate>false</LinksUpToDate>
  <CharactersWithSpaces>2094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2019-05-08T10:49:00Z</dcterms:created>
  <dc:creator>李光磊</dc:creator>
  <cp:lastModifiedBy>admin</cp:lastModifiedBy>
  <cp:lastPrinted>2022-12-29T10:10:00Z</cp:lastPrinted>
  <dcterms:modified xsi:type="dcterms:W3CDTF">2023-03-10T14:22:51Z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