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仿宋_GB2312" w:eastAsia="仿宋_GB2312"/>
          <w:sz w:val="48"/>
          <w:szCs w:val="48"/>
        </w:rPr>
      </w:pPr>
      <w:bookmarkStart w:id="0" w:name="_Hlk36028722"/>
      <w:r>
        <w:rPr>
          <w:rFonts w:hint="eastAsia" w:ascii="仿宋_GB2312" w:eastAsia="仿宋_GB2312"/>
          <w:sz w:val="48"/>
          <w:szCs w:val="48"/>
        </w:rPr>
        <w:t>天津市北辰区人民政府</w:t>
      </w:r>
    </w:p>
    <w:p>
      <w:r>
        <w:rPr>
          <w:rFonts w:hint="eastAsi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43180</wp:posOffset>
                </wp:positionV>
                <wp:extent cx="526859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26877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3.4pt;height:0pt;width:414.85pt;mso-position-horizontal:right;mso-position-horizontal-relative:margin;z-index:251659264;mso-width-relative:page;mso-height-relative:page;" filled="f" stroked="t" coordsize="21600,21600" o:gfxdata="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hTqUO9UAAAAEAQAADwAAAAAA&#10;AAABACAAAAA4AAAAZHJzL2Rvd25yZXYueG1sUEsBAhQAFAAAAAgAh07iQHYLyUPHAQAAZAMAAA4A&#10;AAAAAAAAAQAgAAAAOgEAAGRycy9lMm9Eb2MueG1sUEsFBgAAAAAGAAYAWQEAAHMFAAAAAA==&#10;">
                <v:fill on="f" focussize="0,0"/>
                <v:stroke weight="1pt" color="#000000 [3200]" miterlimit="8" joinstyle="miter"/>
                <v:imagedata o:title=""/>
                <o:lock v:ext="edit" aspectratio="f"/>
              </v:line>
            </w:pict>
          </mc:Fallback>
        </mc:AlternateContent>
      </w:r>
    </w:p>
    <w:bookmarkEnd w:id="0"/>
    <w:p>
      <w:pPr>
        <w:spacing w:before="156" w:beforeLines="50" w:after="312" w:afterLines="100"/>
        <w:jc w:val="center"/>
        <w:rPr>
          <w:rFonts w:ascii="仿宋_GB2312" w:eastAsia="仿宋_GB2312"/>
          <w:sz w:val="40"/>
          <w:szCs w:val="40"/>
        </w:rPr>
      </w:pPr>
      <w:r>
        <w:rPr>
          <w:rFonts w:hint="eastAsia" w:ascii="仿宋_GB2312" w:eastAsia="仿宋_GB2312"/>
          <w:sz w:val="40"/>
          <w:szCs w:val="40"/>
        </w:rPr>
        <w:t>行政复议指南</w:t>
      </w:r>
    </w:p>
    <w:p>
      <w:pPr>
        <w:spacing w:line="600" w:lineRule="exact"/>
        <w:ind w:firstLine="642" w:firstLineChars="200"/>
        <w:rPr>
          <w:rFonts w:ascii="仿宋_GB2312" w:eastAsia="仿宋_GB2312"/>
          <w:b/>
          <w:bCs/>
          <w:sz w:val="32"/>
          <w:szCs w:val="32"/>
        </w:rPr>
      </w:pPr>
      <w:r>
        <w:rPr>
          <w:rFonts w:hint="eastAsia" w:ascii="仿宋_GB2312" w:eastAsia="仿宋_GB2312"/>
          <w:b/>
          <w:bCs/>
          <w:sz w:val="32"/>
          <w:szCs w:val="32"/>
        </w:rPr>
        <w:t>一、申请条件</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《中华人民共和国行政复议法》第</w:t>
      </w:r>
      <w:r>
        <w:rPr>
          <w:rFonts w:hint="eastAsia" w:ascii="仿宋_GB2312" w:eastAsia="仿宋_GB2312"/>
          <w:sz w:val="32"/>
          <w:szCs w:val="32"/>
          <w:lang w:eastAsia="zh-CN"/>
        </w:rPr>
        <w:t>三十</w:t>
      </w:r>
      <w:r>
        <w:rPr>
          <w:rFonts w:hint="eastAsia" w:ascii="仿宋_GB2312" w:eastAsia="仿宋_GB2312"/>
          <w:sz w:val="32"/>
          <w:szCs w:val="32"/>
        </w:rPr>
        <w:t>条</w:t>
      </w:r>
      <w:r>
        <w:rPr>
          <w:rFonts w:hint="eastAsia" w:ascii="仿宋_GB2312" w:eastAsia="仿宋_GB2312"/>
          <w:sz w:val="32"/>
          <w:szCs w:val="32"/>
          <w:lang w:eastAsia="zh-CN"/>
        </w:rPr>
        <w:t>第一款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（一）有明确的申请人和符合本法规定的被申请人；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（二）申请人与被申请行政复议的行政行为有利害关系；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（三）有具体的行政复议请求和理由；</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（四）在法定申请期限内提出；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（五）属于本法规定的行政复议范围；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（六）属于本机关的管辖范围；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（七）行政复议机关未受理过该申请人就同一行政行为提出的行政复议申请，并且人民法院未受理过该申请人就同一行政行为提起的行政诉讼。</w:t>
      </w:r>
    </w:p>
    <w:p>
      <w:pPr>
        <w:spacing w:line="600" w:lineRule="exact"/>
        <w:ind w:firstLine="640" w:firstLineChars="200"/>
        <w:rPr>
          <w:rFonts w:ascii="仿宋_GB2312" w:eastAsia="仿宋_GB2312"/>
          <w:sz w:val="32"/>
          <w:szCs w:val="32"/>
        </w:rPr>
      </w:pPr>
    </w:p>
    <w:p>
      <w:pPr>
        <w:numPr>
          <w:ilvl w:val="0"/>
          <w:numId w:val="0"/>
        </w:numPr>
        <w:spacing w:line="600" w:lineRule="exact"/>
        <w:rPr>
          <w:rFonts w:hint="eastAsia" w:ascii="仿宋_GB2312" w:eastAsia="仿宋_GB2312"/>
          <w:b/>
          <w:bCs/>
          <w:sz w:val="32"/>
          <w:szCs w:val="32"/>
        </w:rPr>
      </w:pPr>
      <w:r>
        <w:rPr>
          <w:rFonts w:hint="eastAsia" w:ascii="仿宋_GB2312" w:eastAsia="仿宋_GB2312"/>
          <w:b/>
          <w:bCs/>
          <w:sz w:val="32"/>
          <w:szCs w:val="32"/>
          <w:lang w:val="en-US" w:eastAsia="zh-CN"/>
        </w:rPr>
        <w:t xml:space="preserve">    二、复议范围</w:t>
      </w:r>
    </w:p>
    <w:p>
      <w:pPr>
        <w:numPr>
          <w:ilvl w:val="0"/>
          <w:numId w:val="0"/>
        </w:numPr>
        <w:spacing w:line="600" w:lineRule="exact"/>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 xml:space="preserve">   </w:t>
      </w:r>
      <w:r>
        <w:rPr>
          <w:rFonts w:hint="eastAsia" w:ascii="仿宋_GB2312" w:eastAsia="仿宋_GB2312"/>
          <w:b w:val="0"/>
          <w:bCs w:val="0"/>
          <w:sz w:val="32"/>
          <w:szCs w:val="32"/>
          <w:lang w:val="en-US" w:eastAsia="zh-CN"/>
        </w:rPr>
        <w:t>《中华人民共和国行政复议法》第十一条</w:t>
      </w:r>
    </w:p>
    <w:p>
      <w:pPr>
        <w:numPr>
          <w:ilvl w:val="0"/>
          <w:numId w:val="0"/>
        </w:numPr>
        <w:spacing w:line="600" w:lineRule="exac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xml:space="preserve">    （一）对行政机关作出的行政处罚决定不服；</w:t>
      </w:r>
    </w:p>
    <w:p>
      <w:pPr>
        <w:numPr>
          <w:ilvl w:val="0"/>
          <w:numId w:val="0"/>
        </w:numPr>
        <w:spacing w:line="600" w:lineRule="exac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（二）对行政机关作出的行政强制措施、行政强制执行决定不服；</w:t>
      </w:r>
    </w:p>
    <w:p>
      <w:pPr>
        <w:numPr>
          <w:ilvl w:val="0"/>
          <w:numId w:val="0"/>
        </w:numPr>
        <w:spacing w:line="600" w:lineRule="exac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（三）申请行政许可，行政机关拒绝或者在法定期限内不予答复，或者对行政机关作出的有关行政许可的其他决定不服；</w:t>
      </w:r>
    </w:p>
    <w:p>
      <w:pPr>
        <w:numPr>
          <w:ilvl w:val="0"/>
          <w:numId w:val="0"/>
        </w:numPr>
        <w:spacing w:line="600" w:lineRule="exac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（四）对行政机关作出的确认自然资源的所有权或者使用权的决定不服；</w:t>
      </w:r>
    </w:p>
    <w:p>
      <w:pPr>
        <w:numPr>
          <w:ilvl w:val="0"/>
          <w:numId w:val="0"/>
        </w:numPr>
        <w:spacing w:line="600" w:lineRule="exac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（五）对行政机关作出的征收征用决定及其补偿决定不服；</w:t>
      </w:r>
    </w:p>
    <w:p>
      <w:pPr>
        <w:numPr>
          <w:ilvl w:val="0"/>
          <w:numId w:val="0"/>
        </w:numPr>
        <w:spacing w:line="600" w:lineRule="exac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（六）对行政机关作出的赔偿决定或者不予赔偿决定不服；</w:t>
      </w:r>
    </w:p>
    <w:p>
      <w:pPr>
        <w:numPr>
          <w:ilvl w:val="0"/>
          <w:numId w:val="0"/>
        </w:numPr>
        <w:spacing w:line="600" w:lineRule="exac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（七）对行政机关作出的不予受理工伤认定申请的决定或者工伤认定结论不服；</w:t>
      </w:r>
    </w:p>
    <w:p>
      <w:pPr>
        <w:numPr>
          <w:ilvl w:val="0"/>
          <w:numId w:val="0"/>
        </w:numPr>
        <w:spacing w:line="600" w:lineRule="exac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（八）认为行政机关侵犯其经营自主权或者农村土地承包经营权、农村土地经营权；</w:t>
      </w:r>
    </w:p>
    <w:p>
      <w:pPr>
        <w:numPr>
          <w:ilvl w:val="0"/>
          <w:numId w:val="0"/>
        </w:numPr>
        <w:spacing w:line="600" w:lineRule="exac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（九）认为行政机关滥用行政权力排除或者限制竞争；</w:t>
      </w:r>
    </w:p>
    <w:p>
      <w:pPr>
        <w:numPr>
          <w:ilvl w:val="0"/>
          <w:numId w:val="0"/>
        </w:numPr>
        <w:spacing w:line="600" w:lineRule="exac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（十）认为行政机关违法集资、摊派费用或者违法要求履行其他义务；</w:t>
      </w:r>
    </w:p>
    <w:p>
      <w:pPr>
        <w:numPr>
          <w:ilvl w:val="0"/>
          <w:numId w:val="0"/>
        </w:numPr>
        <w:spacing w:line="600" w:lineRule="exac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（十一）申请行政机关履行保护人身权利、财产权利、受教育权利等合法权益的法定职责，行政机关拒绝履行、未依法履行或者不予答复；</w:t>
      </w:r>
    </w:p>
    <w:p>
      <w:pPr>
        <w:numPr>
          <w:ilvl w:val="0"/>
          <w:numId w:val="0"/>
        </w:numPr>
        <w:spacing w:line="600" w:lineRule="exac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（十二）申请行政机关依法给付抚恤金、社会保险待遇或者最低生活保障等社会保障，行政机关没有依法给付；</w:t>
      </w:r>
    </w:p>
    <w:p>
      <w:pPr>
        <w:numPr>
          <w:ilvl w:val="0"/>
          <w:numId w:val="0"/>
        </w:numPr>
        <w:spacing w:line="600" w:lineRule="exac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（十三）认为行政机关不依法订立、不依法履行、未按照约定履行或者违法变更、解除政府特许经营协议、土地房屋征收补偿协议等行政协议；</w:t>
      </w:r>
    </w:p>
    <w:p>
      <w:pPr>
        <w:numPr>
          <w:ilvl w:val="0"/>
          <w:numId w:val="0"/>
        </w:numPr>
        <w:spacing w:line="600" w:lineRule="exac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（十四）认为行政机关在政府信息公开工作中侵犯其合法权益；</w:t>
      </w:r>
    </w:p>
    <w:p>
      <w:pPr>
        <w:numPr>
          <w:ilvl w:val="0"/>
          <w:numId w:val="0"/>
        </w:numPr>
        <w:spacing w:line="600" w:lineRule="exact"/>
        <w:ind w:firstLine="64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xml:space="preserve">（十五）认为行政机关的其他行政行为侵犯其合法权益。  </w:t>
      </w:r>
    </w:p>
    <w:p>
      <w:pPr>
        <w:numPr>
          <w:ilvl w:val="0"/>
          <w:numId w:val="0"/>
        </w:numPr>
        <w:spacing w:line="600" w:lineRule="exact"/>
        <w:ind w:firstLine="640"/>
        <w:rPr>
          <w:rFonts w:hint="eastAsia" w:ascii="仿宋_GB2312" w:eastAsia="仿宋_GB2312"/>
          <w:b/>
          <w:bCs/>
          <w:sz w:val="32"/>
          <w:szCs w:val="32"/>
          <w:lang w:val="en-US" w:eastAsia="zh-CN"/>
        </w:rPr>
      </w:pPr>
      <w:r>
        <w:rPr>
          <w:rFonts w:hint="eastAsia" w:ascii="仿宋_GB2312" w:eastAsia="仿宋_GB2312"/>
          <w:b w:val="0"/>
          <w:bCs w:val="0"/>
          <w:i/>
          <w:iCs/>
          <w:sz w:val="30"/>
          <w:szCs w:val="30"/>
          <w:lang w:val="en-US" w:eastAsia="zh-CN"/>
        </w:rPr>
        <w:t>（注：对信访事项答复不服，不属于复议范围。）</w:t>
      </w:r>
    </w:p>
    <w:p>
      <w:pPr>
        <w:numPr>
          <w:ilvl w:val="0"/>
          <w:numId w:val="0"/>
        </w:numPr>
        <w:spacing w:line="600" w:lineRule="exact"/>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 xml:space="preserve">    </w:t>
      </w:r>
    </w:p>
    <w:p>
      <w:pPr>
        <w:numPr>
          <w:ilvl w:val="0"/>
          <w:numId w:val="0"/>
        </w:numPr>
        <w:spacing w:line="600" w:lineRule="exact"/>
        <w:rPr>
          <w:rFonts w:ascii="仿宋_GB2312" w:eastAsia="仿宋_GB2312"/>
          <w:b/>
          <w:bCs/>
          <w:sz w:val="32"/>
          <w:szCs w:val="32"/>
        </w:rPr>
      </w:pPr>
      <w:r>
        <w:rPr>
          <w:rFonts w:hint="eastAsia" w:ascii="仿宋_GB2312" w:eastAsia="仿宋_GB2312"/>
          <w:b/>
          <w:bCs/>
          <w:sz w:val="32"/>
          <w:szCs w:val="32"/>
          <w:lang w:val="en-US" w:eastAsia="zh-CN"/>
        </w:rPr>
        <w:t xml:space="preserve">    </w:t>
      </w:r>
      <w:r>
        <w:rPr>
          <w:rFonts w:hint="eastAsia" w:ascii="仿宋_GB2312" w:eastAsia="仿宋_GB2312"/>
          <w:b/>
          <w:bCs/>
          <w:sz w:val="32"/>
          <w:szCs w:val="32"/>
          <w:lang w:eastAsia="zh-CN"/>
        </w:rPr>
        <w:t>三</w:t>
      </w:r>
      <w:r>
        <w:rPr>
          <w:rFonts w:hint="eastAsia" w:ascii="仿宋_GB2312" w:eastAsia="仿宋_GB2312"/>
          <w:b/>
          <w:bCs/>
          <w:sz w:val="32"/>
          <w:szCs w:val="32"/>
        </w:rPr>
        <w:t>、申请材料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（一）</w:t>
      </w:r>
      <w:r>
        <w:rPr>
          <w:rFonts w:ascii="仿宋_GB2312" w:eastAsia="仿宋_GB2312"/>
          <w:sz w:val="32"/>
          <w:szCs w:val="32"/>
        </w:rPr>
        <w:t>行政复议申请书。申请书中应载明申请人基本信息、被申请人名称、明确具体的复议请求及相关事实与理由；</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（二）</w:t>
      </w:r>
      <w:r>
        <w:rPr>
          <w:rFonts w:ascii="仿宋_GB2312" w:eastAsia="仿宋_GB2312"/>
          <w:sz w:val="32"/>
          <w:szCs w:val="32"/>
        </w:rPr>
        <w:t>申请人为自然人的，提交本人有效身份证件（原件及复印件）；申请人为法人或其他组织的，提交主体资格证明、法定代表人/负责人身份证明书、法定代表人/负责人有效身份证件（原件及复印件）；</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（三）</w:t>
      </w:r>
      <w:r>
        <w:rPr>
          <w:rFonts w:ascii="仿宋_GB2312" w:eastAsia="仿宋_GB2312"/>
          <w:sz w:val="32"/>
          <w:szCs w:val="32"/>
        </w:rPr>
        <w:t>如需委托，提交授权委托书、代理人有效身份证件（原件及复印件）；委托律师的，还需提交律师事务所函、律师执业证书（原件及复印件）；</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（四）</w:t>
      </w:r>
      <w:r>
        <w:rPr>
          <w:rFonts w:ascii="仿宋_GB2312" w:eastAsia="仿宋_GB2312"/>
          <w:sz w:val="32"/>
          <w:szCs w:val="32"/>
        </w:rPr>
        <w:t>被申请人作出行政行为的证明（原件及复印件）；</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（五）</w:t>
      </w:r>
      <w:r>
        <w:rPr>
          <w:rFonts w:ascii="仿宋_GB2312" w:eastAsia="仿宋_GB2312"/>
          <w:sz w:val="32"/>
          <w:szCs w:val="32"/>
        </w:rPr>
        <w:t>申请人与行政行为有利害关系的证明材料（原件及复印件）；</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（六）</w:t>
      </w:r>
      <w:r>
        <w:rPr>
          <w:rFonts w:ascii="仿宋_GB2312" w:eastAsia="仿宋_GB2312"/>
          <w:sz w:val="32"/>
          <w:szCs w:val="32"/>
        </w:rPr>
        <w:t>证明自己主张的相关证明材料。</w:t>
      </w:r>
    </w:p>
    <w:p>
      <w:pPr>
        <w:numPr>
          <w:ilvl w:val="0"/>
          <w:numId w:val="0"/>
        </w:numPr>
        <w:spacing w:line="600" w:lineRule="exact"/>
        <w:rPr>
          <w:rFonts w:hint="eastAsia" w:ascii="仿宋_GB2312" w:eastAsia="仿宋_GB2312"/>
          <w:b/>
          <w:bCs/>
          <w:sz w:val="32"/>
          <w:szCs w:val="32"/>
          <w:lang w:eastAsia="zh-CN"/>
        </w:rPr>
      </w:pPr>
    </w:p>
    <w:p>
      <w:pPr>
        <w:numPr>
          <w:ilvl w:val="0"/>
          <w:numId w:val="0"/>
        </w:numPr>
        <w:spacing w:line="600" w:lineRule="exact"/>
        <w:rPr>
          <w:rFonts w:hint="eastAsia" w:ascii="仿宋_GB2312" w:eastAsia="仿宋_GB2312"/>
          <w:b/>
          <w:bCs/>
          <w:sz w:val="32"/>
          <w:szCs w:val="32"/>
          <w:lang w:eastAsia="zh-CN"/>
        </w:rPr>
      </w:pPr>
      <w:r>
        <w:rPr>
          <w:rFonts w:hint="eastAsia" w:ascii="仿宋_GB2312" w:eastAsia="仿宋_GB2312"/>
          <w:b/>
          <w:bCs/>
          <w:sz w:val="32"/>
          <w:szCs w:val="32"/>
          <w:lang w:val="en-US" w:eastAsia="zh-CN"/>
        </w:rPr>
        <w:t xml:space="preserve">    四</w:t>
      </w:r>
      <w:r>
        <w:rPr>
          <w:rFonts w:hint="eastAsia" w:ascii="仿宋_GB2312" w:eastAsia="仿宋_GB2312"/>
          <w:b/>
          <w:bCs/>
          <w:sz w:val="32"/>
          <w:szCs w:val="32"/>
        </w:rPr>
        <w:t>、申请</w:t>
      </w:r>
      <w:r>
        <w:rPr>
          <w:rFonts w:hint="eastAsia" w:ascii="仿宋_GB2312" w:eastAsia="仿宋_GB2312"/>
          <w:b/>
          <w:bCs/>
          <w:sz w:val="32"/>
          <w:szCs w:val="32"/>
          <w:lang w:eastAsia="zh-CN"/>
        </w:rPr>
        <w:t>方式</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申请人可通过以下三种方式向</w:t>
      </w:r>
      <w:r>
        <w:rPr>
          <w:rFonts w:hint="eastAsia" w:ascii="仿宋_GB2312" w:eastAsia="仿宋_GB2312"/>
          <w:sz w:val="32"/>
          <w:szCs w:val="32"/>
          <w:lang w:eastAsia="zh-CN"/>
        </w:rPr>
        <w:t>天津市北辰区</w:t>
      </w:r>
      <w:r>
        <w:rPr>
          <w:rFonts w:hint="eastAsia" w:ascii="仿宋_GB2312" w:eastAsia="仿宋_GB2312"/>
          <w:sz w:val="32"/>
          <w:szCs w:val="32"/>
        </w:rPr>
        <w:t>人民政府申请行政复议</w:t>
      </w:r>
      <w:r>
        <w:rPr>
          <w:rFonts w:hint="eastAsia" w:ascii="仿宋_GB2312" w:eastAsia="仿宋_GB2312"/>
          <w:sz w:val="32"/>
          <w:szCs w:val="32"/>
          <w:lang w:eastAsia="zh-CN"/>
        </w:rPr>
        <w:t>：</w:t>
      </w:r>
    </w:p>
    <w:p>
      <w:pPr>
        <w:numPr>
          <w:ilvl w:val="0"/>
          <w:numId w:val="1"/>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邮寄申请，邮寄地址：</w:t>
      </w:r>
      <w:r>
        <w:rPr>
          <w:rFonts w:hint="eastAsia" w:ascii="仿宋_GB2312" w:eastAsia="仿宋_GB2312"/>
          <w:sz w:val="32"/>
          <w:szCs w:val="32"/>
          <w:lang w:eastAsia="zh-CN"/>
        </w:rPr>
        <w:t>天津市北辰区果园北道</w:t>
      </w:r>
      <w:r>
        <w:rPr>
          <w:rFonts w:hint="eastAsia" w:ascii="仿宋_GB2312" w:eastAsia="仿宋_GB2312"/>
          <w:sz w:val="32"/>
          <w:szCs w:val="32"/>
          <w:lang w:val="en-US" w:eastAsia="zh-CN"/>
        </w:rPr>
        <w:t>3号北辰区司法局</w:t>
      </w:r>
      <w:r>
        <w:rPr>
          <w:rFonts w:hint="eastAsia" w:ascii="仿宋_GB2312" w:eastAsia="仿宋_GB2312"/>
          <w:sz w:val="32"/>
          <w:szCs w:val="32"/>
        </w:rPr>
        <w:t>。</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rPr>
        <w:t>网上申请，通过</w:t>
      </w:r>
      <w:r>
        <w:rPr>
          <w:rFonts w:hint="eastAsia" w:ascii="仿宋_GB2312" w:eastAsia="仿宋_GB2312"/>
          <w:sz w:val="32"/>
          <w:szCs w:val="32"/>
          <w:lang w:eastAsia="zh-CN"/>
        </w:rPr>
        <w:t>北辰区行政复议政务邮箱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"mailto:bcqxzfy@tj.gov.cn" </w:instrText>
      </w:r>
      <w:r>
        <w:rPr>
          <w:rFonts w:hint="eastAsia" w:ascii="仿宋_GB2312" w:hAnsi="仿宋_GB2312" w:eastAsia="仿宋_GB2312" w:cs="仿宋_GB2312"/>
          <w:sz w:val="32"/>
          <w:szCs w:val="32"/>
          <w:lang w:val="en-US" w:eastAsia="zh-CN"/>
        </w:rPr>
        <w:fldChar w:fldCharType="separate"/>
      </w:r>
      <w:r>
        <w:rPr>
          <w:rStyle w:val="6"/>
          <w:rFonts w:hint="eastAsia" w:ascii="仿宋_GB2312" w:hAnsi="仿宋_GB2312" w:eastAsia="仿宋_GB2312" w:cs="仿宋_GB2312"/>
          <w:sz w:val="32"/>
          <w:szCs w:val="32"/>
          <w:lang w:val="en-US" w:eastAsia="zh-CN"/>
        </w:rPr>
        <w:t>bcqxzfy@tj.gov.cn</w:t>
      </w:r>
      <w:r>
        <w:rPr>
          <w:rFonts w:hint="eastAsia" w:ascii="仿宋_GB2312" w:hAnsi="仿宋_GB2312" w:eastAsia="仿宋_GB2312" w:cs="仿宋_GB2312"/>
          <w:sz w:val="32"/>
          <w:szCs w:val="32"/>
          <w:lang w:val="en-US" w:eastAsia="zh-CN"/>
        </w:rPr>
        <w:fldChar w:fldCharType="end"/>
      </w:r>
      <w:r>
        <w:rPr>
          <w:rFonts w:hint="eastAsia" w:ascii="仿宋_GB2312" w:eastAsia="仿宋_GB2312"/>
          <w:sz w:val="32"/>
          <w:szCs w:val="32"/>
        </w:rPr>
        <w:t>提交申请。</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rPr>
        <w:t>当面申请，</w:t>
      </w:r>
      <w:r>
        <w:rPr>
          <w:rFonts w:hint="eastAsia" w:ascii="仿宋_GB2312" w:eastAsia="仿宋_GB2312"/>
          <w:sz w:val="32"/>
          <w:szCs w:val="32"/>
          <w:lang w:eastAsia="zh-CN"/>
        </w:rPr>
        <w:t>到天津市北辰区司法局行政复议接待室当面提交申请</w:t>
      </w:r>
      <w:r>
        <w:rPr>
          <w:rFonts w:hint="eastAsia" w:ascii="仿宋_GB2312" w:eastAsia="仿宋_GB2312"/>
          <w:sz w:val="32"/>
          <w:szCs w:val="32"/>
        </w:rPr>
        <w:t>。</w:t>
      </w:r>
    </w:p>
    <w:p>
      <w:pPr>
        <w:spacing w:line="600" w:lineRule="exact"/>
        <w:ind w:firstLine="642" w:firstLineChars="200"/>
        <w:rPr>
          <w:rFonts w:ascii="仿宋_GB2312" w:eastAsia="仿宋_GB2312"/>
          <w:b/>
          <w:bCs/>
          <w:sz w:val="32"/>
          <w:szCs w:val="32"/>
        </w:rPr>
      </w:pPr>
    </w:p>
    <w:p>
      <w:pPr>
        <w:spacing w:line="600" w:lineRule="exact"/>
        <w:ind w:firstLine="642" w:firstLineChars="200"/>
        <w:rPr>
          <w:rFonts w:ascii="仿宋_GB2312" w:eastAsia="仿宋_GB2312"/>
          <w:b/>
          <w:bCs/>
          <w:sz w:val="32"/>
          <w:szCs w:val="32"/>
        </w:rPr>
      </w:pPr>
      <w:r>
        <w:rPr>
          <w:rFonts w:hint="eastAsia" w:ascii="仿宋_GB2312" w:eastAsia="仿宋_GB2312"/>
          <w:b/>
          <w:bCs/>
          <w:sz w:val="32"/>
          <w:szCs w:val="32"/>
          <w:lang w:eastAsia="zh-CN"/>
        </w:rPr>
        <w:t>五</w:t>
      </w:r>
      <w:r>
        <w:rPr>
          <w:rFonts w:hint="eastAsia" w:ascii="仿宋_GB2312" w:eastAsia="仿宋_GB2312"/>
          <w:b/>
          <w:bCs/>
          <w:sz w:val="32"/>
          <w:szCs w:val="32"/>
        </w:rPr>
        <w:t>、办理流程、期限及联系电话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办理流程：申请—立案审查—受理—审理—决定—送达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办理期限：适用普通程序审理的行政复议案件，自受理申请之日起六十日内作出行政复议决定。情况复杂的延长审理期限，延长期限最多不超过三十日</w:t>
      </w:r>
      <w:r>
        <w:rPr>
          <w:rFonts w:hint="eastAsia" w:ascii="仿宋_GB2312" w:eastAsia="仿宋_GB2312"/>
          <w:sz w:val="32"/>
          <w:szCs w:val="32"/>
          <w:lang w:eastAsia="zh-CN"/>
        </w:rPr>
        <w:t>。</w:t>
      </w:r>
      <w:r>
        <w:rPr>
          <w:rFonts w:hint="eastAsia" w:ascii="仿宋_GB2312" w:eastAsia="仿宋_GB2312"/>
          <w:sz w:val="32"/>
          <w:szCs w:val="32"/>
        </w:rPr>
        <w:t>适用简易程序审理的行政复议案件，自受理申请之日起三十日内作出行政复议决定。</w:t>
      </w:r>
    </w:p>
    <w:p>
      <w:pPr>
        <w:spacing w:line="600" w:lineRule="exact"/>
        <w:ind w:firstLine="640" w:firstLineChars="200"/>
        <w:rPr>
          <w:rFonts w:ascii="仿宋_GB2312" w:eastAsia="仿宋_GB2312"/>
          <w:sz w:val="32"/>
          <w:szCs w:val="32"/>
        </w:rPr>
      </w:pPr>
      <w:r>
        <w:rPr>
          <w:rFonts w:ascii="仿宋_GB2312" w:eastAsia="仿宋_GB2312"/>
          <w:sz w:val="32"/>
          <w:szCs w:val="32"/>
        </w:rPr>
        <w:t>联系电话：</w:t>
      </w:r>
      <w:r>
        <w:rPr>
          <w:rFonts w:hint="eastAsia" w:ascii="仿宋_GB2312" w:eastAsia="仿宋_GB2312"/>
          <w:sz w:val="32"/>
          <w:szCs w:val="32"/>
          <w:lang w:val="en-US" w:eastAsia="zh-CN"/>
        </w:rPr>
        <w:t>022-</w:t>
      </w:r>
      <w:r>
        <w:rPr>
          <w:rFonts w:ascii="仿宋_GB2312" w:eastAsia="仿宋_GB2312"/>
          <w:sz w:val="32"/>
          <w:szCs w:val="32"/>
        </w:rPr>
        <w:t>26393429</w:t>
      </w:r>
    </w:p>
    <w:p>
      <w:pPr>
        <w:spacing w:line="600" w:lineRule="exact"/>
        <w:ind w:firstLine="640" w:firstLineChars="200"/>
        <w:rPr>
          <w:rFonts w:ascii="仿宋_GB2312" w:eastAsia="仿宋_GB2312"/>
          <w:sz w:val="32"/>
          <w:szCs w:val="32"/>
        </w:rPr>
      </w:pPr>
    </w:p>
    <w:p>
      <w:pPr>
        <w:numPr>
          <w:ilvl w:val="0"/>
          <w:numId w:val="2"/>
        </w:numPr>
        <w:spacing w:line="600" w:lineRule="exact"/>
        <w:ind w:firstLine="642" w:firstLineChars="200"/>
        <w:rPr>
          <w:rFonts w:hint="eastAsia" w:ascii="仿宋_GB2312" w:eastAsia="仿宋_GB2312"/>
          <w:b/>
          <w:bCs/>
          <w:sz w:val="32"/>
          <w:szCs w:val="32"/>
        </w:rPr>
      </w:pPr>
      <w:r>
        <w:rPr>
          <w:rFonts w:hint="eastAsia" w:ascii="仿宋_GB2312" w:eastAsia="仿宋_GB2312"/>
          <w:b/>
          <w:bCs/>
          <w:sz w:val="32"/>
          <w:szCs w:val="32"/>
          <w:lang w:eastAsia="zh-CN"/>
        </w:rPr>
        <w:t>接待时间及地点</w:t>
      </w:r>
      <w:r>
        <w:rPr>
          <w:rFonts w:hint="eastAsia" w:ascii="仿宋_GB2312" w:eastAsia="仿宋_GB2312"/>
          <w:b/>
          <w:bCs/>
          <w:sz w:val="32"/>
          <w:szCs w:val="32"/>
        </w:rPr>
        <w:t xml:space="preserve"> </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接待时间</w:t>
      </w:r>
      <w:r>
        <w:rPr>
          <w:rFonts w:ascii="仿宋_GB2312" w:eastAsia="仿宋_GB2312"/>
          <w:sz w:val="32"/>
          <w:szCs w:val="32"/>
        </w:rPr>
        <w:t>：</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工作日上午</w:t>
      </w:r>
      <w:r>
        <w:rPr>
          <w:rFonts w:hint="default" w:ascii="仿宋_GB2312" w:eastAsia="仿宋_GB2312"/>
          <w:sz w:val="32"/>
          <w:szCs w:val="32"/>
          <w:lang w:val="en" w:eastAsia="zh-CN"/>
        </w:rPr>
        <w:t>8</w:t>
      </w:r>
      <w:r>
        <w:rPr>
          <w:rFonts w:hint="eastAsia" w:ascii="仿宋_GB2312" w:eastAsia="仿宋_GB2312"/>
          <w:sz w:val="32"/>
          <w:szCs w:val="32"/>
          <w:lang w:val="en-US" w:eastAsia="zh-CN"/>
        </w:rPr>
        <w:t>：</w:t>
      </w:r>
      <w:r>
        <w:rPr>
          <w:rFonts w:hint="default" w:ascii="仿宋_GB2312" w:eastAsia="仿宋_GB2312"/>
          <w:sz w:val="32"/>
          <w:szCs w:val="32"/>
          <w:lang w:val="en" w:eastAsia="zh-CN"/>
        </w:rPr>
        <w:t>30</w:t>
      </w:r>
      <w:r>
        <w:rPr>
          <w:rFonts w:hint="eastAsia" w:ascii="仿宋_GB2312" w:eastAsia="仿宋_GB2312"/>
          <w:sz w:val="32"/>
          <w:szCs w:val="32"/>
          <w:lang w:val="en-US" w:eastAsia="zh-CN"/>
        </w:rPr>
        <w:t>--11：</w:t>
      </w:r>
      <w:r>
        <w:rPr>
          <w:rFonts w:hint="default" w:ascii="仿宋_GB2312" w:eastAsia="仿宋_GB2312"/>
          <w:sz w:val="32"/>
          <w:szCs w:val="32"/>
          <w:lang w:val="en" w:eastAsia="zh-CN"/>
        </w:rPr>
        <w:t>30</w:t>
      </w:r>
      <w:r>
        <w:rPr>
          <w:rFonts w:hint="eastAsia" w:ascii="仿宋_GB2312" w:eastAsia="仿宋_GB2312"/>
          <w:sz w:val="32"/>
          <w:szCs w:val="32"/>
          <w:lang w:val="en-US" w:eastAsia="zh-CN"/>
        </w:rPr>
        <w:t>，下午14：00--17：00</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（“伏天”下午14：30--17：00</w:t>
      </w:r>
      <w:bookmarkStart w:id="1" w:name="_GoBack"/>
      <w:bookmarkEnd w:id="1"/>
      <w:r>
        <w:rPr>
          <w:rFonts w:hint="eastAsia" w:ascii="仿宋_GB2312" w:eastAsia="仿宋_GB2312"/>
          <w:sz w:val="32"/>
          <w:szCs w:val="32"/>
          <w:lang w:val="en-US" w:eastAsia="zh-CN"/>
        </w:rPr>
        <w:t>）</w:t>
      </w:r>
    </w:p>
    <w:p>
      <w:pPr>
        <w:numPr>
          <w:ilvl w:val="0"/>
          <w:numId w:val="0"/>
        </w:numPr>
        <w:spacing w:line="600" w:lineRule="exact"/>
        <w:ind w:firstLine="642"/>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接待地点：</w:t>
      </w:r>
    </w:p>
    <w:p>
      <w:pPr>
        <w:numPr>
          <w:ilvl w:val="0"/>
          <w:numId w:val="0"/>
        </w:numPr>
        <w:spacing w:line="600" w:lineRule="exact"/>
        <w:ind w:firstLine="642"/>
        <w:rPr>
          <w:rFonts w:hint="default" w:ascii="仿宋_GB2312" w:eastAsia="仿宋_GB2312"/>
          <w:b/>
          <w:bCs/>
          <w:sz w:val="32"/>
          <w:szCs w:val="32"/>
          <w:lang w:val="en-US" w:eastAsia="zh-CN"/>
        </w:rPr>
      </w:pPr>
      <w:r>
        <w:rPr>
          <w:rFonts w:hint="eastAsia" w:ascii="仿宋_GB2312" w:eastAsia="仿宋_GB2312"/>
          <w:sz w:val="32"/>
          <w:szCs w:val="32"/>
          <w:lang w:eastAsia="zh-CN"/>
        </w:rPr>
        <w:t>天津市北辰区果园北道</w:t>
      </w:r>
      <w:r>
        <w:rPr>
          <w:rFonts w:hint="eastAsia" w:ascii="仿宋_GB2312" w:eastAsia="仿宋_GB2312"/>
          <w:sz w:val="32"/>
          <w:szCs w:val="32"/>
          <w:lang w:val="en-US" w:eastAsia="zh-CN"/>
        </w:rPr>
        <w:t>3号（北辰区司法局）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FA13B1"/>
    <w:multiLevelType w:val="singleLevel"/>
    <w:tmpl w:val="4DFA13B1"/>
    <w:lvl w:ilvl="0" w:tentative="0">
      <w:start w:val="6"/>
      <w:numFmt w:val="chineseCounting"/>
      <w:suff w:val="space"/>
      <w:lvlText w:val="%1、"/>
      <w:lvlJc w:val="left"/>
      <w:rPr>
        <w:rFonts w:hint="eastAsia"/>
      </w:rPr>
    </w:lvl>
  </w:abstractNum>
  <w:abstractNum w:abstractNumId="1">
    <w:nsid w:val="6BF95830"/>
    <w:multiLevelType w:val="singleLevel"/>
    <w:tmpl w:val="6BF9583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B6"/>
    <w:rsid w:val="0061470C"/>
    <w:rsid w:val="006E5354"/>
    <w:rsid w:val="0075372F"/>
    <w:rsid w:val="00E64CB6"/>
    <w:rsid w:val="00F50066"/>
    <w:rsid w:val="2B1E1B35"/>
    <w:rsid w:val="345BCD67"/>
    <w:rsid w:val="476C41C6"/>
    <w:rsid w:val="5BD2D9B8"/>
    <w:rsid w:val="7F6FCD26"/>
    <w:rsid w:val="BD6D52D8"/>
    <w:rsid w:val="C953E330"/>
    <w:rsid w:val="CFFF397C"/>
    <w:rsid w:val="EFBF5C52"/>
    <w:rsid w:val="EFFF6220"/>
    <w:rsid w:val="FEEEF724"/>
    <w:rsid w:val="FF9DC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93</Words>
  <Characters>536</Characters>
  <Lines>4</Lines>
  <Paragraphs>1</Paragraphs>
  <TotalTime>1</TotalTime>
  <ScaleCrop>false</ScaleCrop>
  <LinksUpToDate>false</LinksUpToDate>
  <CharactersWithSpaces>628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2020-03-28T08:58:00Z</dcterms:created>
  <dc:creator>AutoBVT</dc:creator>
  <cp:lastModifiedBy>greatwall</cp:lastModifiedBy>
  <cp:lastPrinted>2023-12-27T01:14:00Z</cp:lastPrinted>
  <dcterms:modified xsi:type="dcterms:W3CDTF">2024-01-02T14:23:12Z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