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color w:val="auto"/>
          <w:highlight w:val="none"/>
        </w:rPr>
      </w:pPr>
      <w:r>
        <w:rPr>
          <w:rFonts w:hint="eastAsia" w:ascii="宋体" w:hAnsi="宋体" w:cs="宋体"/>
          <w:color w:val="auto"/>
          <w:highlight w:val="none"/>
        </w:rPr>
        <w:t xml:space="preserve"> </w:t>
      </w:r>
    </w:p>
    <w:p>
      <w:pPr>
        <w:rPr>
          <w:rFonts w:ascii="宋体" w:hAnsi="宋体" w:cs="宋体"/>
          <w:color w:val="auto"/>
          <w:highlight w:val="none"/>
        </w:rPr>
      </w:pPr>
    </w:p>
    <w:p>
      <w:pPr>
        <w:spacing w:line="360" w:lineRule="auto"/>
        <w:jc w:val="center"/>
        <w:rPr>
          <w:rFonts w:hint="eastAsia" w:ascii="微软雅黑" w:hAnsi="微软雅黑" w:eastAsia="微软雅黑" w:cs="微软雅黑"/>
          <w:color w:val="auto"/>
          <w:w w:val="105"/>
          <w:kern w:val="0"/>
          <w:sz w:val="44"/>
          <w:szCs w:val="44"/>
          <w:highlight w:val="none"/>
          <w:lang w:eastAsia="zh-CN"/>
        </w:rPr>
      </w:pPr>
      <w:r>
        <w:rPr>
          <w:rFonts w:hint="eastAsia" w:ascii="微软雅黑" w:hAnsi="微软雅黑" w:eastAsia="微软雅黑" w:cs="微软雅黑"/>
          <w:color w:val="auto"/>
          <w:w w:val="105"/>
          <w:kern w:val="0"/>
          <w:sz w:val="44"/>
          <w:szCs w:val="44"/>
          <w:highlight w:val="none"/>
          <w:lang w:eastAsia="zh-CN"/>
        </w:rPr>
        <w:t>治超卸载点土地租赁及运营服务项目</w:t>
      </w:r>
    </w:p>
    <w:p>
      <w:pPr>
        <w:spacing w:line="360" w:lineRule="auto"/>
        <w:jc w:val="center"/>
        <w:rPr>
          <w:rFonts w:hint="eastAsia" w:ascii="微软雅黑" w:hAnsi="Times New Roman" w:eastAsia="微软雅黑" w:cs="Times New Roman"/>
          <w:color w:val="auto"/>
          <w:w w:val="105"/>
          <w:kern w:val="0"/>
          <w:sz w:val="44"/>
          <w:szCs w:val="44"/>
          <w:highlight w:val="none"/>
        </w:rPr>
      </w:pPr>
      <w:r>
        <w:rPr>
          <w:rFonts w:hint="eastAsia" w:ascii="微软雅黑" w:hAnsi="微软雅黑" w:eastAsia="微软雅黑" w:cs="微软雅黑"/>
          <w:color w:val="auto"/>
          <w:w w:val="105"/>
          <w:kern w:val="0"/>
          <w:sz w:val="44"/>
          <w:szCs w:val="44"/>
          <w:highlight w:val="none"/>
        </w:rPr>
        <w:t>绩效评价报告</w:t>
      </w:r>
    </w:p>
    <w:p>
      <w:pPr>
        <w:spacing w:line="360" w:lineRule="exact"/>
        <w:jc w:val="center"/>
        <w:rPr>
          <w:rFonts w:ascii="宋体" w:hAnsi="宋体" w:cs="宋体"/>
          <w:color w:val="auto"/>
          <w:highlight w:val="none"/>
        </w:rPr>
      </w:pPr>
    </w:p>
    <w:p>
      <w:pPr>
        <w:spacing w:line="360" w:lineRule="exact"/>
        <w:jc w:val="center"/>
        <w:rPr>
          <w:rFonts w:ascii="宋体" w:hAnsi="宋体" w:cs="宋体"/>
          <w:color w:val="auto"/>
          <w:highlight w:val="none"/>
        </w:rPr>
      </w:pPr>
    </w:p>
    <w:p>
      <w:pPr>
        <w:rPr>
          <w:rFonts w:ascii="宋体" w:hAnsi="宋体" w:cs="宋体"/>
          <w:color w:val="auto"/>
          <w:sz w:val="32"/>
          <w:szCs w:val="32"/>
          <w:highlight w:val="none"/>
        </w:rPr>
      </w:pPr>
    </w:p>
    <w:p>
      <w:pPr>
        <w:spacing w:line="800" w:lineRule="exact"/>
        <w:rPr>
          <w:rFonts w:ascii="宋体" w:hAnsi="宋体" w:cs="宋体"/>
          <w:color w:val="auto"/>
          <w:sz w:val="32"/>
          <w:szCs w:val="32"/>
          <w:highlight w:val="none"/>
        </w:rPr>
      </w:pPr>
    </w:p>
    <w:p>
      <w:pPr>
        <w:spacing w:line="800" w:lineRule="exact"/>
        <w:ind w:left="2320" w:leftChars="300" w:hanging="1600" w:hangingChars="500"/>
        <w:jc w:val="left"/>
        <w:rPr>
          <w:rFonts w:hint="eastAsia" w:ascii="宋体" w:hAnsi="宋体" w:eastAsia="宋体" w:cs="宋体"/>
          <w:color w:val="auto"/>
          <w:highlight w:val="none"/>
          <w:u w:val="single"/>
          <w:lang w:eastAsia="zh-CN"/>
        </w:rPr>
      </w:pPr>
      <w:r>
        <w:rPr>
          <w:rFonts w:hint="eastAsia" w:ascii="仿宋_GB2312" w:hAnsi="宋体" w:eastAsia="仿宋_GB2312" w:cs="宋体"/>
          <w:color w:val="auto"/>
          <w:sz w:val="32"/>
          <w:highlight w:val="none"/>
        </w:rPr>
        <w:t>项目名称</w:t>
      </w:r>
      <w:r>
        <w:rPr>
          <w:rFonts w:hint="eastAsia" w:ascii="宋体" w:hAnsi="宋体" w:cs="宋体"/>
          <w:color w:val="auto"/>
          <w:highlight w:val="none"/>
        </w:rPr>
        <w:t xml:space="preserve"> </w:t>
      </w:r>
      <w:r>
        <w:rPr>
          <w:rFonts w:hint="eastAsia" w:ascii="仿宋_GB2312" w:hAnsi="宋体" w:eastAsia="仿宋_GB2312" w:cs="宋体"/>
          <w:color w:val="auto"/>
          <w:sz w:val="32"/>
          <w:highlight w:val="none"/>
          <w:u w:val="single"/>
          <w:lang w:eastAsia="zh-CN"/>
        </w:rPr>
        <w:t>北辰区治超卸载点土地租赁及运营服务项目</w:t>
      </w:r>
    </w:p>
    <w:p>
      <w:pPr>
        <w:spacing w:line="800" w:lineRule="exact"/>
        <w:ind w:leftChars="300"/>
        <w:jc w:val="left"/>
        <w:rPr>
          <w:rFonts w:ascii="宋体" w:hAnsi="宋体" w:cs="宋体"/>
          <w:color w:val="auto"/>
          <w:highlight w:val="none"/>
          <w:u w:val="single"/>
        </w:rPr>
      </w:pPr>
      <w:r>
        <w:rPr>
          <w:rFonts w:hint="eastAsia" w:ascii="仿宋_GB2312" w:hAnsi="宋体" w:eastAsia="仿宋_GB2312" w:cs="宋体"/>
          <w:color w:val="auto"/>
          <w:sz w:val="32"/>
          <w:highlight w:val="none"/>
        </w:rPr>
        <w:t>项目单位</w:t>
      </w:r>
      <w:r>
        <w:rPr>
          <w:rFonts w:hint="eastAsia" w:ascii="宋体" w:hAnsi="宋体" w:cs="宋体"/>
          <w:color w:val="auto"/>
          <w:highlight w:val="none"/>
        </w:rPr>
        <w:t xml:space="preserve"> </w:t>
      </w:r>
      <w:r>
        <w:rPr>
          <w:rFonts w:hint="eastAsia" w:ascii="仿宋_GB2312" w:hAnsi="宋体" w:eastAsia="仿宋_GB2312" w:cs="宋体"/>
          <w:color w:val="auto"/>
          <w:sz w:val="32"/>
          <w:highlight w:val="none"/>
          <w:u w:val="single"/>
          <w:lang w:eastAsia="zh-CN"/>
        </w:rPr>
        <w:t>天津市北辰区交通运输管理局</w:t>
      </w:r>
      <w:r>
        <w:rPr>
          <w:rFonts w:hint="eastAsia" w:ascii="仿宋_GB2312" w:hAnsi="宋体" w:eastAsia="仿宋_GB2312" w:cs="宋体"/>
          <w:color w:val="auto"/>
          <w:sz w:val="32"/>
          <w:highlight w:val="none"/>
          <w:u w:val="single"/>
        </w:rPr>
        <w:t xml:space="preserve"> </w:t>
      </w:r>
      <w:r>
        <w:rPr>
          <w:rFonts w:hint="eastAsia" w:ascii="宋体" w:hAnsi="宋体" w:cs="宋体"/>
          <w:color w:val="auto"/>
          <w:highlight w:val="none"/>
          <w:u w:val="single"/>
        </w:rPr>
        <w:t xml:space="preserve">  </w:t>
      </w:r>
    </w:p>
    <w:p>
      <w:pPr>
        <w:spacing w:line="800" w:lineRule="exact"/>
        <w:ind w:firstLine="1920" w:firstLineChars="800"/>
        <w:jc w:val="left"/>
        <w:rPr>
          <w:rFonts w:ascii="宋体" w:hAnsi="宋体" w:cs="宋体"/>
          <w:color w:val="auto"/>
          <w:highlight w:val="none"/>
          <w:u w:val="single"/>
        </w:rPr>
      </w:pPr>
    </w:p>
    <w:p>
      <w:pPr>
        <w:spacing w:line="348" w:lineRule="auto"/>
        <w:jc w:val="center"/>
        <w:rPr>
          <w:rFonts w:ascii="宋体" w:hAnsi="宋体" w:cs="宋体"/>
          <w:color w:val="auto"/>
          <w:highlight w:val="none"/>
        </w:rPr>
      </w:pPr>
    </w:p>
    <w:p>
      <w:pPr>
        <w:spacing w:line="348" w:lineRule="auto"/>
        <w:jc w:val="center"/>
        <w:rPr>
          <w:rFonts w:ascii="宋体" w:hAnsi="宋体" w:cs="宋体"/>
          <w:color w:val="auto"/>
          <w:highlight w:val="none"/>
        </w:rPr>
      </w:pPr>
    </w:p>
    <w:p>
      <w:pPr>
        <w:spacing w:line="348" w:lineRule="auto"/>
        <w:jc w:val="center"/>
        <w:rPr>
          <w:rFonts w:ascii="宋体" w:hAnsi="宋体" w:cs="宋体"/>
          <w:color w:val="auto"/>
          <w:highlight w:val="none"/>
        </w:rPr>
      </w:pPr>
    </w:p>
    <w:p>
      <w:pPr>
        <w:spacing w:line="348" w:lineRule="auto"/>
        <w:jc w:val="center"/>
        <w:rPr>
          <w:rFonts w:ascii="宋体" w:hAnsi="宋体" w:cs="宋体"/>
          <w:color w:val="auto"/>
          <w:highlight w:val="none"/>
        </w:rPr>
      </w:pPr>
    </w:p>
    <w:p>
      <w:pPr>
        <w:spacing w:line="348" w:lineRule="auto"/>
        <w:jc w:val="center"/>
        <w:rPr>
          <w:rFonts w:ascii="宋体" w:hAnsi="宋体" w:cs="宋体"/>
          <w:color w:val="auto"/>
          <w:highlight w:val="none"/>
        </w:rPr>
      </w:pPr>
    </w:p>
    <w:p>
      <w:pPr>
        <w:spacing w:line="348" w:lineRule="auto"/>
        <w:jc w:val="center"/>
        <w:rPr>
          <w:rFonts w:ascii="宋体" w:hAnsi="宋体" w:cs="宋体"/>
          <w:color w:val="auto"/>
          <w:highlight w:val="none"/>
        </w:rPr>
      </w:pPr>
    </w:p>
    <w:p>
      <w:pPr>
        <w:spacing w:line="348" w:lineRule="auto"/>
        <w:jc w:val="center"/>
        <w:rPr>
          <w:rFonts w:ascii="宋体" w:hAnsi="宋体" w:cs="宋体"/>
          <w:color w:val="auto"/>
          <w:highlight w:val="none"/>
        </w:rPr>
      </w:pPr>
      <w:r>
        <w:rPr>
          <w:rFonts w:hint="eastAsia" w:ascii="仿宋_GB2312" w:hAnsi="宋体" w:eastAsia="仿宋_GB2312" w:cs="宋体"/>
          <w:color w:val="auto"/>
          <w:sz w:val="32"/>
          <w:highlight w:val="none"/>
        </w:rPr>
        <w:t>天津广信有限责任会计师事务所</w:t>
      </w:r>
    </w:p>
    <w:p>
      <w:pPr>
        <w:spacing w:line="348" w:lineRule="auto"/>
        <w:jc w:val="center"/>
        <w:rPr>
          <w:rFonts w:ascii="宋体" w:hAnsi="宋体" w:cs="宋体"/>
          <w:color w:val="auto"/>
          <w:highlight w:val="none"/>
        </w:rPr>
      </w:pPr>
    </w:p>
    <w:p>
      <w:pPr>
        <w:spacing w:line="348" w:lineRule="auto"/>
        <w:jc w:val="center"/>
        <w:rPr>
          <w:rFonts w:ascii="宋体" w:hAnsi="宋体" w:cs="宋体"/>
          <w:color w:val="auto"/>
          <w:highlight w:val="none"/>
        </w:rPr>
      </w:pPr>
      <w:r>
        <w:rPr>
          <w:rFonts w:hint="eastAsia" w:ascii="仿宋_GB2312" w:hAnsi="宋体" w:eastAsia="仿宋_GB2312" w:cs="宋体"/>
          <w:color w:val="auto"/>
          <w:sz w:val="32"/>
          <w:highlight w:val="none"/>
        </w:rPr>
        <w:t>202</w:t>
      </w:r>
      <w:r>
        <w:rPr>
          <w:rFonts w:hint="eastAsia" w:ascii="仿宋_GB2312" w:hAnsi="宋体" w:eastAsia="仿宋_GB2312" w:cs="宋体"/>
          <w:color w:val="auto"/>
          <w:sz w:val="32"/>
          <w:highlight w:val="none"/>
          <w:lang w:val="en-US" w:eastAsia="zh-CN"/>
        </w:rPr>
        <w:t>2</w:t>
      </w:r>
      <w:r>
        <w:rPr>
          <w:rFonts w:hint="eastAsia" w:ascii="仿宋_GB2312" w:hAnsi="宋体" w:eastAsia="仿宋_GB2312" w:cs="宋体"/>
          <w:color w:val="auto"/>
          <w:sz w:val="32"/>
          <w:highlight w:val="none"/>
        </w:rPr>
        <w:t>年1</w:t>
      </w:r>
      <w:r>
        <w:rPr>
          <w:rFonts w:hint="eastAsia" w:ascii="仿宋_GB2312" w:hAnsi="宋体" w:eastAsia="仿宋_GB2312" w:cs="宋体"/>
          <w:color w:val="auto"/>
          <w:sz w:val="32"/>
          <w:highlight w:val="none"/>
          <w:lang w:val="en-US" w:eastAsia="zh-CN"/>
        </w:rPr>
        <w:t>2</w:t>
      </w:r>
      <w:r>
        <w:rPr>
          <w:rFonts w:hint="eastAsia" w:ascii="仿宋_GB2312" w:hAnsi="宋体" w:eastAsia="仿宋_GB2312" w:cs="宋体"/>
          <w:color w:val="auto"/>
          <w:sz w:val="32"/>
          <w:highlight w:val="none"/>
        </w:rPr>
        <w:t>月</w:t>
      </w:r>
      <w:r>
        <w:rPr>
          <w:rFonts w:hint="eastAsia" w:ascii="仿宋_GB2312" w:hAnsi="宋体" w:eastAsia="仿宋_GB2312" w:cs="宋体"/>
          <w:color w:val="auto"/>
          <w:sz w:val="32"/>
          <w:highlight w:val="none"/>
          <w:lang w:val="en-US" w:eastAsia="zh-CN"/>
        </w:rPr>
        <w:t>2</w:t>
      </w:r>
      <w:r>
        <w:rPr>
          <w:rFonts w:hint="eastAsia" w:ascii="仿宋_GB2312" w:hAnsi="宋体" w:eastAsia="仿宋_GB2312" w:cs="宋体"/>
          <w:color w:val="auto"/>
          <w:sz w:val="32"/>
          <w:highlight w:val="none"/>
        </w:rPr>
        <w:t>日</w:t>
      </w:r>
    </w:p>
    <w:p>
      <w:pPr>
        <w:jc w:val="center"/>
        <w:rPr>
          <w:rFonts w:ascii="宋体" w:hAnsi="宋体" w:cs="宋体"/>
          <w:color w:val="auto"/>
          <w:sz w:val="21"/>
          <w:highlight w:val="none"/>
        </w:rPr>
        <w:sectPr>
          <w:pgSz w:w="11906" w:h="16838"/>
          <w:pgMar w:top="1440" w:right="1800" w:bottom="1440" w:left="1800" w:header="851" w:footer="992" w:gutter="0"/>
          <w:cols w:space="425" w:num="1"/>
          <w:docGrid w:type="lines" w:linePitch="312" w:charSpace="0"/>
        </w:sectPr>
      </w:pPr>
    </w:p>
    <w:sdt>
      <w:sdtPr>
        <w:rPr>
          <w:rFonts w:ascii="宋体" w:hAnsi="宋体"/>
          <w:color w:val="auto"/>
          <w:sz w:val="21"/>
          <w:highlight w:val="none"/>
        </w:rPr>
        <w:id w:val="147481590"/>
        <w15:color w:val="DBDBDB"/>
        <w:docPartObj>
          <w:docPartGallery w:val="Table of Contents"/>
          <w:docPartUnique/>
        </w:docPartObj>
      </w:sdtPr>
      <w:sdtEndPr>
        <w:rPr>
          <w:rFonts w:hint="eastAsia" w:ascii="仿宋" w:hAnsi="仿宋" w:eastAsia="仿宋" w:cs="仿宋"/>
          <w:b/>
          <w:color w:val="auto"/>
          <w:sz w:val="32"/>
          <w:szCs w:val="32"/>
          <w:highlight w:val="none"/>
        </w:rPr>
      </w:sdtEndPr>
      <w:sdtContent>
        <w:p>
          <w:pPr>
            <w:jc w:val="cente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目</w:t>
          </w: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录</w:t>
          </w:r>
        </w:p>
        <w:p>
          <w:pPr>
            <w:pStyle w:val="9"/>
            <w:tabs>
              <w:tab w:val="right" w:leader="dot" w:pos="8306"/>
            </w:tabs>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TOC \o "1-2" \h \u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_Toc29689 </w:instrText>
          </w:r>
          <w:r>
            <w:rPr>
              <w:rFonts w:hint="eastAsia" w:ascii="仿宋" w:hAnsi="仿宋" w:eastAsia="仿宋" w:cs="仿宋"/>
              <w:color w:val="auto"/>
              <w:sz w:val="32"/>
              <w:szCs w:val="32"/>
              <w:highlight w:val="none"/>
            </w:rPr>
            <w:fldChar w:fldCharType="separate"/>
          </w:r>
          <w:r>
            <w:rPr>
              <w:rFonts w:hint="eastAsia" w:ascii="仿宋" w:hAnsi="仿宋" w:eastAsia="仿宋" w:cs="仿宋"/>
              <w:bCs/>
              <w:color w:val="auto"/>
              <w:sz w:val="32"/>
              <w:szCs w:val="32"/>
              <w:highlight w:val="none"/>
            </w:rPr>
            <w:t>一、 基本</w:t>
          </w:r>
          <w:r>
            <w:rPr>
              <w:rFonts w:hint="eastAsia" w:ascii="仿宋" w:hAnsi="仿宋" w:eastAsia="仿宋" w:cs="仿宋"/>
              <w:bCs/>
              <w:color w:val="auto"/>
              <w:sz w:val="32"/>
              <w:szCs w:val="32"/>
              <w:highlight w:val="none"/>
              <w:lang w:val="en-US" w:eastAsia="zh-CN"/>
            </w:rPr>
            <w:t>情况</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_Toc29689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10"/>
            <w:tabs>
              <w:tab w:val="right" w:leader="dot" w:pos="8306"/>
            </w:tabs>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_Toc31010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kern w:val="2"/>
              <w:sz w:val="32"/>
              <w:szCs w:val="32"/>
              <w:highlight w:val="none"/>
              <w:lang w:val="en-US" w:eastAsia="zh-CN" w:bidi="ar-SA"/>
            </w:rPr>
            <w:t>（一） 项目概况</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_Toc31010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10"/>
            <w:tabs>
              <w:tab w:val="right" w:leader="dot" w:pos="8306"/>
            </w:tabs>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_Toc28329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kern w:val="2"/>
              <w:sz w:val="32"/>
              <w:szCs w:val="32"/>
              <w:highlight w:val="none"/>
              <w:lang w:val="en-US" w:eastAsia="zh-CN" w:bidi="ar-SA"/>
            </w:rPr>
            <w:t>（二） 项目绩效目标</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_Toc28329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tabs>
              <w:tab w:val="right" w:leader="dot" w:pos="8306"/>
            </w:tabs>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_Toc16510 </w:instrText>
          </w:r>
          <w:r>
            <w:rPr>
              <w:rFonts w:hint="eastAsia" w:ascii="仿宋" w:hAnsi="仿宋" w:eastAsia="仿宋" w:cs="仿宋"/>
              <w:color w:val="auto"/>
              <w:sz w:val="32"/>
              <w:szCs w:val="32"/>
              <w:highlight w:val="none"/>
            </w:rPr>
            <w:fldChar w:fldCharType="separate"/>
          </w:r>
          <w:r>
            <w:rPr>
              <w:rFonts w:hint="eastAsia" w:ascii="仿宋" w:hAnsi="仿宋" w:eastAsia="仿宋" w:cs="仿宋"/>
              <w:bCs/>
              <w:color w:val="auto"/>
              <w:sz w:val="32"/>
              <w:szCs w:val="32"/>
              <w:highlight w:val="none"/>
            </w:rPr>
            <w:t>二、 绩效评价</w:t>
          </w:r>
          <w:r>
            <w:rPr>
              <w:rFonts w:hint="eastAsia" w:ascii="仿宋" w:hAnsi="仿宋" w:eastAsia="仿宋" w:cs="仿宋"/>
              <w:bCs/>
              <w:color w:val="auto"/>
              <w:sz w:val="32"/>
              <w:szCs w:val="32"/>
              <w:highlight w:val="none"/>
              <w:lang w:val="en-US" w:eastAsia="zh-CN"/>
            </w:rPr>
            <w:t>工作开展</w:t>
          </w:r>
          <w:r>
            <w:rPr>
              <w:rFonts w:hint="eastAsia" w:ascii="仿宋" w:hAnsi="仿宋" w:eastAsia="仿宋" w:cs="仿宋"/>
              <w:bCs/>
              <w:color w:val="auto"/>
              <w:sz w:val="32"/>
              <w:szCs w:val="32"/>
              <w:highlight w:val="none"/>
            </w:rPr>
            <w:t>情况</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_Toc16510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10"/>
            <w:tabs>
              <w:tab w:val="right" w:leader="dot" w:pos="8306"/>
            </w:tabs>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_Toc12142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kern w:val="2"/>
              <w:sz w:val="32"/>
              <w:szCs w:val="32"/>
              <w:highlight w:val="none"/>
              <w:lang w:val="en-US" w:eastAsia="zh-CN" w:bidi="ar-SA"/>
            </w:rPr>
            <w:t>（一）绩效评价目的、对象和范围</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_Toc12142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10"/>
            <w:tabs>
              <w:tab w:val="right" w:leader="dot" w:pos="8306"/>
            </w:tabs>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_Toc579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kern w:val="2"/>
              <w:sz w:val="32"/>
              <w:szCs w:val="32"/>
              <w:highlight w:val="none"/>
              <w:lang w:val="en-US" w:eastAsia="zh-CN" w:bidi="ar-SA"/>
            </w:rPr>
            <w:t>（二）绩效评价原则、绩效评价指标体系、评价方法和评价标准</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_Toc579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6</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10"/>
            <w:tabs>
              <w:tab w:val="right" w:leader="dot" w:pos="8306"/>
            </w:tabs>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_Toc1029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kern w:val="2"/>
              <w:sz w:val="32"/>
              <w:szCs w:val="32"/>
              <w:highlight w:val="none"/>
              <w:lang w:val="en-US" w:eastAsia="zh-CN" w:bidi="ar-SA"/>
            </w:rPr>
            <w:t>（三）绩效评价工作过程</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_Toc1029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10</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tabs>
              <w:tab w:val="right" w:leader="dot" w:pos="8306"/>
            </w:tabs>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_Toc17513 </w:instrText>
          </w:r>
          <w:r>
            <w:rPr>
              <w:rFonts w:hint="eastAsia" w:ascii="仿宋" w:hAnsi="仿宋" w:eastAsia="仿宋" w:cs="仿宋"/>
              <w:color w:val="auto"/>
              <w:sz w:val="32"/>
              <w:szCs w:val="32"/>
              <w:highlight w:val="none"/>
            </w:rPr>
            <w:fldChar w:fldCharType="separate"/>
          </w:r>
          <w:r>
            <w:rPr>
              <w:rFonts w:hint="eastAsia" w:ascii="仿宋" w:hAnsi="仿宋" w:eastAsia="仿宋" w:cs="仿宋"/>
              <w:bCs/>
              <w:color w:val="auto"/>
              <w:sz w:val="32"/>
              <w:szCs w:val="32"/>
              <w:highlight w:val="none"/>
              <w:lang w:val="en-US" w:eastAsia="zh-CN"/>
            </w:rPr>
            <w:t>三、 综合评价情况及评价结论</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_Toc17513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12</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10"/>
            <w:tabs>
              <w:tab w:val="right" w:leader="dot" w:pos="8306"/>
            </w:tabs>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_Toc21746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kern w:val="2"/>
              <w:sz w:val="32"/>
              <w:szCs w:val="32"/>
              <w:highlight w:val="none"/>
              <w:lang w:val="en-US" w:eastAsia="zh-CN" w:bidi="ar-SA"/>
            </w:rPr>
            <w:t>（一）评价得分情况</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_Toc21746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12</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10"/>
            <w:tabs>
              <w:tab w:val="right" w:leader="dot" w:pos="8306"/>
            </w:tabs>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_Toc1575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kern w:val="2"/>
              <w:sz w:val="32"/>
              <w:szCs w:val="32"/>
              <w:highlight w:val="none"/>
              <w:lang w:val="en-US" w:eastAsia="zh-CN" w:bidi="ar-SA"/>
            </w:rPr>
            <w:t>（二）项目所实现的主要绩效</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_Toc1575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13</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tabs>
              <w:tab w:val="right" w:leader="dot" w:pos="8306"/>
            </w:tabs>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_Toc583 </w:instrText>
          </w:r>
          <w:r>
            <w:rPr>
              <w:rFonts w:hint="eastAsia" w:ascii="仿宋" w:hAnsi="仿宋" w:eastAsia="仿宋" w:cs="仿宋"/>
              <w:color w:val="auto"/>
              <w:sz w:val="32"/>
              <w:szCs w:val="32"/>
              <w:highlight w:val="none"/>
            </w:rPr>
            <w:fldChar w:fldCharType="separate"/>
          </w:r>
          <w:r>
            <w:rPr>
              <w:rFonts w:hint="eastAsia" w:ascii="仿宋" w:hAnsi="仿宋" w:eastAsia="仿宋" w:cs="仿宋"/>
              <w:bCs/>
              <w:color w:val="auto"/>
              <w:sz w:val="32"/>
              <w:szCs w:val="32"/>
              <w:highlight w:val="none"/>
            </w:rPr>
            <w:t>四、 绩效评价指标分析</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_Toc583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13</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10"/>
            <w:tabs>
              <w:tab w:val="right" w:leader="dot" w:pos="8306"/>
            </w:tabs>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_Toc30236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kern w:val="2"/>
              <w:sz w:val="32"/>
              <w:szCs w:val="32"/>
              <w:highlight w:val="none"/>
              <w:lang w:val="en-US" w:eastAsia="zh-CN" w:bidi="ar-SA"/>
            </w:rPr>
            <w:t>（一）项目决策情况</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_Toc30236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13</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10"/>
            <w:tabs>
              <w:tab w:val="right" w:leader="dot" w:pos="8306"/>
            </w:tabs>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_Toc23477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kern w:val="2"/>
              <w:sz w:val="32"/>
              <w:szCs w:val="32"/>
              <w:highlight w:val="none"/>
              <w:lang w:val="en-US" w:eastAsia="zh-CN" w:bidi="ar-SA"/>
            </w:rPr>
            <w:t>（二）项目过程情况</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_Toc23477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15</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10"/>
            <w:tabs>
              <w:tab w:val="right" w:leader="dot" w:pos="8306"/>
            </w:tabs>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_Toc14994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kern w:val="2"/>
              <w:sz w:val="32"/>
              <w:szCs w:val="32"/>
              <w:highlight w:val="none"/>
              <w:lang w:val="en-US" w:eastAsia="zh-CN" w:bidi="ar-SA"/>
            </w:rPr>
            <w:t>（三）项目产出情况</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_Toc14994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16</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10"/>
            <w:tabs>
              <w:tab w:val="right" w:leader="dot" w:pos="8306"/>
            </w:tabs>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_Toc13873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kern w:val="2"/>
              <w:sz w:val="32"/>
              <w:szCs w:val="32"/>
              <w:highlight w:val="none"/>
              <w:lang w:val="en-US" w:eastAsia="zh-CN" w:bidi="ar-SA"/>
            </w:rPr>
            <w:t>（四）项目绩效情况</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_Toc13873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17</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tabs>
              <w:tab w:val="right" w:leader="dot" w:pos="8306"/>
            </w:tabs>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_Toc25884 </w:instrText>
          </w:r>
          <w:r>
            <w:rPr>
              <w:rFonts w:hint="eastAsia" w:ascii="仿宋" w:hAnsi="仿宋" w:eastAsia="仿宋" w:cs="仿宋"/>
              <w:color w:val="auto"/>
              <w:sz w:val="32"/>
              <w:szCs w:val="32"/>
              <w:highlight w:val="none"/>
            </w:rPr>
            <w:fldChar w:fldCharType="separate"/>
          </w:r>
          <w:r>
            <w:rPr>
              <w:rFonts w:hint="eastAsia" w:ascii="仿宋" w:hAnsi="仿宋" w:eastAsia="仿宋" w:cs="仿宋"/>
              <w:bCs/>
              <w:color w:val="auto"/>
              <w:sz w:val="32"/>
              <w:szCs w:val="32"/>
              <w:highlight w:val="none"/>
            </w:rPr>
            <w:t>五、 存在问题</w:t>
          </w:r>
          <w:r>
            <w:rPr>
              <w:rFonts w:hint="eastAsia" w:ascii="仿宋" w:hAnsi="仿宋" w:eastAsia="仿宋" w:cs="仿宋"/>
              <w:color w:val="auto"/>
              <w:sz w:val="32"/>
              <w:szCs w:val="32"/>
              <w:highlight w:val="none"/>
            </w:rPr>
            <w:tab/>
          </w:r>
          <w:bookmarkStart w:id="37" w:name="_GoBack"/>
          <w:bookmarkEnd w:id="37"/>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_Toc25884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18</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10"/>
            <w:tabs>
              <w:tab w:val="right" w:leader="dot" w:pos="8306"/>
            </w:tabs>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_Toc29618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kern w:val="2"/>
              <w:sz w:val="32"/>
              <w:szCs w:val="32"/>
              <w:highlight w:val="none"/>
              <w:lang w:val="en-US" w:eastAsia="zh-CN" w:bidi="ar-SA"/>
            </w:rPr>
            <w:t>（一）绩效指标设置不够合理</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_Toc29618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18</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10"/>
            <w:tabs>
              <w:tab w:val="right" w:leader="dot" w:pos="8306"/>
            </w:tabs>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_Toc13277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kern w:val="2"/>
              <w:sz w:val="32"/>
              <w:szCs w:val="32"/>
              <w:highlight w:val="none"/>
              <w:lang w:val="en-US" w:eastAsia="zh-CN" w:bidi="ar-SA"/>
            </w:rPr>
            <w:t>（二）未针对服务情况进行及时监督、记录</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_Toc13277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18</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tabs>
              <w:tab w:val="right" w:leader="dot" w:pos="8306"/>
            </w:tabs>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_Toc13768 </w:instrText>
          </w:r>
          <w:r>
            <w:rPr>
              <w:rFonts w:hint="eastAsia" w:ascii="仿宋" w:hAnsi="仿宋" w:eastAsia="仿宋" w:cs="仿宋"/>
              <w:color w:val="auto"/>
              <w:sz w:val="32"/>
              <w:szCs w:val="32"/>
              <w:highlight w:val="none"/>
            </w:rPr>
            <w:fldChar w:fldCharType="separate"/>
          </w:r>
          <w:r>
            <w:rPr>
              <w:rFonts w:hint="eastAsia" w:ascii="仿宋" w:hAnsi="仿宋" w:eastAsia="仿宋" w:cs="仿宋"/>
              <w:bCs/>
              <w:color w:val="auto"/>
              <w:sz w:val="32"/>
              <w:szCs w:val="32"/>
              <w:highlight w:val="none"/>
            </w:rPr>
            <w:t>六、 相关建议</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_Toc13768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19</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10"/>
            <w:tabs>
              <w:tab w:val="right" w:leader="dot" w:pos="8306"/>
            </w:tabs>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_Toc5681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kern w:val="2"/>
              <w:sz w:val="32"/>
              <w:szCs w:val="32"/>
              <w:highlight w:val="none"/>
              <w:lang w:val="en-US" w:eastAsia="zh-CN" w:bidi="ar-SA"/>
            </w:rPr>
            <w:t>（一）进一步完善绩效目标表</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_Toc5681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19</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10"/>
            <w:tabs>
              <w:tab w:val="right" w:leader="dot" w:pos="8306"/>
            </w:tabs>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_Toc31273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kern w:val="2"/>
              <w:sz w:val="32"/>
              <w:szCs w:val="32"/>
              <w:highlight w:val="none"/>
              <w:lang w:val="en-US" w:eastAsia="zh-CN" w:bidi="ar-SA"/>
            </w:rPr>
            <w:t>（二）重视对绩效成果支撑资料的收集</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_Toc31273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19</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end"/>
          </w:r>
        </w:p>
        <w:p>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仿宋" w:hAnsi="仿宋" w:eastAsia="仿宋" w:cs="仿宋"/>
              <w:b/>
              <w:color w:val="auto"/>
              <w:sz w:val="32"/>
              <w:szCs w:val="32"/>
              <w:highlight w:val="none"/>
            </w:rPr>
          </w:pPr>
        </w:p>
      </w:sdtContent>
    </w:sdt>
    <w:p>
      <w:pPr>
        <w:spacing w:line="360" w:lineRule="auto"/>
        <w:jc w:val="center"/>
        <w:rPr>
          <w:rFonts w:hint="eastAsia" w:ascii="微软雅黑" w:hAnsi="微软雅黑" w:eastAsia="微软雅黑" w:cs="微软雅黑"/>
          <w:color w:val="auto"/>
          <w:w w:val="105"/>
          <w:kern w:val="0"/>
          <w:sz w:val="44"/>
          <w:szCs w:val="44"/>
          <w:highlight w:val="none"/>
          <w:lang w:eastAsia="zh-CN"/>
        </w:rPr>
      </w:pPr>
      <w:bookmarkStart w:id="0" w:name="_Toc4506"/>
      <w:bookmarkStart w:id="1" w:name="_Toc20096"/>
      <w:r>
        <w:rPr>
          <w:rFonts w:hint="eastAsia" w:ascii="微软雅黑" w:hAnsi="微软雅黑" w:eastAsia="微软雅黑" w:cs="微软雅黑"/>
          <w:color w:val="auto"/>
          <w:w w:val="105"/>
          <w:kern w:val="0"/>
          <w:sz w:val="44"/>
          <w:szCs w:val="44"/>
          <w:highlight w:val="none"/>
          <w:lang w:eastAsia="zh-CN"/>
        </w:rPr>
        <w:t>治超卸载点土地租赁及运营服务项目</w:t>
      </w:r>
    </w:p>
    <w:p>
      <w:pPr>
        <w:spacing w:line="360" w:lineRule="auto"/>
        <w:jc w:val="center"/>
        <w:rPr>
          <w:rFonts w:hint="eastAsia" w:ascii="微软雅黑" w:hAnsi="微软雅黑" w:eastAsia="微软雅黑" w:cs="微软雅黑"/>
          <w:color w:val="auto"/>
          <w:w w:val="105"/>
          <w:kern w:val="0"/>
          <w:sz w:val="44"/>
          <w:szCs w:val="44"/>
          <w:highlight w:val="none"/>
          <w:lang w:eastAsia="zh-CN"/>
        </w:rPr>
      </w:pPr>
      <w:r>
        <w:rPr>
          <w:rFonts w:hint="eastAsia" w:ascii="微软雅黑" w:hAnsi="微软雅黑" w:eastAsia="微软雅黑" w:cs="微软雅黑"/>
          <w:color w:val="auto"/>
          <w:w w:val="105"/>
          <w:kern w:val="0"/>
          <w:sz w:val="44"/>
          <w:szCs w:val="44"/>
          <w:highlight w:val="none"/>
          <w:lang w:eastAsia="zh-CN"/>
        </w:rPr>
        <w:t>绩效评价报告</w:t>
      </w:r>
      <w:bookmarkEnd w:id="0"/>
      <w:bookmarkEnd w:id="1"/>
    </w:p>
    <w:p>
      <w:pPr>
        <w:spacing w:line="400" w:lineRule="exact"/>
        <w:ind w:firstLine="643" w:firstLineChars="200"/>
        <w:jc w:val="center"/>
        <w:rPr>
          <w:rFonts w:ascii="宋体" w:hAnsi="宋体" w:cs="宋体"/>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bookmarkStart w:id="2" w:name="_Hlk57149210"/>
      <w:bookmarkStart w:id="3" w:name="_Hlk54797039"/>
      <w:r>
        <w:rPr>
          <w:rFonts w:hint="eastAsia" w:ascii="仿宋_GB2312" w:hAnsi="仿宋_GB2312" w:eastAsia="仿宋_GB2312" w:cs="仿宋_GB2312"/>
          <w:color w:val="auto"/>
          <w:sz w:val="32"/>
          <w:szCs w:val="32"/>
          <w:highlight w:val="none"/>
        </w:rPr>
        <w:t>为进一步规范</w:t>
      </w:r>
      <w:r>
        <w:rPr>
          <w:rFonts w:hint="eastAsia" w:ascii="仿宋_GB2312" w:hAnsi="仿宋_GB2312" w:eastAsia="仿宋_GB2312" w:cs="仿宋_GB2312"/>
          <w:color w:val="auto"/>
          <w:sz w:val="32"/>
          <w:szCs w:val="32"/>
          <w:highlight w:val="none"/>
          <w:lang w:eastAsia="zh-CN"/>
        </w:rPr>
        <w:t>天津市北辰区交通运输管理局</w:t>
      </w:r>
      <w:r>
        <w:rPr>
          <w:rFonts w:hint="eastAsia" w:ascii="仿宋_GB2312" w:hAnsi="仿宋_GB2312" w:eastAsia="仿宋_GB2312" w:cs="仿宋_GB2312"/>
          <w:color w:val="auto"/>
          <w:sz w:val="32"/>
          <w:szCs w:val="32"/>
          <w:highlight w:val="none"/>
        </w:rPr>
        <w:t>（以下简称“</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lang w:val="en-US" w:eastAsia="zh-CN"/>
        </w:rPr>
        <w:t>运管局</w:t>
      </w:r>
      <w:r>
        <w:rPr>
          <w:rFonts w:hint="eastAsia" w:ascii="仿宋_GB2312" w:hAnsi="仿宋_GB2312" w:eastAsia="仿宋_GB2312" w:cs="仿宋_GB2312"/>
          <w:color w:val="auto"/>
          <w:sz w:val="32"/>
          <w:szCs w:val="32"/>
          <w:highlight w:val="none"/>
        </w:rPr>
        <w:t>”）关于</w:t>
      </w:r>
      <w:r>
        <w:rPr>
          <w:rFonts w:hint="eastAsia" w:ascii="仿宋_GB2312" w:hAnsi="仿宋_GB2312" w:eastAsia="仿宋_GB2312" w:cs="仿宋_GB2312"/>
          <w:color w:val="auto"/>
          <w:sz w:val="32"/>
          <w:szCs w:val="32"/>
          <w:highlight w:val="none"/>
          <w:lang w:eastAsia="zh-CN"/>
        </w:rPr>
        <w:t>北辰区治超卸载点土地租赁及运营服务项目</w:t>
      </w:r>
      <w:r>
        <w:rPr>
          <w:rFonts w:hint="eastAsia" w:ascii="仿宋_GB2312" w:hAnsi="仿宋_GB2312" w:eastAsia="仿宋_GB2312" w:cs="仿宋_GB2312"/>
          <w:color w:val="auto"/>
          <w:sz w:val="32"/>
          <w:szCs w:val="32"/>
          <w:highlight w:val="none"/>
        </w:rPr>
        <w:t>专项资金管理和使用，我们接受</w:t>
      </w:r>
      <w:r>
        <w:rPr>
          <w:rFonts w:hint="eastAsia" w:ascii="仿宋_GB2312" w:hAnsi="仿宋_GB2312" w:eastAsia="仿宋_GB2312" w:cs="仿宋_GB2312"/>
          <w:color w:val="auto"/>
          <w:sz w:val="32"/>
          <w:szCs w:val="32"/>
          <w:highlight w:val="none"/>
          <w:lang w:eastAsia="zh-CN"/>
        </w:rPr>
        <w:t>天津市北辰区财政局</w:t>
      </w:r>
      <w:r>
        <w:rPr>
          <w:rFonts w:hint="eastAsia" w:ascii="仿宋_GB2312" w:hAnsi="仿宋_GB2312" w:eastAsia="仿宋_GB2312" w:cs="仿宋_GB2312"/>
          <w:color w:val="auto"/>
          <w:sz w:val="32"/>
          <w:szCs w:val="32"/>
          <w:highlight w:val="none"/>
        </w:rPr>
        <w:t>的委托，通过对项目执行与完成情况的全面了解和分析，对项目立项、项目决策、项目管理、项目绩效等情况进行评价，在核实、收集、整理、汇总、分析绩效相关资料的基础上，形成了项目绩效评价报告。现将绩效评价情况报告如下：</w:t>
      </w:r>
      <w:bookmarkEnd w:id="2"/>
    </w:p>
    <w:bookmarkEnd w:id="3"/>
    <w:p>
      <w:pPr>
        <w:pStyle w:val="3"/>
        <w:pageBreakBefore w:val="0"/>
        <w:widowControl w:val="0"/>
        <w:numPr>
          <w:ilvl w:val="0"/>
          <w:numId w:val="2"/>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color w:val="auto"/>
          <w:sz w:val="32"/>
          <w:szCs w:val="32"/>
          <w:highlight w:val="none"/>
        </w:rPr>
      </w:pPr>
      <w:bookmarkStart w:id="4" w:name="_Toc29689"/>
      <w:r>
        <w:rPr>
          <w:rFonts w:hint="eastAsia" w:ascii="黑体" w:hAnsi="黑体" w:eastAsia="黑体" w:cs="黑体"/>
          <w:b w:val="0"/>
          <w:bCs/>
          <w:color w:val="auto"/>
          <w:sz w:val="32"/>
          <w:szCs w:val="32"/>
          <w:highlight w:val="none"/>
        </w:rPr>
        <w:t>基本</w:t>
      </w:r>
      <w:r>
        <w:rPr>
          <w:rFonts w:hint="eastAsia" w:ascii="黑体" w:hAnsi="黑体" w:eastAsia="黑体" w:cs="黑体"/>
          <w:b w:val="0"/>
          <w:bCs/>
          <w:color w:val="auto"/>
          <w:sz w:val="32"/>
          <w:szCs w:val="32"/>
          <w:highlight w:val="none"/>
          <w:lang w:val="en-US" w:eastAsia="zh-CN"/>
        </w:rPr>
        <w:t>情况</w:t>
      </w:r>
      <w:bookmarkEnd w:id="4"/>
    </w:p>
    <w:p>
      <w:pPr>
        <w:pStyle w:val="4"/>
        <w:pageBreakBefore w:val="0"/>
        <w:widowControl w:val="0"/>
        <w:kinsoku/>
        <w:wordWrap/>
        <w:overflowPunct/>
        <w:topLinePunct w:val="0"/>
        <w:autoSpaceDE/>
        <w:autoSpaceDN/>
        <w:bidi w:val="0"/>
        <w:adjustRightInd/>
        <w:snapToGrid/>
        <w:spacing w:before="0" w:after="0" w:line="600" w:lineRule="exact"/>
        <w:ind w:lef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bookmarkStart w:id="5" w:name="_Toc31010"/>
      <w:r>
        <w:rPr>
          <w:rFonts w:hint="eastAsia" w:ascii="仿宋_GB2312" w:hAnsi="仿宋_GB2312" w:eastAsia="仿宋_GB2312" w:cs="仿宋_GB2312"/>
          <w:color w:val="auto"/>
          <w:kern w:val="2"/>
          <w:sz w:val="32"/>
          <w:szCs w:val="32"/>
          <w:highlight w:val="none"/>
          <w:lang w:val="en-US" w:eastAsia="zh-CN" w:bidi="ar-SA"/>
        </w:rPr>
        <w:t>项目概况</w:t>
      </w:r>
      <w:bookmarkEnd w:id="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eastAsia="zh-CN"/>
        </w:rPr>
        <w:t>1、项目背景及主要内容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根据《交通运输部公安部关于治理车辆超限超载联合执法常态化制度化工作的实施意见（试行）》（</w:t>
      </w:r>
      <w:r>
        <w:rPr>
          <w:rFonts w:hint="eastAsia" w:ascii="仿宋_GB2312" w:hAnsi="仿宋_GB2312" w:eastAsia="仿宋_GB2312" w:cs="仿宋_GB2312"/>
          <w:color w:val="auto"/>
          <w:sz w:val="32"/>
          <w:szCs w:val="32"/>
          <w:highlight w:val="none"/>
          <w:lang w:val="en-US" w:eastAsia="zh-CN"/>
        </w:rPr>
        <w:t>交</w:t>
      </w:r>
      <w:r>
        <w:rPr>
          <w:rFonts w:hint="eastAsia" w:ascii="仿宋_GB2312" w:hAnsi="仿宋_GB2312" w:eastAsia="仿宋_GB2312" w:cs="仿宋_GB2312"/>
          <w:color w:val="auto"/>
          <w:sz w:val="32"/>
          <w:szCs w:val="32"/>
          <w:highlight w:val="none"/>
        </w:rPr>
        <w:t>公</w:t>
      </w:r>
      <w:r>
        <w:rPr>
          <w:rFonts w:hint="eastAsia" w:ascii="仿宋_GB2312" w:hAnsi="仿宋_GB2312" w:eastAsia="仿宋_GB2312" w:cs="仿宋_GB2312"/>
          <w:color w:val="auto"/>
          <w:sz w:val="32"/>
          <w:szCs w:val="32"/>
          <w:highlight w:val="none"/>
          <w:lang w:val="en-US" w:eastAsia="zh-CN"/>
        </w:rPr>
        <w:t>路</w:t>
      </w:r>
      <w:r>
        <w:rPr>
          <w:rFonts w:hint="eastAsia" w:ascii="仿宋_GB2312" w:hAnsi="仿宋_GB2312" w:eastAsia="仿宋_GB2312" w:cs="仿宋_GB2312"/>
          <w:color w:val="auto"/>
          <w:sz w:val="32"/>
          <w:szCs w:val="32"/>
          <w:highlight w:val="none"/>
        </w:rPr>
        <w:t>发[20</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7]173号）和《超限运输车辆行驶公路管理规定》（交通运输部令2016年第62号）要求，</w:t>
      </w:r>
      <w:r>
        <w:rPr>
          <w:rFonts w:hint="eastAsia" w:ascii="仿宋_GB2312" w:hAnsi="仿宋_GB2312" w:eastAsia="仿宋_GB2312" w:cs="仿宋_GB2312"/>
          <w:color w:val="auto"/>
          <w:sz w:val="32"/>
          <w:szCs w:val="32"/>
          <w:highlight w:val="none"/>
          <w:lang w:val="en-US" w:eastAsia="zh-CN"/>
        </w:rPr>
        <w:t>区运管局</w:t>
      </w:r>
      <w:r>
        <w:rPr>
          <w:rFonts w:hint="eastAsia" w:ascii="仿宋_GB2312" w:hAnsi="仿宋_GB2312" w:eastAsia="仿宋_GB2312" w:cs="仿宋_GB2312"/>
          <w:color w:val="auto"/>
          <w:sz w:val="32"/>
          <w:szCs w:val="32"/>
          <w:highlight w:val="none"/>
        </w:rPr>
        <w:t>组织开展治超卸载点土地租赁及运营服务工作。</w:t>
      </w:r>
      <w:r>
        <w:rPr>
          <w:rFonts w:hint="eastAsia" w:ascii="仿宋_GB2312" w:hAnsi="仿宋_GB2312" w:eastAsia="仿宋_GB2312" w:cs="仿宋_GB2312"/>
          <w:color w:val="auto"/>
          <w:sz w:val="32"/>
          <w:szCs w:val="32"/>
          <w:highlight w:val="none"/>
          <w:lang w:eastAsia="zh-CN"/>
        </w:rPr>
        <w:t>北辰区治超卸载点土地租赁及运营服务项目</w:t>
      </w:r>
      <w:r>
        <w:rPr>
          <w:rFonts w:hint="eastAsia" w:ascii="仿宋_GB2312" w:hAnsi="仿宋_GB2312" w:eastAsia="仿宋_GB2312" w:cs="仿宋_GB2312"/>
          <w:color w:val="auto"/>
          <w:sz w:val="32"/>
          <w:szCs w:val="32"/>
          <w:highlight w:val="none"/>
        </w:rPr>
        <w:t>内容包括：租赁南麻瘩临时场站位置，用于更好的治超工作。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项目组织实施概况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北辰区治超卸载点土地租赁及运营服务项目</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lang w:val="en-US" w:eastAsia="zh-CN"/>
        </w:rPr>
        <w:t>运管局</w:t>
      </w:r>
      <w:r>
        <w:rPr>
          <w:rFonts w:hint="eastAsia" w:ascii="仿宋_GB2312" w:hAnsi="仿宋_GB2312" w:eastAsia="仿宋_GB2312" w:cs="仿宋_GB2312"/>
          <w:color w:val="auto"/>
          <w:sz w:val="32"/>
          <w:szCs w:val="32"/>
          <w:highlight w:val="none"/>
        </w:rPr>
        <w:t>组织实施，</w:t>
      </w:r>
      <w:r>
        <w:rPr>
          <w:rFonts w:hint="eastAsia" w:ascii="仿宋_GB2312" w:hAnsi="仿宋_GB2312" w:eastAsia="仿宋_GB2312" w:cs="仿宋_GB2312"/>
          <w:color w:val="auto"/>
          <w:sz w:val="32"/>
          <w:szCs w:val="32"/>
          <w:highlight w:val="none"/>
          <w:lang w:val="en-US" w:eastAsia="zh-CN"/>
        </w:rPr>
        <w:t>结合天津市治理车辆超限超载工作领导小组办公室关于印发《关于路面治超流动稽查工作的指导意见》的</w:t>
      </w:r>
      <w:r>
        <w:rPr>
          <w:rFonts w:hint="eastAsia" w:ascii="仿宋_GB2312" w:hAnsi="仿宋_GB2312" w:eastAsia="仿宋_GB2312" w:cs="仿宋_GB2312"/>
          <w:color w:val="auto"/>
          <w:sz w:val="32"/>
          <w:szCs w:val="32"/>
          <w:highlight w:val="none"/>
          <w:lang w:val="en-US" w:eastAsia="zh-CN"/>
        </w:rPr>
        <w:t>通知（津治超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2018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4号）要求，</w:t>
      </w:r>
      <w:r>
        <w:rPr>
          <w:rFonts w:hint="eastAsia" w:ascii="仿宋_GB2312" w:hAnsi="仿宋_GB2312" w:eastAsia="仿宋_GB2312" w:cs="仿宋_GB2312"/>
          <w:color w:val="auto"/>
          <w:sz w:val="32"/>
          <w:szCs w:val="32"/>
          <w:highlight w:val="none"/>
        </w:rPr>
        <w:t>在项目开展实施过程中，通过公开招标方式，最终由天津市北辰区明忆鑫劳务服务中心具体实施</w:t>
      </w:r>
      <w:r>
        <w:rPr>
          <w:rFonts w:hint="eastAsia" w:ascii="仿宋_GB2312" w:hAnsi="仿宋_GB2312" w:eastAsia="仿宋_GB2312" w:cs="仿宋_GB2312"/>
          <w:color w:val="auto"/>
          <w:sz w:val="32"/>
          <w:szCs w:val="32"/>
          <w:highlight w:val="none"/>
          <w:lang w:eastAsia="zh-CN"/>
        </w:rPr>
        <w:t>北辰区治超卸载点土地租赁及运营服务项目</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3、年度资金投入和使用情况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北辰区治超卸载点土地租赁及运营服务项目</w:t>
      </w:r>
      <w:r>
        <w:rPr>
          <w:rFonts w:hint="eastAsia" w:ascii="仿宋_GB2312" w:hAnsi="仿宋_GB2312" w:eastAsia="仿宋_GB2312" w:cs="仿宋_GB2312"/>
          <w:color w:val="auto"/>
          <w:sz w:val="32"/>
          <w:szCs w:val="32"/>
          <w:highlight w:val="none"/>
        </w:rPr>
        <w:t>年初预算金额为1</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rPr>
        <w:t>.00万元。项目开展过程中，履行公开招投标程序签署合同服务金额为</w:t>
      </w:r>
      <w:r>
        <w:rPr>
          <w:rFonts w:hint="eastAsia" w:ascii="仿宋_GB2312" w:hAnsi="仿宋_GB2312" w:eastAsia="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0万元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其中涉及2021年</w:t>
      </w:r>
      <w:r>
        <w:rPr>
          <w:rFonts w:hint="eastAsia" w:ascii="仿宋_GB2312" w:hAnsi="仿宋_GB2312" w:eastAsia="仿宋_GB2312" w:cs="仿宋_GB2312"/>
          <w:color w:val="auto"/>
          <w:sz w:val="32"/>
          <w:szCs w:val="32"/>
          <w:highlight w:val="none"/>
          <w:lang w:eastAsia="zh-CN"/>
        </w:rPr>
        <w:t>北辰区治超卸载点土地租赁及运营服务项目</w:t>
      </w:r>
      <w:r>
        <w:rPr>
          <w:rFonts w:hint="eastAsia" w:ascii="仿宋_GB2312" w:hAnsi="仿宋_GB2312" w:eastAsia="仿宋_GB2312" w:cs="仿宋_GB2312"/>
          <w:color w:val="auto"/>
          <w:sz w:val="32"/>
          <w:szCs w:val="32"/>
          <w:highlight w:val="none"/>
          <w:lang w:val="en-US" w:eastAsia="zh-CN"/>
        </w:rPr>
        <w:t>费用金额99.55万元</w:t>
      </w:r>
      <w:r>
        <w:rPr>
          <w:rFonts w:hint="eastAsia" w:ascii="仿宋_GB2312" w:hAnsi="仿宋_GB2312" w:eastAsia="仿宋_GB2312" w:cs="仿宋_GB2312"/>
          <w:color w:val="auto"/>
          <w:sz w:val="32"/>
          <w:szCs w:val="32"/>
          <w:highlight w:val="none"/>
        </w:rPr>
        <w:t>。截至202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年12月底资金到位金额</w:t>
      </w:r>
      <w:r>
        <w:rPr>
          <w:rFonts w:hint="eastAsia" w:ascii="仿宋_GB2312" w:hAnsi="仿宋_GB2312" w:eastAsia="仿宋_GB2312" w:cs="仿宋_GB2312"/>
          <w:color w:val="auto"/>
          <w:sz w:val="32"/>
          <w:szCs w:val="32"/>
          <w:highlight w:val="none"/>
          <w:lang w:val="en-US" w:eastAsia="zh-CN"/>
        </w:rPr>
        <w:t>99.55</w:t>
      </w:r>
      <w:r>
        <w:rPr>
          <w:rFonts w:hint="eastAsia" w:ascii="仿宋_GB2312" w:hAnsi="仿宋_GB2312" w:eastAsia="仿宋_GB2312" w:cs="仿宋_GB2312"/>
          <w:color w:val="auto"/>
          <w:sz w:val="32"/>
          <w:szCs w:val="32"/>
          <w:highlight w:val="none"/>
        </w:rPr>
        <w:t>万元，资金到位率</w:t>
      </w:r>
      <w:r>
        <w:rPr>
          <w:rFonts w:hint="eastAsia" w:ascii="仿宋_GB2312" w:hAnsi="仿宋_GB2312" w:eastAsia="仿宋_GB2312" w:cs="仿宋_GB2312"/>
          <w:color w:val="auto"/>
          <w:sz w:val="32"/>
          <w:szCs w:val="32"/>
          <w:highlight w:val="none"/>
          <w:lang w:val="en-US" w:eastAsia="zh-CN"/>
        </w:rPr>
        <w:t>99.55%</w:t>
      </w:r>
      <w:r>
        <w:rPr>
          <w:rFonts w:hint="eastAsia" w:ascii="仿宋_GB2312" w:hAnsi="仿宋_GB2312" w:eastAsia="仿宋_GB2312" w:cs="仿宋_GB2312"/>
          <w:color w:val="auto"/>
          <w:sz w:val="32"/>
          <w:szCs w:val="32"/>
          <w:highlight w:val="none"/>
        </w:rPr>
        <w:t>；预算执行金额为</w:t>
      </w:r>
      <w:r>
        <w:rPr>
          <w:rFonts w:hint="eastAsia" w:ascii="仿宋_GB2312" w:hAnsi="仿宋_GB2312" w:eastAsia="仿宋_GB2312" w:cs="仿宋_GB2312"/>
          <w:color w:val="auto"/>
          <w:sz w:val="32"/>
          <w:szCs w:val="32"/>
          <w:highlight w:val="none"/>
          <w:lang w:val="en-US" w:eastAsia="zh-CN"/>
        </w:rPr>
        <w:t>99.55</w:t>
      </w:r>
      <w:r>
        <w:rPr>
          <w:rFonts w:hint="eastAsia" w:ascii="仿宋_GB2312" w:hAnsi="仿宋_GB2312" w:eastAsia="仿宋_GB2312" w:cs="仿宋_GB2312"/>
          <w:color w:val="auto"/>
          <w:sz w:val="32"/>
          <w:szCs w:val="32"/>
          <w:highlight w:val="none"/>
        </w:rPr>
        <w:t>万元，预算执行率为100%。</w:t>
      </w:r>
      <w:r>
        <w:rPr>
          <w:rFonts w:hint="eastAsia" w:ascii="仿宋_GB2312" w:hAnsi="仿宋_GB2312" w:eastAsia="仿宋_GB2312" w:cs="仿宋_GB2312"/>
          <w:color w:val="auto"/>
          <w:sz w:val="32"/>
          <w:szCs w:val="32"/>
          <w:highlight w:val="none"/>
          <w:lang w:eastAsia="zh-CN"/>
        </w:rPr>
        <w:t>北辰区治超卸载点土地租赁及运营服务项目</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年度项目预算及执行情况详见下表：</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表1：202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年度项目预算及执行情况</w:t>
      </w:r>
    </w:p>
    <w:tbl>
      <w:tblPr>
        <w:tblStyle w:val="11"/>
        <w:tblW w:w="5008" w:type="pct"/>
        <w:tblInd w:w="0" w:type="dxa"/>
        <w:tblLayout w:type="autofit"/>
        <w:tblCellMar>
          <w:top w:w="0" w:type="dxa"/>
          <w:left w:w="108" w:type="dxa"/>
          <w:bottom w:w="0" w:type="dxa"/>
          <w:right w:w="108" w:type="dxa"/>
        </w:tblCellMar>
      </w:tblPr>
      <w:tblGrid>
        <w:gridCol w:w="627"/>
        <w:gridCol w:w="1546"/>
        <w:gridCol w:w="1888"/>
        <w:gridCol w:w="1837"/>
        <w:gridCol w:w="1500"/>
        <w:gridCol w:w="1138"/>
      </w:tblGrid>
      <w:tr>
        <w:tblPrEx>
          <w:tblCellMar>
            <w:top w:w="0" w:type="dxa"/>
            <w:left w:w="108" w:type="dxa"/>
            <w:bottom w:w="0" w:type="dxa"/>
            <w:right w:w="108" w:type="dxa"/>
          </w:tblCellMar>
        </w:tblPrEx>
        <w:trPr>
          <w:trHeight w:val="501"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hint="eastAsia" w:ascii="黑体" w:hAnsi="黑体" w:eastAsia="黑体" w:cs="黑体"/>
                <w:color w:val="auto"/>
                <w:kern w:val="0"/>
                <w:sz w:val="18"/>
                <w:szCs w:val="18"/>
                <w:highlight w:val="none"/>
                <w:lang w:bidi="ar"/>
              </w:rPr>
            </w:pPr>
            <w:r>
              <w:rPr>
                <w:rFonts w:hint="eastAsia" w:ascii="黑体" w:hAnsi="黑体" w:eastAsia="黑体" w:cs="黑体"/>
                <w:color w:val="auto"/>
                <w:kern w:val="0"/>
                <w:sz w:val="18"/>
                <w:szCs w:val="18"/>
                <w:highlight w:val="none"/>
                <w:lang w:bidi="ar"/>
              </w:rPr>
              <w:t>序号</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hint="eastAsia" w:ascii="黑体" w:hAnsi="黑体" w:eastAsia="黑体" w:cs="黑体"/>
                <w:color w:val="auto"/>
                <w:kern w:val="0"/>
                <w:sz w:val="18"/>
                <w:szCs w:val="18"/>
                <w:highlight w:val="none"/>
                <w:lang w:bidi="ar"/>
              </w:rPr>
            </w:pPr>
            <w:r>
              <w:rPr>
                <w:rFonts w:hint="eastAsia" w:ascii="黑体" w:hAnsi="黑体" w:eastAsia="黑体" w:cs="黑体"/>
                <w:color w:val="auto"/>
                <w:kern w:val="0"/>
                <w:sz w:val="18"/>
                <w:szCs w:val="18"/>
                <w:highlight w:val="none"/>
                <w:lang w:bidi="ar"/>
              </w:rPr>
              <w:t>预算内容</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hint="eastAsia" w:ascii="黑体" w:hAnsi="黑体" w:eastAsia="黑体" w:cs="黑体"/>
                <w:color w:val="auto"/>
                <w:kern w:val="0"/>
                <w:sz w:val="18"/>
                <w:szCs w:val="18"/>
                <w:highlight w:val="none"/>
                <w:lang w:bidi="ar"/>
              </w:rPr>
            </w:pPr>
            <w:r>
              <w:rPr>
                <w:rFonts w:hint="eastAsia" w:ascii="黑体" w:hAnsi="黑体" w:eastAsia="黑体" w:cs="黑体"/>
                <w:color w:val="auto"/>
                <w:kern w:val="0"/>
                <w:sz w:val="18"/>
                <w:szCs w:val="18"/>
                <w:highlight w:val="none"/>
                <w:lang w:bidi="ar"/>
              </w:rPr>
              <w:t>预算安排金额</w:t>
            </w:r>
            <w:r>
              <w:rPr>
                <w:rFonts w:hint="eastAsia" w:ascii="黑体" w:hAnsi="黑体" w:eastAsia="黑体" w:cs="黑体"/>
                <w:color w:val="auto"/>
                <w:kern w:val="0"/>
                <w:sz w:val="18"/>
                <w:szCs w:val="18"/>
                <w:highlight w:val="none"/>
                <w:lang w:eastAsia="zh-CN" w:bidi="ar"/>
              </w:rPr>
              <w:t>（</w:t>
            </w:r>
            <w:r>
              <w:rPr>
                <w:rFonts w:hint="eastAsia" w:ascii="黑体" w:hAnsi="黑体" w:eastAsia="黑体" w:cs="黑体"/>
                <w:color w:val="auto"/>
                <w:kern w:val="0"/>
                <w:sz w:val="18"/>
                <w:szCs w:val="18"/>
                <w:highlight w:val="none"/>
                <w:lang w:val="en-US" w:eastAsia="zh-CN" w:bidi="ar"/>
              </w:rPr>
              <w:t>万</w:t>
            </w:r>
            <w:r>
              <w:rPr>
                <w:rFonts w:hint="eastAsia" w:ascii="黑体" w:hAnsi="黑体" w:eastAsia="黑体" w:cs="黑体"/>
                <w:color w:val="auto"/>
                <w:kern w:val="0"/>
                <w:sz w:val="18"/>
                <w:szCs w:val="18"/>
                <w:highlight w:val="none"/>
                <w:lang w:bidi="ar"/>
              </w:rPr>
              <w:t>元</w:t>
            </w:r>
            <w:r>
              <w:rPr>
                <w:rFonts w:hint="eastAsia" w:ascii="黑体" w:hAnsi="黑体" w:eastAsia="黑体" w:cs="黑体"/>
                <w:color w:val="auto"/>
                <w:kern w:val="0"/>
                <w:sz w:val="18"/>
                <w:szCs w:val="18"/>
                <w:highlight w:val="none"/>
                <w:lang w:eastAsia="zh-CN" w:bidi="ar"/>
              </w:rPr>
              <w:t>）</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hint="eastAsia" w:ascii="黑体" w:hAnsi="黑体" w:eastAsia="黑体" w:cs="黑体"/>
                <w:color w:val="auto"/>
                <w:kern w:val="0"/>
                <w:sz w:val="18"/>
                <w:szCs w:val="18"/>
                <w:highlight w:val="none"/>
                <w:lang w:bidi="ar"/>
              </w:rPr>
            </w:pPr>
            <w:r>
              <w:rPr>
                <w:rFonts w:hint="eastAsia" w:ascii="黑体" w:hAnsi="黑体" w:eastAsia="黑体" w:cs="黑体"/>
                <w:color w:val="auto"/>
                <w:kern w:val="0"/>
                <w:sz w:val="18"/>
                <w:szCs w:val="18"/>
                <w:highlight w:val="none"/>
                <w:lang w:val="en-US" w:eastAsia="zh-CN" w:bidi="ar"/>
              </w:rPr>
              <w:t>预算到位金额（万元）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hint="eastAsia" w:ascii="黑体" w:hAnsi="黑体" w:eastAsia="黑体" w:cs="黑体"/>
                <w:color w:val="auto"/>
                <w:kern w:val="0"/>
                <w:sz w:val="18"/>
                <w:szCs w:val="18"/>
                <w:highlight w:val="none"/>
                <w:lang w:bidi="ar"/>
              </w:rPr>
            </w:pPr>
            <w:r>
              <w:rPr>
                <w:rFonts w:hint="eastAsia" w:ascii="黑体" w:hAnsi="黑体" w:eastAsia="黑体" w:cs="黑体"/>
                <w:color w:val="auto"/>
                <w:kern w:val="0"/>
                <w:sz w:val="18"/>
                <w:szCs w:val="18"/>
                <w:highlight w:val="none"/>
                <w:lang w:bidi="ar"/>
              </w:rPr>
              <w:t>执行金额</w:t>
            </w:r>
            <w:r>
              <w:rPr>
                <w:rFonts w:hint="eastAsia" w:ascii="黑体" w:hAnsi="黑体" w:eastAsia="黑体" w:cs="黑体"/>
                <w:color w:val="auto"/>
                <w:kern w:val="0"/>
                <w:sz w:val="18"/>
                <w:szCs w:val="18"/>
                <w:highlight w:val="none"/>
                <w:lang w:eastAsia="zh-CN" w:bidi="ar"/>
              </w:rPr>
              <w:t>（</w:t>
            </w:r>
            <w:r>
              <w:rPr>
                <w:rFonts w:hint="eastAsia" w:ascii="黑体" w:hAnsi="黑体" w:eastAsia="黑体" w:cs="黑体"/>
                <w:color w:val="auto"/>
                <w:kern w:val="0"/>
                <w:sz w:val="18"/>
                <w:szCs w:val="18"/>
                <w:highlight w:val="none"/>
                <w:lang w:val="en-US" w:eastAsia="zh-CN" w:bidi="ar"/>
              </w:rPr>
              <w:t>万</w:t>
            </w:r>
            <w:r>
              <w:rPr>
                <w:rFonts w:hint="eastAsia" w:ascii="黑体" w:hAnsi="黑体" w:eastAsia="黑体" w:cs="黑体"/>
                <w:color w:val="auto"/>
                <w:kern w:val="0"/>
                <w:sz w:val="18"/>
                <w:szCs w:val="18"/>
                <w:highlight w:val="none"/>
                <w:lang w:bidi="ar"/>
              </w:rPr>
              <w:t>元</w:t>
            </w:r>
            <w:r>
              <w:rPr>
                <w:rFonts w:hint="eastAsia" w:ascii="黑体" w:hAnsi="黑体" w:eastAsia="黑体" w:cs="黑体"/>
                <w:color w:val="auto"/>
                <w:kern w:val="0"/>
                <w:sz w:val="18"/>
                <w:szCs w:val="18"/>
                <w:highlight w:val="none"/>
                <w:lang w:eastAsia="zh-CN" w:bidi="ar"/>
              </w:rPr>
              <w:t>）</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hint="eastAsia" w:ascii="黑体" w:hAnsi="黑体" w:eastAsia="黑体" w:cs="黑体"/>
                <w:color w:val="auto"/>
                <w:kern w:val="0"/>
                <w:sz w:val="18"/>
                <w:szCs w:val="18"/>
                <w:highlight w:val="none"/>
                <w:lang w:bidi="ar"/>
              </w:rPr>
            </w:pPr>
            <w:r>
              <w:rPr>
                <w:rFonts w:hint="eastAsia" w:ascii="黑体" w:hAnsi="黑体" w:eastAsia="黑体" w:cs="黑体"/>
                <w:color w:val="auto"/>
                <w:kern w:val="0"/>
                <w:sz w:val="18"/>
                <w:szCs w:val="18"/>
                <w:highlight w:val="none"/>
                <w:lang w:bidi="ar"/>
              </w:rPr>
              <w:t>预算执行率</w:t>
            </w:r>
          </w:p>
        </w:tc>
      </w:tr>
      <w:tr>
        <w:tblPrEx>
          <w:tblCellMar>
            <w:top w:w="0" w:type="dxa"/>
            <w:left w:w="108" w:type="dxa"/>
            <w:bottom w:w="0" w:type="dxa"/>
            <w:right w:w="108" w:type="dxa"/>
          </w:tblCellMar>
        </w:tblPrEx>
        <w:trPr>
          <w:trHeight w:val="992"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kern w:val="0"/>
                <w:sz w:val="18"/>
                <w:szCs w:val="18"/>
                <w:highlight w:val="none"/>
                <w:lang w:bidi="ar"/>
              </w:rPr>
              <w:t>1</w:t>
            </w:r>
          </w:p>
        </w:tc>
        <w:tc>
          <w:tcPr>
            <w:tcW w:w="1546"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kern w:val="0"/>
                <w:sz w:val="18"/>
                <w:szCs w:val="18"/>
                <w:highlight w:val="none"/>
                <w:lang w:eastAsia="zh-CN" w:bidi="ar"/>
              </w:rPr>
              <w:t>治超卸载点土地租赁及运营服务</w:t>
            </w:r>
          </w:p>
        </w:tc>
        <w:tc>
          <w:tcPr>
            <w:tcW w:w="1888"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color w:val="auto"/>
                <w:kern w:val="0"/>
                <w:sz w:val="18"/>
                <w:szCs w:val="18"/>
                <w:highlight w:val="none"/>
                <w:lang w:bidi="ar"/>
              </w:rPr>
            </w:pPr>
            <w:r>
              <w:rPr>
                <w:rFonts w:hint="eastAsia" w:ascii="Times New Roman" w:hAnsi="Times New Roman" w:cs="Times New Roman"/>
                <w:color w:val="auto"/>
                <w:kern w:val="0"/>
                <w:sz w:val="18"/>
                <w:szCs w:val="18"/>
                <w:highlight w:val="none"/>
                <w:lang w:val="en-US" w:eastAsia="zh-CN" w:bidi="ar"/>
              </w:rPr>
              <w:t>100.00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color w:val="auto"/>
                <w:kern w:val="0"/>
                <w:sz w:val="18"/>
                <w:szCs w:val="18"/>
                <w:highlight w:val="none"/>
                <w:lang w:val="en-US" w:eastAsia="zh-CN" w:bidi="ar"/>
              </w:rPr>
            </w:pPr>
            <w:r>
              <w:rPr>
                <w:rFonts w:hint="default" w:ascii="Times New Roman" w:hAnsi="Times New Roman" w:eastAsia="宋体" w:cs="Times New Roman"/>
                <w:color w:val="auto"/>
                <w:kern w:val="0"/>
                <w:sz w:val="18"/>
                <w:szCs w:val="18"/>
                <w:highlight w:val="none"/>
                <w:lang w:val="en-US" w:eastAsia="zh-CN" w:bidi="ar"/>
              </w:rPr>
              <w:t>99.55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kern w:val="0"/>
                <w:sz w:val="18"/>
                <w:szCs w:val="18"/>
                <w:highlight w:val="none"/>
                <w:lang w:val="en-US" w:eastAsia="zh-CN" w:bidi="ar"/>
              </w:rPr>
              <w:t>99.55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kern w:val="0"/>
                <w:sz w:val="18"/>
                <w:szCs w:val="18"/>
                <w:highlight w:val="none"/>
                <w:lang w:bidi="ar"/>
              </w:rPr>
              <w:t>100%</w:t>
            </w:r>
          </w:p>
        </w:tc>
      </w:tr>
      <w:tr>
        <w:tblPrEx>
          <w:tblCellMar>
            <w:top w:w="0" w:type="dxa"/>
            <w:left w:w="108" w:type="dxa"/>
            <w:bottom w:w="0" w:type="dxa"/>
            <w:right w:w="108" w:type="dxa"/>
          </w:tblCellMar>
        </w:tblPrEx>
        <w:trPr>
          <w:trHeight w:val="511" w:hRule="atLeast"/>
        </w:trPr>
        <w:tc>
          <w:tcPr>
            <w:tcW w:w="2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kern w:val="0"/>
                <w:sz w:val="18"/>
                <w:szCs w:val="18"/>
                <w:highlight w:val="none"/>
                <w:lang w:bidi="ar"/>
              </w:rPr>
              <w:t>合计</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color w:val="auto"/>
                <w:kern w:val="0"/>
                <w:sz w:val="18"/>
                <w:szCs w:val="18"/>
                <w:highlight w:val="none"/>
                <w:lang w:bidi="ar"/>
              </w:rPr>
            </w:pPr>
            <w:r>
              <w:rPr>
                <w:rFonts w:hint="eastAsia" w:ascii="Times New Roman" w:hAnsi="Times New Roman" w:cs="Times New Roman"/>
                <w:color w:val="auto"/>
                <w:kern w:val="0"/>
                <w:sz w:val="18"/>
                <w:szCs w:val="18"/>
                <w:highlight w:val="none"/>
                <w:lang w:val="en-US" w:eastAsia="zh-CN" w:bidi="ar"/>
              </w:rPr>
              <w:t>100.00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color w:val="auto"/>
                <w:kern w:val="0"/>
                <w:sz w:val="18"/>
                <w:szCs w:val="18"/>
                <w:highlight w:val="none"/>
                <w:lang w:val="en-US" w:eastAsia="zh-CN" w:bidi="ar"/>
              </w:rPr>
            </w:pPr>
            <w:r>
              <w:rPr>
                <w:rFonts w:hint="default" w:ascii="Times New Roman" w:hAnsi="Times New Roman" w:eastAsia="宋体" w:cs="Times New Roman"/>
                <w:color w:val="auto"/>
                <w:kern w:val="0"/>
                <w:sz w:val="18"/>
                <w:szCs w:val="18"/>
                <w:highlight w:val="none"/>
                <w:lang w:val="en-US" w:eastAsia="zh-CN" w:bidi="ar"/>
              </w:rPr>
              <w:t>99.55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kern w:val="0"/>
                <w:sz w:val="18"/>
                <w:szCs w:val="18"/>
                <w:highlight w:val="none"/>
                <w:lang w:val="en-US" w:eastAsia="zh-CN" w:bidi="ar"/>
              </w:rPr>
              <w:t>99.55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color w:val="auto"/>
                <w:kern w:val="0"/>
                <w:sz w:val="18"/>
                <w:szCs w:val="18"/>
                <w:highlight w:val="none"/>
                <w:lang w:bidi="ar"/>
              </w:rPr>
            </w:pPr>
            <w:r>
              <w:rPr>
                <w:rFonts w:hint="default" w:ascii="Times New Roman" w:hAnsi="Times New Roman" w:eastAsia="宋体" w:cs="Times New Roman"/>
                <w:color w:val="auto"/>
                <w:kern w:val="0"/>
                <w:sz w:val="18"/>
                <w:szCs w:val="18"/>
                <w:highlight w:val="none"/>
                <w:lang w:bidi="ar"/>
              </w:rPr>
              <w:t>100%</w:t>
            </w:r>
          </w:p>
        </w:tc>
      </w:tr>
    </w:tbl>
    <w:p>
      <w:pPr>
        <w:pStyle w:val="4"/>
        <w:pageBreakBefore w:val="0"/>
        <w:widowControl w:val="0"/>
        <w:kinsoku/>
        <w:wordWrap/>
        <w:overflowPunct/>
        <w:topLinePunct w:val="0"/>
        <w:autoSpaceDE/>
        <w:autoSpaceDN/>
        <w:bidi w:val="0"/>
        <w:adjustRightInd/>
        <w:snapToGrid/>
        <w:spacing w:before="0" w:after="0" w:line="600" w:lineRule="exact"/>
        <w:ind w:lef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bookmarkStart w:id="6" w:name="_Toc28329"/>
      <w:r>
        <w:rPr>
          <w:rFonts w:hint="eastAsia" w:ascii="仿宋_GB2312" w:hAnsi="仿宋_GB2312" w:eastAsia="仿宋_GB2312" w:cs="仿宋_GB2312"/>
          <w:color w:val="auto"/>
          <w:kern w:val="2"/>
          <w:sz w:val="32"/>
          <w:szCs w:val="32"/>
          <w:highlight w:val="none"/>
          <w:lang w:val="en-US" w:eastAsia="zh-CN" w:bidi="ar-SA"/>
        </w:rPr>
        <w:t>项目绩效目标</w:t>
      </w:r>
      <w:bookmarkEnd w:id="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总目标：租赁南麻瘩临时场站位置，用于更好的治超工作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具体目标：数量指标为</w:t>
      </w:r>
      <w:r>
        <w:rPr>
          <w:rFonts w:hint="eastAsia" w:ascii="仿宋_GB2312" w:hAnsi="仿宋_GB2312" w:eastAsia="仿宋_GB2312" w:cs="仿宋_GB2312"/>
          <w:color w:val="auto"/>
          <w:sz w:val="32"/>
          <w:szCs w:val="32"/>
          <w:highlight w:val="none"/>
          <w:lang w:val="en-US" w:eastAsia="zh-CN"/>
        </w:rPr>
        <w:t>开展检查次数450次</w:t>
      </w:r>
      <w:r>
        <w:rPr>
          <w:rFonts w:hint="eastAsia" w:ascii="仿宋_GB2312" w:hAnsi="仿宋_GB2312" w:eastAsia="仿宋_GB2312" w:cs="仿宋_GB2312"/>
          <w:color w:val="auto"/>
          <w:sz w:val="32"/>
          <w:szCs w:val="32"/>
          <w:highlight w:val="none"/>
        </w:rPr>
        <w:t>；质量为运营服务评审合格率</w:t>
      </w:r>
      <w:r>
        <w:rPr>
          <w:rFonts w:hint="eastAsia" w:ascii="仿宋_GB2312" w:hAnsi="仿宋_GB2312" w:eastAsia="仿宋_GB2312" w:cs="仿宋_GB2312"/>
          <w:color w:val="auto"/>
          <w:sz w:val="32"/>
          <w:szCs w:val="32"/>
          <w:highlight w:val="none"/>
          <w:lang w:val="en-US" w:eastAsia="zh-CN"/>
        </w:rPr>
        <w:t>大于或等于95%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时效指标为工作开展时间12个月内；成本指标执法设备及使用停车场费用小于或等于99.55万元；社会效益指标为有效保障执法工作，可持续影响</w:t>
      </w:r>
      <w:r>
        <w:rPr>
          <w:rFonts w:hint="eastAsia" w:ascii="仿宋_GB2312" w:hAnsi="仿宋_GB2312" w:eastAsia="仿宋_GB2312" w:cs="仿宋_GB2312"/>
          <w:color w:val="auto"/>
          <w:sz w:val="32"/>
          <w:szCs w:val="32"/>
          <w:highlight w:val="none"/>
        </w:rPr>
        <w:t>指标治超专项治理成效</w:t>
      </w:r>
      <w:r>
        <w:rPr>
          <w:rFonts w:hint="eastAsia" w:ascii="仿宋_GB2312" w:hAnsi="仿宋_GB2312" w:eastAsia="仿宋_GB2312" w:cs="仿宋_GB2312"/>
          <w:color w:val="auto"/>
          <w:sz w:val="32"/>
          <w:szCs w:val="32"/>
          <w:highlight w:val="none"/>
          <w:lang w:val="en-US" w:eastAsia="zh-CN"/>
        </w:rPr>
        <w:t>达到效果，服务对象满意度指标达到大于或等于95%。</w:t>
      </w:r>
      <w:bookmarkStart w:id="7" w:name="_Hlk54878842"/>
    </w:p>
    <w:p>
      <w:pPr>
        <w:pStyle w:val="3"/>
        <w:pageBreakBefore w:val="0"/>
        <w:widowControl w:val="0"/>
        <w:numPr>
          <w:ilvl w:val="0"/>
          <w:numId w:val="2"/>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color w:val="auto"/>
          <w:sz w:val="32"/>
          <w:szCs w:val="32"/>
          <w:highlight w:val="none"/>
        </w:rPr>
      </w:pPr>
      <w:bookmarkStart w:id="8" w:name="_Toc16510"/>
      <w:r>
        <w:rPr>
          <w:rFonts w:hint="eastAsia" w:ascii="黑体" w:hAnsi="黑体" w:eastAsia="黑体" w:cs="黑体"/>
          <w:b w:val="0"/>
          <w:bCs/>
          <w:color w:val="auto"/>
          <w:sz w:val="32"/>
          <w:szCs w:val="32"/>
          <w:highlight w:val="none"/>
        </w:rPr>
        <w:t>绩效评价</w:t>
      </w:r>
      <w:r>
        <w:rPr>
          <w:rFonts w:hint="eastAsia" w:ascii="黑体" w:hAnsi="黑体" w:eastAsia="黑体" w:cs="黑体"/>
          <w:b w:val="0"/>
          <w:bCs/>
          <w:color w:val="auto"/>
          <w:sz w:val="32"/>
          <w:szCs w:val="32"/>
          <w:highlight w:val="none"/>
          <w:lang w:val="en-US" w:eastAsia="zh-CN"/>
        </w:rPr>
        <w:t>工作开展</w:t>
      </w:r>
      <w:r>
        <w:rPr>
          <w:rFonts w:hint="eastAsia" w:ascii="黑体" w:hAnsi="黑体" w:eastAsia="黑体" w:cs="黑体"/>
          <w:b w:val="0"/>
          <w:bCs/>
          <w:color w:val="auto"/>
          <w:sz w:val="32"/>
          <w:szCs w:val="32"/>
          <w:highlight w:val="none"/>
        </w:rPr>
        <w:t>情况</w:t>
      </w:r>
      <w:bookmarkEnd w:id="8"/>
    </w:p>
    <w:bookmarkEnd w:id="7"/>
    <w:p>
      <w:pPr>
        <w:pStyle w:val="4"/>
        <w:keepNext w:val="0"/>
        <w:keepLines w:val="0"/>
        <w:pageBreakBefore w:val="0"/>
        <w:widowControl w:val="0"/>
        <w:numPr>
          <w:ilvl w:val="1"/>
          <w:numId w:val="0"/>
        </w:numPr>
        <w:kinsoku/>
        <w:wordWrap/>
        <w:overflowPunct/>
        <w:topLinePunct w:val="0"/>
        <w:bidi w:val="0"/>
        <w:adjustRightInd/>
        <w:snapToGrid/>
        <w:spacing w:before="0" w:after="0" w:line="60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bookmarkStart w:id="9" w:name="_Toc12142"/>
      <w:r>
        <w:rPr>
          <w:rFonts w:hint="eastAsia" w:ascii="仿宋_GB2312" w:hAnsi="仿宋_GB2312" w:eastAsia="仿宋_GB2312" w:cs="仿宋_GB2312"/>
          <w:color w:val="auto"/>
          <w:kern w:val="2"/>
          <w:sz w:val="32"/>
          <w:szCs w:val="32"/>
          <w:highlight w:val="none"/>
          <w:lang w:val="en-US" w:eastAsia="zh-CN" w:bidi="ar-SA"/>
        </w:rPr>
        <w:t>（一）绩效评价目的、对象和范围</w:t>
      </w:r>
      <w:bookmarkEnd w:id="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绩效评价</w:t>
      </w:r>
      <w:r>
        <w:rPr>
          <w:rFonts w:hint="eastAsia" w:ascii="仿宋_GB2312" w:hAnsi="仿宋_GB2312" w:eastAsia="仿宋_GB2312" w:cs="仿宋_GB2312"/>
          <w:color w:val="auto"/>
          <w:sz w:val="32"/>
          <w:szCs w:val="32"/>
          <w:highlight w:val="none"/>
          <w:lang w:val="en-US" w:eastAsia="zh-CN"/>
        </w:rPr>
        <w:t>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财政支出绩效评价重点评价立项依据和立项程序情况、绩效目标和指标设定情况、预算编制和资金分配情况、资金管理和使用情况、相关制度办法的健全性及执行情况、实现的产出情况、取得的效益情况，制定评价指标体系，形成评价报告，推进全面实施预算绩效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（1）加强和规范对项目支出财政专项资金的监管，通过对专项资金补助的使用、管理和产出效益等情况的评价，提高财政资金使用效益。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加强预算绩效管理，强化支出责任，建立科学、合理的财政支出绩效评价管理体系，提高财政资金使用效益，同时进一步提高财政支出管理水平，检验财政支出预期目标实现程度，考核财政支出效率和综合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2.绩效评价对象和范围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本次评价对象为北辰区治超卸载点土地租赁及运营服务项目，该项目预算金额为100.00万元，财政拨款金额为99.55万元，执行金额为99.55万元。</w:t>
      </w:r>
    </w:p>
    <w:p>
      <w:pPr>
        <w:pStyle w:val="4"/>
        <w:keepNext w:val="0"/>
        <w:keepLines w:val="0"/>
        <w:pageBreakBefore w:val="0"/>
        <w:widowControl w:val="0"/>
        <w:numPr>
          <w:ilvl w:val="1"/>
          <w:numId w:val="0"/>
        </w:numPr>
        <w:kinsoku/>
        <w:wordWrap/>
        <w:overflowPunct/>
        <w:topLinePunct w:val="0"/>
        <w:bidi w:val="0"/>
        <w:adjustRightInd/>
        <w:snapToGrid/>
        <w:spacing w:before="0" w:after="0" w:line="6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bookmarkStart w:id="10" w:name="_Toc579"/>
      <w:r>
        <w:rPr>
          <w:rFonts w:hint="eastAsia" w:ascii="仿宋_GB2312" w:hAnsi="仿宋_GB2312" w:eastAsia="仿宋_GB2312" w:cs="仿宋_GB2312"/>
          <w:color w:val="auto"/>
          <w:kern w:val="2"/>
          <w:sz w:val="32"/>
          <w:szCs w:val="32"/>
          <w:highlight w:val="none"/>
          <w:lang w:val="en-US" w:eastAsia="zh-CN" w:bidi="ar-SA"/>
        </w:rPr>
        <w:t>（二）绩效评价原则、绩效评价指标体系、评价方法和评价标准</w:t>
      </w:r>
      <w:bookmarkEnd w:id="1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1.</w:t>
      </w:r>
      <w:r>
        <w:rPr>
          <w:rFonts w:hint="eastAsia" w:ascii="仿宋_GB2312" w:hAnsi="仿宋_GB2312" w:eastAsia="仿宋_GB2312" w:cs="仿宋_GB2312"/>
          <w:color w:val="auto"/>
          <w:sz w:val="32"/>
          <w:szCs w:val="32"/>
          <w:highlight w:val="none"/>
        </w:rPr>
        <w:t>绩效评价的基本原则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科学规范原则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绩效评价按照规范的程序、科学可行的要求，采用定量与定性分析相结合的方法实施。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公正公开原则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绩效评价符合真实、客观、公平、公正的要求，依法公开并接受监督。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分级分类原则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绩效评价财政部门和各预算单位主管部门根据评价对象的特点分类组织实施。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绩效相关原则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绩效评价针对具体支出及其产出效果进行，评价结果要清晰反映两者之间紧密对应关系。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绩效评价的主要依据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《中共中央国务院关于全面实施预算绩效管理的意见》（中发〔2018〕34号）；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财政部《预算绩效评价共性指标体系框架》（财预〔2013〕53号）；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财政部《项目支出绩效评价管理办法》（财预〔2020〕10号）；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《中共天津市委 天津市人民政府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关于全面推进预算绩效管理的实施方案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的通知》（津党发〔2019〕25号）；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市政府办公厅《关于推进我市预算绩效管理工作的指导意见》（津政办发〔2011〕109号）；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《天津市市级部门（单位）整体支出绩效目标管理办法（试行）》（津财预〔2015〕102号）；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《天津市财政项目支出绩效评价共性指标体系》（津财预〔2016〕73号）；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《天津市市级财政项目支出绩效评价管理办法》（津财绩效〔2020〕12号）；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《天津市市级部门预算绩效管理办法》（津财绩效〔2020〕14号）；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《天津市市级部门预算绩效目标管理办法》（津财绩效〔2020〕16号）。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指标构建原则及思路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绩效指标评价体系设计遵循经济性、相关性、重要性、可比性、定量为主原则，结合“</w:t>
      </w:r>
      <w:r>
        <w:rPr>
          <w:rFonts w:hint="eastAsia" w:ascii="仿宋_GB2312" w:hAnsi="仿宋_GB2312" w:eastAsia="仿宋_GB2312" w:cs="仿宋_GB2312"/>
          <w:color w:val="auto"/>
          <w:sz w:val="32"/>
          <w:szCs w:val="32"/>
          <w:highlight w:val="none"/>
          <w:lang w:val="en-US" w:eastAsia="zh-CN"/>
        </w:rPr>
        <w:t>北辰</w:t>
      </w:r>
      <w:r>
        <w:rPr>
          <w:rFonts w:hint="eastAsia" w:ascii="仿宋_GB2312" w:hAnsi="仿宋_GB2312" w:eastAsia="仿宋_GB2312" w:cs="仿宋_GB2312"/>
          <w:color w:val="auto"/>
          <w:sz w:val="32"/>
          <w:szCs w:val="32"/>
          <w:highlight w:val="none"/>
        </w:rPr>
        <w:t>区20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年度治超卸载点土地租赁及运营服务”项目实施的产出及效果情况，制定绩效指标体系，具体如下：</w:t>
      </w:r>
    </w:p>
    <w:p>
      <w:pPr>
        <w:pStyle w:val="2"/>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表3：绩效指标评价得分体系</w:t>
      </w:r>
    </w:p>
    <w:tbl>
      <w:tblPr>
        <w:tblStyle w:val="11"/>
        <w:tblW w:w="0" w:type="auto"/>
        <w:tblInd w:w="93" w:type="dxa"/>
        <w:tblLayout w:type="fixed"/>
        <w:tblCellMar>
          <w:top w:w="0" w:type="dxa"/>
          <w:left w:w="108" w:type="dxa"/>
          <w:bottom w:w="0" w:type="dxa"/>
          <w:right w:w="108" w:type="dxa"/>
        </w:tblCellMar>
      </w:tblPr>
      <w:tblGrid>
        <w:gridCol w:w="954"/>
        <w:gridCol w:w="932"/>
        <w:gridCol w:w="1125"/>
        <w:gridCol w:w="4571"/>
        <w:gridCol w:w="736"/>
      </w:tblGrid>
      <w:tr>
        <w:tblPrEx>
          <w:tblCellMar>
            <w:top w:w="0" w:type="dxa"/>
            <w:left w:w="108" w:type="dxa"/>
            <w:bottom w:w="0" w:type="dxa"/>
            <w:right w:w="108" w:type="dxa"/>
          </w:tblCellMar>
        </w:tblPrEx>
        <w:trPr>
          <w:trHeight w:val="725" w:hRule="atLeast"/>
          <w:tblHeader/>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auto"/>
                <w:kern w:val="0"/>
                <w:sz w:val="21"/>
                <w:szCs w:val="21"/>
                <w:highlight w:val="none"/>
                <w:lang w:bidi="ar"/>
              </w:rPr>
            </w:pPr>
            <w:r>
              <w:rPr>
                <w:rFonts w:hint="eastAsia" w:ascii="黑体" w:hAnsi="黑体" w:eastAsia="黑体" w:cs="黑体"/>
                <w:b w:val="0"/>
                <w:bCs w:val="0"/>
                <w:color w:val="auto"/>
                <w:kern w:val="0"/>
                <w:sz w:val="21"/>
                <w:szCs w:val="21"/>
                <w:highlight w:val="none"/>
                <w:lang w:bidi="ar"/>
              </w:rPr>
              <w:t>一级评分项</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auto"/>
                <w:kern w:val="0"/>
                <w:sz w:val="21"/>
                <w:szCs w:val="21"/>
                <w:highlight w:val="none"/>
                <w:lang w:bidi="ar"/>
              </w:rPr>
            </w:pPr>
            <w:r>
              <w:rPr>
                <w:rFonts w:hint="eastAsia" w:ascii="黑体" w:hAnsi="黑体" w:eastAsia="黑体" w:cs="黑体"/>
                <w:b w:val="0"/>
                <w:bCs w:val="0"/>
                <w:color w:val="auto"/>
                <w:kern w:val="0"/>
                <w:sz w:val="21"/>
                <w:szCs w:val="21"/>
                <w:highlight w:val="none"/>
                <w:lang w:bidi="ar"/>
              </w:rPr>
              <w:t>二级评分项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auto"/>
                <w:kern w:val="0"/>
                <w:sz w:val="21"/>
                <w:szCs w:val="21"/>
                <w:highlight w:val="none"/>
                <w:lang w:bidi="ar"/>
              </w:rPr>
            </w:pPr>
            <w:r>
              <w:rPr>
                <w:rFonts w:hint="eastAsia" w:ascii="黑体" w:hAnsi="黑体" w:eastAsia="黑体" w:cs="黑体"/>
                <w:b w:val="0"/>
                <w:bCs w:val="0"/>
                <w:color w:val="auto"/>
                <w:kern w:val="0"/>
                <w:sz w:val="21"/>
                <w:szCs w:val="21"/>
                <w:highlight w:val="none"/>
                <w:lang w:bidi="ar"/>
              </w:rPr>
              <w:t>三级评分项</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auto"/>
                <w:kern w:val="0"/>
                <w:sz w:val="21"/>
                <w:szCs w:val="21"/>
                <w:highlight w:val="none"/>
                <w:lang w:bidi="ar"/>
              </w:rPr>
            </w:pPr>
            <w:r>
              <w:rPr>
                <w:rFonts w:hint="eastAsia" w:ascii="黑体" w:hAnsi="黑体" w:eastAsia="黑体" w:cs="黑体"/>
                <w:b w:val="0"/>
                <w:bCs w:val="0"/>
                <w:color w:val="auto"/>
                <w:kern w:val="0"/>
                <w:sz w:val="21"/>
                <w:szCs w:val="21"/>
                <w:highlight w:val="none"/>
                <w:lang w:bidi="ar"/>
              </w:rPr>
              <w:t>评价要点</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auto"/>
                <w:kern w:val="0"/>
                <w:sz w:val="21"/>
                <w:szCs w:val="21"/>
                <w:highlight w:val="none"/>
                <w:lang w:bidi="ar"/>
              </w:rPr>
            </w:pPr>
            <w:r>
              <w:rPr>
                <w:rFonts w:hint="eastAsia" w:ascii="黑体" w:hAnsi="黑体" w:eastAsia="黑体" w:cs="黑体"/>
                <w:b w:val="0"/>
                <w:bCs w:val="0"/>
                <w:color w:val="auto"/>
                <w:kern w:val="0"/>
                <w:sz w:val="21"/>
                <w:szCs w:val="21"/>
                <w:highlight w:val="none"/>
                <w:lang w:bidi="ar"/>
              </w:rPr>
              <w:t>分值</w:t>
            </w:r>
          </w:p>
        </w:tc>
      </w:tr>
      <w:tr>
        <w:tblPrEx>
          <w:tblCellMar>
            <w:top w:w="0" w:type="dxa"/>
            <w:left w:w="108" w:type="dxa"/>
            <w:bottom w:w="0" w:type="dxa"/>
            <w:right w:w="108" w:type="dxa"/>
          </w:tblCellMar>
        </w:tblPrEx>
        <w:trPr>
          <w:trHeight w:val="2798" w:hRule="atLeast"/>
        </w:trPr>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决策（20分）</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项目立项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立项依据</w:t>
            </w:r>
            <w:r>
              <w:rPr>
                <w:rFonts w:hint="default" w:ascii="Times New Roman" w:hAnsi="Times New Roman" w:eastAsia="宋体" w:cs="Times New Roman"/>
                <w:color w:val="auto"/>
                <w:sz w:val="21"/>
                <w:szCs w:val="21"/>
                <w:highlight w:val="none"/>
              </w:rPr>
              <w:br w:type="textWrapping"/>
            </w:r>
            <w:r>
              <w:rPr>
                <w:rFonts w:hint="default" w:ascii="Times New Roman" w:hAnsi="Times New Roman" w:eastAsia="宋体" w:cs="Times New Roman"/>
                <w:color w:val="auto"/>
                <w:sz w:val="21"/>
                <w:szCs w:val="21"/>
                <w:highlight w:val="none"/>
              </w:rPr>
              <w:t>充分性</w:t>
            </w:r>
          </w:p>
        </w:tc>
        <w:tc>
          <w:tcPr>
            <w:tcW w:w="457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①项目立项是否符合国家法律法规、国民经济发展规划和相关政策；</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②项目立项是否符合行业发展规划和政策要求；</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③项目立项是否与部门职责范围相符，属于部门履职所需；</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④项目是否属于公共财政支持范围，是否符合中央、地方事权支出责任划分原则；</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⑤项目是否与相关部门同类项目或部门内部相关项目重复。</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r>
      <w:tr>
        <w:tblPrEx>
          <w:tblCellMar>
            <w:top w:w="0" w:type="dxa"/>
            <w:left w:w="108" w:type="dxa"/>
            <w:bottom w:w="0" w:type="dxa"/>
            <w:right w:w="108" w:type="dxa"/>
          </w:tblCellMar>
        </w:tblPrEx>
        <w:trPr>
          <w:trHeight w:val="1250" w:hRule="atLeast"/>
        </w:trPr>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立项程序</w:t>
            </w:r>
            <w:r>
              <w:rPr>
                <w:rFonts w:hint="default" w:ascii="Times New Roman" w:hAnsi="Times New Roman" w:eastAsia="宋体" w:cs="Times New Roman"/>
                <w:color w:val="auto"/>
                <w:sz w:val="21"/>
                <w:szCs w:val="21"/>
                <w:highlight w:val="none"/>
              </w:rPr>
              <w:br w:type="textWrapping"/>
            </w:r>
            <w:r>
              <w:rPr>
                <w:rFonts w:hint="default" w:ascii="Times New Roman" w:hAnsi="Times New Roman" w:eastAsia="宋体" w:cs="Times New Roman"/>
                <w:color w:val="auto"/>
                <w:sz w:val="21"/>
                <w:szCs w:val="21"/>
                <w:highlight w:val="none"/>
              </w:rPr>
              <w:t>规范性</w:t>
            </w:r>
          </w:p>
        </w:tc>
        <w:tc>
          <w:tcPr>
            <w:tcW w:w="457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①项目是否按照规定的程序申请设立；</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②审批文件、材料是否符合相关要求；</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③事前是否已经过必要的可行性研究、专家论证、风险评估、绩效评估、集体决策。</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r>
      <w:tr>
        <w:tblPrEx>
          <w:tblCellMar>
            <w:top w:w="0" w:type="dxa"/>
            <w:left w:w="108" w:type="dxa"/>
            <w:bottom w:w="0" w:type="dxa"/>
            <w:right w:w="108" w:type="dxa"/>
          </w:tblCellMar>
        </w:tblPrEx>
        <w:trPr>
          <w:trHeight w:val="2179" w:hRule="atLeast"/>
        </w:trPr>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绩效目标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绩效目标</w:t>
            </w:r>
            <w:r>
              <w:rPr>
                <w:rFonts w:hint="default" w:ascii="Times New Roman" w:hAnsi="Times New Roman" w:eastAsia="宋体" w:cs="Times New Roman"/>
                <w:color w:val="auto"/>
                <w:sz w:val="21"/>
                <w:szCs w:val="21"/>
                <w:highlight w:val="none"/>
              </w:rPr>
              <w:br w:type="textWrapping"/>
            </w:r>
            <w:r>
              <w:rPr>
                <w:rFonts w:hint="default" w:ascii="Times New Roman" w:hAnsi="Times New Roman" w:eastAsia="宋体" w:cs="Times New Roman"/>
                <w:color w:val="auto"/>
                <w:sz w:val="21"/>
                <w:szCs w:val="21"/>
                <w:highlight w:val="none"/>
              </w:rPr>
              <w:t>合理性</w:t>
            </w:r>
          </w:p>
        </w:tc>
        <w:tc>
          <w:tcPr>
            <w:tcW w:w="457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①项目是否有绩效目标；</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②项目绩效目标与实际工作内容是否具有相关性；</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③项目预期产出效益和效果是否符合正常的业绩水平；</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④是否与预算确定的项目投资额或资金量相匹配。</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r>
      <w:tr>
        <w:tblPrEx>
          <w:tblCellMar>
            <w:top w:w="0" w:type="dxa"/>
            <w:left w:w="108" w:type="dxa"/>
            <w:bottom w:w="0" w:type="dxa"/>
            <w:right w:w="108" w:type="dxa"/>
          </w:tblCellMar>
        </w:tblPrEx>
        <w:trPr>
          <w:trHeight w:val="1250" w:hRule="atLeast"/>
        </w:trPr>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绩效目标</w:t>
            </w:r>
            <w:r>
              <w:rPr>
                <w:rFonts w:hint="default" w:ascii="Times New Roman" w:hAnsi="Times New Roman" w:eastAsia="宋体" w:cs="Times New Roman"/>
                <w:color w:val="auto"/>
                <w:sz w:val="21"/>
                <w:szCs w:val="21"/>
                <w:highlight w:val="none"/>
              </w:rPr>
              <w:br w:type="textWrapping"/>
            </w:r>
            <w:r>
              <w:rPr>
                <w:rFonts w:hint="default" w:ascii="Times New Roman" w:hAnsi="Times New Roman" w:eastAsia="宋体" w:cs="Times New Roman"/>
                <w:color w:val="auto"/>
                <w:sz w:val="21"/>
                <w:szCs w:val="21"/>
                <w:highlight w:val="none"/>
              </w:rPr>
              <w:t>明确性</w:t>
            </w:r>
          </w:p>
        </w:tc>
        <w:tc>
          <w:tcPr>
            <w:tcW w:w="457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①是否将项目绩效目标细化分解为具体的绩效指标；</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②是否通过清晰、可衡量的指标值予以体现；</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③是否与项目目标任务数或计划数相对应。</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r>
      <w:tr>
        <w:tblPrEx>
          <w:tblCellMar>
            <w:top w:w="0" w:type="dxa"/>
            <w:left w:w="108" w:type="dxa"/>
            <w:bottom w:w="0" w:type="dxa"/>
            <w:right w:w="108" w:type="dxa"/>
          </w:tblCellMar>
        </w:tblPrEx>
        <w:trPr>
          <w:trHeight w:val="1869" w:hRule="atLeast"/>
        </w:trPr>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资金投入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预算编制</w:t>
            </w:r>
            <w:r>
              <w:rPr>
                <w:rFonts w:hint="default" w:ascii="Times New Roman" w:hAnsi="Times New Roman" w:eastAsia="宋体" w:cs="Times New Roman"/>
                <w:color w:val="auto"/>
                <w:sz w:val="21"/>
                <w:szCs w:val="21"/>
                <w:highlight w:val="none"/>
              </w:rPr>
              <w:br w:type="textWrapping"/>
            </w:r>
            <w:r>
              <w:rPr>
                <w:rFonts w:hint="default" w:ascii="Times New Roman" w:hAnsi="Times New Roman" w:eastAsia="宋体" w:cs="Times New Roman"/>
                <w:color w:val="auto"/>
                <w:sz w:val="21"/>
                <w:szCs w:val="21"/>
                <w:highlight w:val="none"/>
              </w:rPr>
              <w:t>科学性</w:t>
            </w:r>
          </w:p>
        </w:tc>
        <w:tc>
          <w:tcPr>
            <w:tcW w:w="457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①预算编制是否经过科学论证；</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②预算内容与项目内容是否匹配；</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③预算额度测算依据是否充分，是否按照标准编制；</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④预算确定的项目投资额或资金量是否与工作任务相匹配。</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r>
      <w:tr>
        <w:tblPrEx>
          <w:tblCellMar>
            <w:top w:w="0" w:type="dxa"/>
            <w:left w:w="108" w:type="dxa"/>
            <w:bottom w:w="0" w:type="dxa"/>
            <w:right w:w="108" w:type="dxa"/>
          </w:tblCellMar>
        </w:tblPrEx>
        <w:trPr>
          <w:trHeight w:val="946" w:hRule="atLeast"/>
        </w:trPr>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93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112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资金分配</w:t>
            </w:r>
            <w:r>
              <w:rPr>
                <w:rFonts w:hint="default" w:ascii="Times New Roman" w:hAnsi="Times New Roman" w:eastAsia="宋体" w:cs="Times New Roman"/>
                <w:color w:val="auto"/>
                <w:sz w:val="21"/>
                <w:szCs w:val="21"/>
                <w:highlight w:val="none"/>
              </w:rPr>
              <w:br w:type="textWrapping"/>
            </w:r>
            <w:r>
              <w:rPr>
                <w:rFonts w:hint="default" w:ascii="Times New Roman" w:hAnsi="Times New Roman" w:eastAsia="宋体" w:cs="Times New Roman"/>
                <w:color w:val="auto"/>
                <w:sz w:val="21"/>
                <w:szCs w:val="21"/>
                <w:highlight w:val="none"/>
              </w:rPr>
              <w:t>合理性</w:t>
            </w:r>
          </w:p>
        </w:tc>
        <w:tc>
          <w:tcPr>
            <w:tcW w:w="457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①预算资金分配依据是否充分；</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②资金分配额度是否合理，与项目单位或地方实际是否相适应。</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r>
      <w:tr>
        <w:tblPrEx>
          <w:tblCellMar>
            <w:top w:w="0" w:type="dxa"/>
            <w:left w:w="108" w:type="dxa"/>
            <w:bottom w:w="0" w:type="dxa"/>
            <w:right w:w="108" w:type="dxa"/>
          </w:tblCellMar>
        </w:tblPrEx>
        <w:trPr>
          <w:trHeight w:val="1559" w:hRule="atLeast"/>
        </w:trPr>
        <w:tc>
          <w:tcPr>
            <w:tcW w:w="954"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过程（25分）</w:t>
            </w:r>
          </w:p>
        </w:tc>
        <w:tc>
          <w:tcPr>
            <w:tcW w:w="932" w:type="dxa"/>
            <w:vMerge w:val="restart"/>
            <w:tcBorders>
              <w:top w:val="single" w:color="auto" w:sz="4" w:space="0"/>
              <w:left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资金管理</w:t>
            </w:r>
          </w:p>
        </w:tc>
        <w:tc>
          <w:tcPr>
            <w:tcW w:w="1125" w:type="dxa"/>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资金到位率</w:t>
            </w:r>
          </w:p>
        </w:tc>
        <w:tc>
          <w:tcPr>
            <w:tcW w:w="4571" w:type="dxa"/>
            <w:tcBorders>
              <w:top w:val="single" w:color="000000" w:sz="4" w:space="0"/>
              <w:left w:val="single" w:color="auto" w:sz="4" w:space="0"/>
              <w:bottom w:val="single" w:color="000000" w:sz="4" w:space="0"/>
              <w:right w:val="single" w:color="000000" w:sz="4" w:space="0"/>
            </w:tcBorders>
            <w:shd w:val="clear" w:color="auto" w:fill="auto"/>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资金到位率=</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实际到位资金/预算资金</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×lOO%。</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实际到位资金：一定时期（本年度或项目期）内落实到具体项目的资金。</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预算资金：一定时期（本年度或项目期）内预算安排到具体项目的资金。</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r>
      <w:tr>
        <w:tblPrEx>
          <w:tblCellMar>
            <w:top w:w="0" w:type="dxa"/>
            <w:left w:w="108" w:type="dxa"/>
            <w:bottom w:w="0" w:type="dxa"/>
            <w:right w:w="108" w:type="dxa"/>
          </w:tblCellMar>
        </w:tblPrEx>
        <w:trPr>
          <w:trHeight w:val="1250" w:hRule="atLeast"/>
        </w:trPr>
        <w:tc>
          <w:tcPr>
            <w:tcW w:w="95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932" w:type="dxa"/>
            <w:vMerge w:val="continue"/>
            <w:tcBorders>
              <w:left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112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预算执行率</w:t>
            </w:r>
          </w:p>
        </w:tc>
        <w:tc>
          <w:tcPr>
            <w:tcW w:w="4571" w:type="dxa"/>
            <w:tcBorders>
              <w:top w:val="single" w:color="000000" w:sz="4" w:space="0"/>
              <w:left w:val="single" w:color="auto" w:sz="4" w:space="0"/>
              <w:bottom w:val="single" w:color="000000" w:sz="4" w:space="0"/>
              <w:right w:val="single" w:color="000000" w:sz="4" w:space="0"/>
            </w:tcBorders>
            <w:shd w:val="clear" w:color="auto" w:fill="auto"/>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预算执行率=（实际支出资金/实际到位资金</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×100%。</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实际支出资金：一定时期（本年度或项目期）内项目实际拨付的资金。</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r>
      <w:tr>
        <w:tblPrEx>
          <w:tblCellMar>
            <w:top w:w="0" w:type="dxa"/>
            <w:left w:w="108" w:type="dxa"/>
            <w:bottom w:w="0" w:type="dxa"/>
            <w:right w:w="108" w:type="dxa"/>
          </w:tblCellMar>
        </w:tblPrEx>
        <w:trPr>
          <w:trHeight w:val="1559" w:hRule="atLeast"/>
        </w:trPr>
        <w:tc>
          <w:tcPr>
            <w:tcW w:w="95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932" w:type="dxa"/>
            <w:vMerge w:val="continue"/>
            <w:tcBorders>
              <w:left w:val="single" w:color="auto"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1125"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资金使用</w:t>
            </w:r>
            <w:r>
              <w:rPr>
                <w:rFonts w:hint="default" w:ascii="Times New Roman" w:hAnsi="Times New Roman" w:eastAsia="宋体" w:cs="Times New Roman"/>
                <w:color w:val="auto"/>
                <w:sz w:val="21"/>
                <w:szCs w:val="21"/>
                <w:highlight w:val="none"/>
              </w:rPr>
              <w:br w:type="textWrapping"/>
            </w:r>
            <w:r>
              <w:rPr>
                <w:rFonts w:hint="default" w:ascii="Times New Roman" w:hAnsi="Times New Roman" w:eastAsia="宋体" w:cs="Times New Roman"/>
                <w:color w:val="auto"/>
                <w:sz w:val="21"/>
                <w:szCs w:val="21"/>
                <w:highlight w:val="none"/>
              </w:rPr>
              <w:t>合规性</w:t>
            </w:r>
          </w:p>
        </w:tc>
        <w:tc>
          <w:tcPr>
            <w:tcW w:w="4571" w:type="dxa"/>
            <w:tcBorders>
              <w:top w:val="single" w:color="000000" w:sz="4" w:space="0"/>
              <w:left w:val="single" w:color="auto" w:sz="4" w:space="0"/>
              <w:bottom w:val="single" w:color="000000" w:sz="4" w:space="0"/>
              <w:right w:val="single" w:color="000000" w:sz="4" w:space="0"/>
            </w:tcBorders>
            <w:shd w:val="clear" w:color="auto" w:fill="auto"/>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①是否符合国家财经法规和财务管理制度以及有关专项资金管理办法的规定；</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②资金的拨付是否有完整的审批程序和手续；</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③是否符合项目预算批复或合同规定的用途；</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④是否存在截留、挤占、挪用、虚列支出等情况。</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r>
      <w:tr>
        <w:tblPrEx>
          <w:tblCellMar>
            <w:top w:w="0" w:type="dxa"/>
            <w:left w:w="108" w:type="dxa"/>
            <w:bottom w:w="0" w:type="dxa"/>
            <w:right w:w="108" w:type="dxa"/>
          </w:tblCellMar>
        </w:tblPrEx>
        <w:trPr>
          <w:trHeight w:val="940" w:hRule="atLeast"/>
        </w:trPr>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932"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组织实施</w:t>
            </w:r>
          </w:p>
        </w:tc>
        <w:tc>
          <w:tcPr>
            <w:tcW w:w="112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管理制度</w:t>
            </w:r>
            <w:r>
              <w:rPr>
                <w:rFonts w:hint="default" w:ascii="Times New Roman" w:hAnsi="Times New Roman" w:eastAsia="宋体" w:cs="Times New Roman"/>
                <w:color w:val="auto"/>
                <w:sz w:val="21"/>
                <w:szCs w:val="21"/>
                <w:highlight w:val="none"/>
              </w:rPr>
              <w:br w:type="textWrapping"/>
            </w:r>
            <w:r>
              <w:rPr>
                <w:rFonts w:hint="default" w:ascii="Times New Roman" w:hAnsi="Times New Roman" w:eastAsia="宋体" w:cs="Times New Roman"/>
                <w:color w:val="auto"/>
                <w:sz w:val="21"/>
                <w:szCs w:val="21"/>
                <w:highlight w:val="none"/>
              </w:rPr>
              <w:t>健全性</w:t>
            </w:r>
          </w:p>
        </w:tc>
        <w:tc>
          <w:tcPr>
            <w:tcW w:w="457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①是否已制定或具有相应的财务和业务管理制度；</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②财务和业务管理制度是否合法、合规、完整。</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r>
      <w:tr>
        <w:tblPrEx>
          <w:tblCellMar>
            <w:top w:w="0" w:type="dxa"/>
            <w:left w:w="108" w:type="dxa"/>
            <w:bottom w:w="0" w:type="dxa"/>
            <w:right w:w="108" w:type="dxa"/>
          </w:tblCellMar>
        </w:tblPrEx>
        <w:trPr>
          <w:trHeight w:val="1869" w:hRule="atLeast"/>
        </w:trPr>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制度执行</w:t>
            </w:r>
            <w:r>
              <w:rPr>
                <w:rFonts w:hint="default" w:ascii="Times New Roman" w:hAnsi="Times New Roman" w:eastAsia="宋体" w:cs="Times New Roman"/>
                <w:color w:val="auto"/>
                <w:sz w:val="21"/>
                <w:szCs w:val="21"/>
                <w:highlight w:val="none"/>
              </w:rPr>
              <w:br w:type="textWrapping"/>
            </w:r>
            <w:r>
              <w:rPr>
                <w:rFonts w:hint="default" w:ascii="Times New Roman" w:hAnsi="Times New Roman" w:eastAsia="宋体" w:cs="Times New Roman"/>
                <w:color w:val="auto"/>
                <w:sz w:val="21"/>
                <w:szCs w:val="21"/>
                <w:highlight w:val="none"/>
              </w:rPr>
              <w:t>有效性</w:t>
            </w:r>
          </w:p>
        </w:tc>
        <w:tc>
          <w:tcPr>
            <w:tcW w:w="457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①是否遵守相关法律法规和相关管理规定；</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②项目调整及支出调整手续是否完备；</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③项目合同书、验收报告、技术鉴定等资料是否齐全并及时归档；</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④项目实施的人员条件、场地设备、信息支撑等是否落实到位。</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r>
      <w:tr>
        <w:tblPrEx>
          <w:tblCellMar>
            <w:top w:w="0" w:type="dxa"/>
            <w:left w:w="108" w:type="dxa"/>
            <w:bottom w:w="0" w:type="dxa"/>
            <w:right w:w="108" w:type="dxa"/>
          </w:tblCellMar>
        </w:tblPrEx>
        <w:trPr>
          <w:trHeight w:val="172" w:hRule="atLeast"/>
        </w:trPr>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产出（30分）</w:t>
            </w:r>
          </w:p>
        </w:tc>
        <w:tc>
          <w:tcPr>
            <w:tcW w:w="932"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产出数量</w:t>
            </w:r>
          </w:p>
        </w:tc>
        <w:tc>
          <w:tcPr>
            <w:tcW w:w="112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开展检查次数</w:t>
            </w:r>
          </w:p>
        </w:tc>
        <w:tc>
          <w:tcPr>
            <w:tcW w:w="457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开展检查次数：一定时期（本年度或项目期）内项目实际开展检查次数数量。</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r>
      <w:tr>
        <w:tblPrEx>
          <w:tblCellMar>
            <w:top w:w="0" w:type="dxa"/>
            <w:left w:w="108" w:type="dxa"/>
            <w:bottom w:w="0" w:type="dxa"/>
            <w:right w:w="108" w:type="dxa"/>
          </w:tblCellMar>
        </w:tblPrEx>
        <w:trPr>
          <w:trHeight w:val="319" w:hRule="atLeast"/>
        </w:trPr>
        <w:tc>
          <w:tcPr>
            <w:tcW w:w="95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932"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产出质量</w:t>
            </w:r>
          </w:p>
        </w:tc>
        <w:tc>
          <w:tcPr>
            <w:tcW w:w="1125"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运营服务评审合格率</w:t>
            </w:r>
          </w:p>
        </w:tc>
        <w:tc>
          <w:tcPr>
            <w:tcW w:w="4571" w:type="dxa"/>
            <w:tcBorders>
              <w:top w:val="single" w:color="000000" w:sz="4" w:space="0"/>
              <w:left w:val="single" w:color="auto" w:sz="4" w:space="0"/>
              <w:bottom w:val="single" w:color="000000" w:sz="4" w:space="0"/>
              <w:right w:val="single" w:color="000000" w:sz="4" w:space="0"/>
            </w:tcBorders>
            <w:shd w:val="clear" w:color="auto" w:fill="auto"/>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运营服务评审合格率=（运营服务评审合格数/实际运营服务数）×100%。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r>
      <w:tr>
        <w:tblPrEx>
          <w:tblCellMar>
            <w:top w:w="0" w:type="dxa"/>
            <w:left w:w="108" w:type="dxa"/>
            <w:bottom w:w="0" w:type="dxa"/>
            <w:right w:w="108" w:type="dxa"/>
          </w:tblCellMar>
        </w:tblPrEx>
        <w:trPr>
          <w:trHeight w:val="1274" w:hRule="atLeast"/>
        </w:trPr>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932" w:type="dxa"/>
            <w:tcBorders>
              <w:top w:val="single" w:color="auto"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产出时效</w:t>
            </w:r>
          </w:p>
        </w:tc>
        <w:tc>
          <w:tcPr>
            <w:tcW w:w="1125" w:type="dxa"/>
            <w:tcBorders>
              <w:top w:val="single" w:color="auto"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工作开展时间</w:t>
            </w:r>
          </w:p>
        </w:tc>
        <w:tc>
          <w:tcPr>
            <w:tcW w:w="457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实际完成时间：项目实施单位完成该项目实际所耗用的时间。</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计划完成时间：按照项目实施计划或相关规定完成该项目所需的时间。</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r>
      <w:tr>
        <w:tblPrEx>
          <w:tblCellMar>
            <w:top w:w="0" w:type="dxa"/>
            <w:left w:w="108" w:type="dxa"/>
            <w:bottom w:w="0" w:type="dxa"/>
            <w:right w:w="108" w:type="dxa"/>
          </w:tblCellMar>
        </w:tblPrEx>
        <w:trPr>
          <w:trHeight w:val="1869" w:hRule="atLeast"/>
        </w:trPr>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产出成本</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执法设备及使用停车场费用</w:t>
            </w:r>
          </w:p>
        </w:tc>
        <w:tc>
          <w:tcPr>
            <w:tcW w:w="457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成本完成率=［（计划成本</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实际成本）/计划成本］×100%。</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实际成本：项目实施单位如期、保质、保量完成既定工作目标实际所耗费的支出。</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计划成本：项目实施单位为完成工作目标计划安排的支出，一般以项目预算为参考。</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r>
      <w:tr>
        <w:tblPrEx>
          <w:tblCellMar>
            <w:top w:w="0" w:type="dxa"/>
            <w:left w:w="108" w:type="dxa"/>
            <w:bottom w:w="0" w:type="dxa"/>
            <w:right w:w="108" w:type="dxa"/>
          </w:tblCellMar>
        </w:tblPrEx>
        <w:trPr>
          <w:trHeight w:val="940" w:hRule="atLeast"/>
        </w:trPr>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效益（25分）</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社会效益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对</w:t>
            </w:r>
            <w:r>
              <w:rPr>
                <w:rFonts w:hint="default" w:ascii="Times New Roman" w:hAnsi="Times New Roman" w:eastAsia="宋体" w:cs="Times New Roman"/>
                <w:color w:val="auto"/>
                <w:sz w:val="21"/>
                <w:szCs w:val="21"/>
                <w:highlight w:val="none"/>
                <w:lang w:val="en-US" w:eastAsia="zh-CN"/>
              </w:rPr>
              <w:t>交通</w:t>
            </w:r>
            <w:r>
              <w:rPr>
                <w:rFonts w:hint="default" w:ascii="Times New Roman" w:hAnsi="Times New Roman" w:eastAsia="宋体" w:cs="Times New Roman"/>
                <w:color w:val="auto"/>
                <w:sz w:val="21"/>
                <w:szCs w:val="21"/>
                <w:highlight w:val="none"/>
              </w:rPr>
              <w:t>安全意识的影响程度</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项目实施所产生的社会效益，具体评价项目实施对安全意识的影响程度。</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r>
      <w:tr>
        <w:tblPrEx>
          <w:tblCellMar>
            <w:top w:w="0" w:type="dxa"/>
            <w:left w:w="108" w:type="dxa"/>
            <w:bottom w:w="0" w:type="dxa"/>
            <w:right w:w="108" w:type="dxa"/>
          </w:tblCellMar>
        </w:tblPrEx>
        <w:trPr>
          <w:trHeight w:val="1250" w:hRule="atLeast"/>
        </w:trPr>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可持续影响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治超专项治理成效</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项目实施所产生的可持续影响，具体评价项目实施对辖区内安全生产的可持续影响程度。</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r>
      <w:tr>
        <w:tblPrEx>
          <w:tblCellMar>
            <w:top w:w="0" w:type="dxa"/>
            <w:left w:w="108" w:type="dxa"/>
            <w:bottom w:w="0" w:type="dxa"/>
            <w:right w:w="108" w:type="dxa"/>
          </w:tblCellMar>
        </w:tblPrEx>
        <w:trPr>
          <w:trHeight w:val="1140" w:hRule="atLeast"/>
        </w:trPr>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满意度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公众满意度</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社会公众或服务对象是指因该项目实施而受到影响的部门（单位）、群体或个人。一般采取社会调查的方式。</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r>
      <w:tr>
        <w:tblPrEx>
          <w:tblCellMar>
            <w:top w:w="0" w:type="dxa"/>
            <w:left w:w="108" w:type="dxa"/>
            <w:bottom w:w="0" w:type="dxa"/>
            <w:right w:w="108" w:type="dxa"/>
          </w:tblCellMar>
        </w:tblPrEx>
        <w:trPr>
          <w:trHeight w:val="648" w:hRule="atLeast"/>
        </w:trPr>
        <w:tc>
          <w:tcPr>
            <w:tcW w:w="75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分值合计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评价方法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绩效评价主要采用以下三种方法：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（1）成本效益分析法。将一定时期内的支出与效益进行对比分析，评价绩效目标实现程度。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（2）比较法。通过对绩效目标与实施效果、历史与当期情况、不同部门和地区同类支出的比较，综合分析绩效目标实现程度。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（3）公众评判法。通过专家评估、公众问卷及抽样调查等对财政支出效果进行评判，评价绩效目标实现程度。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评价标准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绩效评价采用百分制，项目决策、项目过程、项目产出、项目绩效四大类一级指标共100分。其中项目决策指标20分，项目过程25分，项目产出30分，项目绩效25分。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评价结果等级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绩效评价结果采取评分和评级相结合的方式，具体分值和等级可根据不同评价内容设定。总分一般设置为 100分，等级一般划分为四档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 90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含</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-100分为优、80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含</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 -90分为良、60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含</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-80分为中、60 分以下为差。</w:t>
      </w:r>
    </w:p>
    <w:p>
      <w:pPr>
        <w:pStyle w:val="4"/>
        <w:keepNext w:val="0"/>
        <w:keepLines w:val="0"/>
        <w:pageBreakBefore w:val="0"/>
        <w:widowControl w:val="0"/>
        <w:numPr>
          <w:ilvl w:val="1"/>
          <w:numId w:val="0"/>
        </w:numPr>
        <w:kinsoku/>
        <w:wordWrap/>
        <w:overflowPunct/>
        <w:topLinePunct w:val="0"/>
        <w:bidi w:val="0"/>
        <w:adjustRightInd/>
        <w:snapToGrid/>
        <w:spacing w:before="0" w:after="0" w:line="6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bookmarkStart w:id="11" w:name="_Toc1029"/>
      <w:r>
        <w:rPr>
          <w:rFonts w:hint="eastAsia" w:ascii="仿宋_GB2312" w:hAnsi="仿宋_GB2312" w:eastAsia="仿宋_GB2312" w:cs="仿宋_GB2312"/>
          <w:color w:val="auto"/>
          <w:kern w:val="2"/>
          <w:sz w:val="32"/>
          <w:szCs w:val="32"/>
          <w:highlight w:val="none"/>
          <w:lang w:val="en-US" w:eastAsia="zh-CN" w:bidi="ar-SA"/>
        </w:rPr>
        <w:t>（三）绩效评价工作过程</w:t>
      </w:r>
      <w:bookmarkEnd w:id="1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绩效评价项目组的人员构成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绩效评价项目组配备了具有丰富绩效评价工作经验的注册会计师及专业评价人员来承担项目。项目负责人具体负责绩效评价项目的内部和外部协调，并对整个项目的工作情况进行监督、管理和控制。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绩效评价工作程序和进度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按照区财政局的要求，在规定时间开始现场绩效评价工作，按时完成现场绩效评价工作，形成绩效评价报告。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绩效评价工作分为准备阶段、实施阶段、报告阶段三个阶段。日程表如下：</w:t>
      </w:r>
    </w:p>
    <w:p>
      <w:pPr>
        <w:keepNext w:val="0"/>
        <w:keepLines w:val="0"/>
        <w:pageBreakBefore w:val="0"/>
        <w:widowControl w:val="0"/>
        <w:numPr>
          <w:ilvl w:val="1"/>
          <w:numId w:val="0"/>
        </w:numPr>
        <w:tabs>
          <w:tab w:val="left" w:pos="0"/>
        </w:tabs>
        <w:kinsoku/>
        <w:wordWrap/>
        <w:overflowPunct/>
        <w:topLinePunct w:val="0"/>
        <w:bidi w:val="0"/>
        <w:adjustRightInd/>
        <w:snapToGrid/>
        <w:spacing w:line="600" w:lineRule="exact"/>
        <w:jc w:val="center"/>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表2：绩效评价工作日程表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5"/>
        <w:gridCol w:w="1307"/>
        <w:gridCol w:w="5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1495" w:type="dxa"/>
            <w:vAlign w:val="center"/>
          </w:tcPr>
          <w:p>
            <w:pPr>
              <w:spacing w:line="360" w:lineRule="auto"/>
              <w:jc w:val="center"/>
              <w:rPr>
                <w:rFonts w:hint="eastAsia" w:ascii="黑体" w:hAnsi="黑体" w:eastAsia="黑体" w:cs="黑体"/>
                <w:bCs/>
                <w:color w:val="auto"/>
                <w:sz w:val="21"/>
                <w:szCs w:val="21"/>
                <w:highlight w:val="none"/>
                <w:lang w:bidi="ar"/>
              </w:rPr>
            </w:pPr>
            <w:r>
              <w:rPr>
                <w:rFonts w:hint="eastAsia" w:ascii="黑体" w:hAnsi="黑体" w:eastAsia="黑体" w:cs="黑体"/>
                <w:bCs/>
                <w:color w:val="auto"/>
                <w:sz w:val="21"/>
                <w:szCs w:val="21"/>
                <w:highlight w:val="none"/>
                <w:lang w:bidi="ar"/>
              </w:rPr>
              <w:t>工作阶段</w:t>
            </w:r>
          </w:p>
        </w:tc>
        <w:tc>
          <w:tcPr>
            <w:tcW w:w="1307" w:type="dxa"/>
            <w:tcMar>
              <w:top w:w="15" w:type="dxa"/>
              <w:left w:w="15" w:type="dxa"/>
              <w:bottom w:w="0" w:type="dxa"/>
              <w:right w:w="15" w:type="dxa"/>
            </w:tcMar>
            <w:vAlign w:val="center"/>
          </w:tcPr>
          <w:p>
            <w:pPr>
              <w:spacing w:line="360" w:lineRule="auto"/>
              <w:jc w:val="center"/>
              <w:rPr>
                <w:rFonts w:hint="eastAsia" w:ascii="黑体" w:hAnsi="黑体" w:eastAsia="黑体" w:cs="黑体"/>
                <w:bCs/>
                <w:color w:val="auto"/>
                <w:sz w:val="21"/>
                <w:szCs w:val="21"/>
                <w:highlight w:val="none"/>
                <w:lang w:bidi="ar"/>
              </w:rPr>
            </w:pPr>
            <w:r>
              <w:rPr>
                <w:rFonts w:hint="eastAsia" w:ascii="黑体" w:hAnsi="黑体" w:eastAsia="黑体" w:cs="黑体"/>
                <w:bCs/>
                <w:color w:val="auto"/>
                <w:sz w:val="21"/>
                <w:szCs w:val="21"/>
                <w:highlight w:val="none"/>
                <w:lang w:bidi="ar"/>
              </w:rPr>
              <w:t>工作时间</w:t>
            </w:r>
          </w:p>
        </w:tc>
        <w:tc>
          <w:tcPr>
            <w:tcW w:w="5524" w:type="dxa"/>
            <w:tcMar>
              <w:top w:w="15" w:type="dxa"/>
              <w:left w:w="15" w:type="dxa"/>
              <w:bottom w:w="0" w:type="dxa"/>
              <w:right w:w="15" w:type="dxa"/>
            </w:tcMar>
            <w:vAlign w:val="center"/>
          </w:tcPr>
          <w:p>
            <w:pPr>
              <w:spacing w:line="360" w:lineRule="auto"/>
              <w:jc w:val="center"/>
              <w:rPr>
                <w:rFonts w:hint="eastAsia" w:ascii="黑体" w:hAnsi="黑体" w:eastAsia="黑体" w:cs="黑体"/>
                <w:bCs/>
                <w:color w:val="auto"/>
                <w:sz w:val="21"/>
                <w:szCs w:val="21"/>
                <w:highlight w:val="none"/>
                <w:lang w:bidi="ar"/>
              </w:rPr>
            </w:pPr>
            <w:r>
              <w:rPr>
                <w:rFonts w:hint="eastAsia" w:ascii="黑体" w:hAnsi="黑体" w:eastAsia="黑体" w:cs="黑体"/>
                <w:bCs/>
                <w:color w:val="auto"/>
                <w:sz w:val="21"/>
                <w:szCs w:val="21"/>
                <w:highlight w:val="none"/>
                <w:lang w:bidi="ar"/>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1495" w:type="dxa"/>
            <w:vAlign w:val="center"/>
          </w:tcPr>
          <w:p>
            <w:pPr>
              <w:spacing w:line="360" w:lineRule="auto"/>
              <w:jc w:val="center"/>
              <w:rPr>
                <w:rFonts w:hint="default" w:ascii="Times New Roman" w:hAnsi="Times New Roman" w:cs="Times New Roman"/>
                <w:bCs/>
                <w:color w:val="auto"/>
                <w:sz w:val="21"/>
                <w:szCs w:val="21"/>
                <w:highlight w:val="none"/>
                <w:lang w:bidi="ar"/>
              </w:rPr>
            </w:pPr>
            <w:r>
              <w:rPr>
                <w:rFonts w:hint="default" w:ascii="Times New Roman" w:hAnsi="Times New Roman" w:cs="Times New Roman"/>
                <w:bCs/>
                <w:color w:val="auto"/>
                <w:sz w:val="21"/>
                <w:szCs w:val="21"/>
                <w:highlight w:val="none"/>
                <w:lang w:bidi="ar"/>
              </w:rPr>
              <w:t>准备阶段</w:t>
            </w:r>
          </w:p>
        </w:tc>
        <w:tc>
          <w:tcPr>
            <w:tcW w:w="1307" w:type="dxa"/>
            <w:tcMar>
              <w:top w:w="15" w:type="dxa"/>
              <w:left w:w="15" w:type="dxa"/>
              <w:bottom w:w="0" w:type="dxa"/>
              <w:right w:w="15" w:type="dxa"/>
            </w:tcMar>
            <w:vAlign w:val="center"/>
          </w:tcPr>
          <w:p>
            <w:pPr>
              <w:spacing w:line="360" w:lineRule="auto"/>
              <w:jc w:val="center"/>
              <w:rPr>
                <w:rFonts w:hint="default" w:ascii="Times New Roman" w:hAnsi="Times New Roman" w:cs="Times New Roman"/>
                <w:bCs/>
                <w:color w:val="auto"/>
                <w:sz w:val="21"/>
                <w:szCs w:val="21"/>
                <w:highlight w:val="none"/>
                <w:lang w:bidi="ar"/>
              </w:rPr>
            </w:pPr>
            <w:r>
              <w:rPr>
                <w:rFonts w:hint="default" w:ascii="Times New Roman" w:hAnsi="Times New Roman" w:cs="Times New Roman"/>
                <w:bCs/>
                <w:color w:val="auto"/>
                <w:sz w:val="21"/>
                <w:szCs w:val="21"/>
                <w:highlight w:val="none"/>
                <w:lang w:val="en-US" w:eastAsia="zh-CN" w:bidi="ar"/>
              </w:rPr>
              <w:t>7</w:t>
            </w:r>
            <w:r>
              <w:rPr>
                <w:rFonts w:hint="default" w:ascii="Times New Roman" w:hAnsi="Times New Roman" w:cs="Times New Roman"/>
                <w:bCs/>
                <w:color w:val="auto"/>
                <w:sz w:val="21"/>
                <w:szCs w:val="21"/>
                <w:highlight w:val="none"/>
                <w:lang w:bidi="ar"/>
              </w:rPr>
              <w:t>工作日</w:t>
            </w:r>
          </w:p>
        </w:tc>
        <w:tc>
          <w:tcPr>
            <w:tcW w:w="5524" w:type="dxa"/>
            <w:tcMar>
              <w:top w:w="15" w:type="dxa"/>
              <w:left w:w="15" w:type="dxa"/>
              <w:bottom w:w="0" w:type="dxa"/>
              <w:right w:w="15" w:type="dxa"/>
            </w:tcMar>
            <w:vAlign w:val="center"/>
          </w:tcPr>
          <w:p>
            <w:pPr>
              <w:spacing w:line="360" w:lineRule="auto"/>
              <w:jc w:val="left"/>
              <w:rPr>
                <w:rFonts w:hint="default" w:ascii="Times New Roman" w:hAnsi="Times New Roman" w:cs="Times New Roman"/>
                <w:bCs/>
                <w:color w:val="auto"/>
                <w:sz w:val="21"/>
                <w:szCs w:val="21"/>
                <w:highlight w:val="none"/>
                <w:lang w:bidi="ar"/>
              </w:rPr>
            </w:pPr>
            <w:r>
              <w:rPr>
                <w:rFonts w:hint="default" w:ascii="Times New Roman" w:hAnsi="Times New Roman" w:cs="Times New Roman"/>
                <w:bCs/>
                <w:color w:val="auto"/>
                <w:sz w:val="21"/>
                <w:szCs w:val="21"/>
                <w:highlight w:val="none"/>
                <w:lang w:bidi="ar"/>
              </w:rPr>
              <w:t>◇所内集中参与人员进行短期培训，分派任务，讲解要求，明确责任；</w:t>
            </w:r>
          </w:p>
          <w:p>
            <w:pPr>
              <w:spacing w:line="360" w:lineRule="auto"/>
              <w:jc w:val="left"/>
              <w:rPr>
                <w:rFonts w:hint="default" w:ascii="Times New Roman" w:hAnsi="Times New Roman" w:cs="Times New Roman"/>
                <w:bCs/>
                <w:color w:val="auto"/>
                <w:sz w:val="21"/>
                <w:szCs w:val="21"/>
                <w:highlight w:val="none"/>
                <w:lang w:bidi="ar"/>
              </w:rPr>
            </w:pPr>
            <w:r>
              <w:rPr>
                <w:rFonts w:hint="default" w:ascii="Times New Roman" w:hAnsi="Times New Roman" w:cs="Times New Roman"/>
                <w:bCs/>
                <w:color w:val="auto"/>
                <w:sz w:val="21"/>
                <w:szCs w:val="21"/>
                <w:highlight w:val="none"/>
                <w:lang w:bidi="ar"/>
              </w:rPr>
              <w:t>◇开展审前调查，收集资料、了解基本情况；</w:t>
            </w:r>
          </w:p>
          <w:p>
            <w:pPr>
              <w:spacing w:line="360" w:lineRule="auto"/>
              <w:jc w:val="left"/>
              <w:rPr>
                <w:rFonts w:hint="default" w:ascii="Times New Roman" w:hAnsi="Times New Roman" w:cs="Times New Roman"/>
                <w:bCs/>
                <w:color w:val="auto"/>
                <w:sz w:val="21"/>
                <w:szCs w:val="21"/>
                <w:highlight w:val="none"/>
                <w:lang w:bidi="ar"/>
              </w:rPr>
            </w:pPr>
            <w:r>
              <w:rPr>
                <w:rFonts w:hint="default" w:ascii="Times New Roman" w:hAnsi="Times New Roman" w:cs="Times New Roman"/>
                <w:bCs/>
                <w:color w:val="auto"/>
                <w:sz w:val="21"/>
                <w:szCs w:val="21"/>
                <w:highlight w:val="none"/>
                <w:lang w:bidi="ar"/>
              </w:rPr>
              <w:t>◇进行政策梳理，编制相关工作底稿。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1495" w:type="dxa"/>
            <w:vAlign w:val="center"/>
          </w:tcPr>
          <w:p>
            <w:pPr>
              <w:spacing w:line="360" w:lineRule="auto"/>
              <w:jc w:val="center"/>
              <w:rPr>
                <w:rFonts w:hint="default" w:ascii="Times New Roman" w:hAnsi="Times New Roman" w:cs="Times New Roman"/>
                <w:bCs/>
                <w:color w:val="auto"/>
                <w:sz w:val="21"/>
                <w:szCs w:val="21"/>
                <w:highlight w:val="none"/>
                <w:lang w:bidi="ar"/>
              </w:rPr>
            </w:pPr>
            <w:r>
              <w:rPr>
                <w:rFonts w:hint="default" w:ascii="Times New Roman" w:hAnsi="Times New Roman" w:cs="Times New Roman"/>
                <w:bCs/>
                <w:color w:val="auto"/>
                <w:sz w:val="21"/>
                <w:szCs w:val="21"/>
                <w:highlight w:val="none"/>
                <w:lang w:bidi="ar"/>
              </w:rPr>
              <w:t>实施阶段</w:t>
            </w:r>
          </w:p>
        </w:tc>
        <w:tc>
          <w:tcPr>
            <w:tcW w:w="1307" w:type="dxa"/>
            <w:tcMar>
              <w:top w:w="15" w:type="dxa"/>
              <w:left w:w="15" w:type="dxa"/>
              <w:bottom w:w="0" w:type="dxa"/>
              <w:right w:w="15" w:type="dxa"/>
            </w:tcMar>
            <w:vAlign w:val="center"/>
          </w:tcPr>
          <w:p>
            <w:pPr>
              <w:spacing w:line="360" w:lineRule="auto"/>
              <w:jc w:val="center"/>
              <w:rPr>
                <w:rFonts w:hint="default" w:ascii="Times New Roman" w:hAnsi="Times New Roman" w:cs="Times New Roman"/>
                <w:bCs/>
                <w:color w:val="auto"/>
                <w:sz w:val="21"/>
                <w:szCs w:val="21"/>
                <w:highlight w:val="none"/>
                <w:lang w:bidi="ar"/>
              </w:rPr>
            </w:pPr>
            <w:r>
              <w:rPr>
                <w:rFonts w:hint="default" w:ascii="Times New Roman" w:hAnsi="Times New Roman" w:cs="Times New Roman"/>
                <w:bCs/>
                <w:color w:val="auto"/>
                <w:sz w:val="21"/>
                <w:szCs w:val="21"/>
                <w:highlight w:val="none"/>
                <w:lang w:val="en-US" w:eastAsia="zh-CN" w:bidi="ar"/>
              </w:rPr>
              <w:t>28</w:t>
            </w:r>
            <w:r>
              <w:rPr>
                <w:rFonts w:hint="default" w:ascii="Times New Roman" w:hAnsi="Times New Roman" w:cs="Times New Roman"/>
                <w:bCs/>
                <w:color w:val="auto"/>
                <w:sz w:val="21"/>
                <w:szCs w:val="21"/>
                <w:highlight w:val="none"/>
                <w:lang w:bidi="ar"/>
              </w:rPr>
              <w:t>工作日</w:t>
            </w:r>
          </w:p>
        </w:tc>
        <w:tc>
          <w:tcPr>
            <w:tcW w:w="5524" w:type="dxa"/>
            <w:tcMar>
              <w:top w:w="15" w:type="dxa"/>
              <w:left w:w="15" w:type="dxa"/>
              <w:bottom w:w="0" w:type="dxa"/>
              <w:right w:w="15" w:type="dxa"/>
            </w:tcMar>
            <w:vAlign w:val="center"/>
          </w:tcPr>
          <w:p>
            <w:pPr>
              <w:spacing w:line="360" w:lineRule="auto"/>
              <w:jc w:val="left"/>
              <w:rPr>
                <w:rFonts w:hint="default" w:ascii="Times New Roman" w:hAnsi="Times New Roman" w:cs="Times New Roman"/>
                <w:bCs/>
                <w:color w:val="auto"/>
                <w:sz w:val="21"/>
                <w:szCs w:val="21"/>
                <w:highlight w:val="none"/>
                <w:lang w:bidi="ar"/>
              </w:rPr>
            </w:pPr>
            <w:r>
              <w:rPr>
                <w:rFonts w:hint="default" w:ascii="Times New Roman" w:hAnsi="Times New Roman" w:cs="Times New Roman"/>
                <w:bCs/>
                <w:color w:val="auto"/>
                <w:sz w:val="21"/>
                <w:szCs w:val="21"/>
                <w:highlight w:val="none"/>
                <w:lang w:bidi="ar"/>
              </w:rPr>
              <w:t>◇首次入户，了解项目基本情况，沟通落实开展项目绩效评价工作的进度安排。收集项目首批资料，并反馈补充资料意见；</w:t>
            </w:r>
          </w:p>
          <w:p>
            <w:pPr>
              <w:spacing w:line="360" w:lineRule="auto"/>
              <w:jc w:val="left"/>
              <w:rPr>
                <w:rFonts w:hint="default" w:ascii="Times New Roman" w:hAnsi="Times New Roman" w:cs="Times New Roman"/>
                <w:bCs/>
                <w:color w:val="auto"/>
                <w:sz w:val="21"/>
                <w:szCs w:val="21"/>
                <w:highlight w:val="none"/>
                <w:lang w:bidi="ar"/>
              </w:rPr>
            </w:pPr>
            <w:r>
              <w:rPr>
                <w:rFonts w:hint="default" w:ascii="Times New Roman" w:hAnsi="Times New Roman" w:cs="Times New Roman"/>
                <w:bCs/>
                <w:color w:val="auto"/>
                <w:sz w:val="21"/>
                <w:szCs w:val="21"/>
                <w:highlight w:val="none"/>
                <w:lang w:bidi="ar"/>
              </w:rPr>
              <w:t xml:space="preserve">◇收集项目补充资料；进行分类整理、归集，填写相应的工作底稿； </w:t>
            </w:r>
          </w:p>
          <w:p>
            <w:pPr>
              <w:spacing w:line="360" w:lineRule="auto"/>
              <w:jc w:val="left"/>
              <w:rPr>
                <w:rFonts w:hint="default" w:ascii="Times New Roman" w:hAnsi="Times New Roman" w:cs="Times New Roman"/>
                <w:bCs/>
                <w:color w:val="auto"/>
                <w:sz w:val="21"/>
                <w:szCs w:val="21"/>
                <w:highlight w:val="none"/>
                <w:lang w:bidi="ar"/>
              </w:rPr>
            </w:pPr>
            <w:r>
              <w:rPr>
                <w:rFonts w:hint="default" w:ascii="Times New Roman" w:hAnsi="Times New Roman" w:cs="Times New Roman"/>
                <w:bCs/>
                <w:color w:val="auto"/>
                <w:sz w:val="21"/>
                <w:szCs w:val="21"/>
                <w:highlight w:val="none"/>
                <w:lang w:bidi="ar"/>
              </w:rPr>
              <w:t>◇定期向委托方汇报、沟通绩效评价中发现的问题；</w:t>
            </w:r>
          </w:p>
          <w:p>
            <w:pPr>
              <w:spacing w:line="360" w:lineRule="auto"/>
              <w:jc w:val="left"/>
              <w:rPr>
                <w:rFonts w:hint="default" w:ascii="Times New Roman" w:hAnsi="Times New Roman" w:cs="Times New Roman"/>
                <w:bCs/>
                <w:color w:val="auto"/>
                <w:sz w:val="21"/>
                <w:szCs w:val="21"/>
                <w:highlight w:val="none"/>
                <w:lang w:bidi="ar"/>
              </w:rPr>
            </w:pPr>
            <w:r>
              <w:rPr>
                <w:rFonts w:hint="default" w:ascii="Times New Roman" w:hAnsi="Times New Roman" w:cs="Times New Roman"/>
                <w:bCs/>
                <w:color w:val="auto"/>
                <w:sz w:val="21"/>
                <w:szCs w:val="21"/>
                <w:highlight w:val="none"/>
                <w:lang w:bidi="ar"/>
              </w:rPr>
              <w:t>◇按照绩效评价工作内容编制工作底稿，整理工作资料证据，撰写工作总结；</w:t>
            </w:r>
          </w:p>
          <w:p>
            <w:pPr>
              <w:spacing w:line="360" w:lineRule="auto"/>
              <w:jc w:val="left"/>
              <w:rPr>
                <w:rFonts w:hint="default" w:ascii="Times New Roman" w:hAnsi="Times New Roman" w:cs="Times New Roman"/>
                <w:bCs/>
                <w:color w:val="auto"/>
                <w:sz w:val="21"/>
                <w:szCs w:val="21"/>
                <w:highlight w:val="none"/>
                <w:lang w:bidi="ar"/>
              </w:rPr>
            </w:pPr>
            <w:r>
              <w:rPr>
                <w:rFonts w:hint="default" w:ascii="Times New Roman" w:hAnsi="Times New Roman" w:cs="Times New Roman"/>
                <w:bCs/>
                <w:color w:val="auto"/>
                <w:sz w:val="21"/>
                <w:szCs w:val="21"/>
                <w:highlight w:val="none"/>
                <w:lang w:bidi="ar"/>
              </w:rPr>
              <w:t>◇现场形成初步的复核工作总结，以备后续绩效评价报告的撰写奠定基础。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5" w:hRule="atLeast"/>
        </w:trPr>
        <w:tc>
          <w:tcPr>
            <w:tcW w:w="1495" w:type="dxa"/>
            <w:vAlign w:val="center"/>
          </w:tcPr>
          <w:p>
            <w:pPr>
              <w:spacing w:line="360" w:lineRule="auto"/>
              <w:jc w:val="center"/>
              <w:rPr>
                <w:rFonts w:hint="default" w:ascii="Times New Roman" w:hAnsi="Times New Roman" w:cs="Times New Roman"/>
                <w:bCs/>
                <w:color w:val="auto"/>
                <w:sz w:val="21"/>
                <w:szCs w:val="21"/>
                <w:highlight w:val="none"/>
                <w:lang w:bidi="ar"/>
              </w:rPr>
            </w:pPr>
            <w:r>
              <w:rPr>
                <w:rFonts w:hint="default" w:ascii="Times New Roman" w:hAnsi="Times New Roman" w:cs="Times New Roman"/>
                <w:bCs/>
                <w:color w:val="auto"/>
                <w:sz w:val="21"/>
                <w:szCs w:val="21"/>
                <w:highlight w:val="none"/>
                <w:lang w:bidi="ar"/>
              </w:rPr>
              <w:t>报告阶段</w:t>
            </w:r>
          </w:p>
        </w:tc>
        <w:tc>
          <w:tcPr>
            <w:tcW w:w="1307" w:type="dxa"/>
            <w:tcMar>
              <w:top w:w="15" w:type="dxa"/>
              <w:left w:w="15" w:type="dxa"/>
              <w:bottom w:w="0" w:type="dxa"/>
              <w:right w:w="15" w:type="dxa"/>
            </w:tcMar>
            <w:vAlign w:val="center"/>
          </w:tcPr>
          <w:p>
            <w:pPr>
              <w:spacing w:line="360" w:lineRule="auto"/>
              <w:jc w:val="center"/>
              <w:rPr>
                <w:rFonts w:hint="default" w:ascii="Times New Roman" w:hAnsi="Times New Roman" w:cs="Times New Roman"/>
                <w:bCs/>
                <w:color w:val="auto"/>
                <w:sz w:val="21"/>
                <w:szCs w:val="21"/>
                <w:highlight w:val="none"/>
                <w:lang w:bidi="ar"/>
              </w:rPr>
            </w:pPr>
            <w:r>
              <w:rPr>
                <w:rFonts w:hint="default" w:ascii="Times New Roman" w:hAnsi="Times New Roman" w:cs="Times New Roman"/>
                <w:bCs/>
                <w:color w:val="auto"/>
                <w:sz w:val="21"/>
                <w:szCs w:val="21"/>
                <w:highlight w:val="none"/>
                <w:lang w:val="en-US" w:eastAsia="zh-CN" w:bidi="ar"/>
              </w:rPr>
              <w:t>10</w:t>
            </w:r>
            <w:r>
              <w:rPr>
                <w:rFonts w:hint="default" w:ascii="Times New Roman" w:hAnsi="Times New Roman" w:cs="Times New Roman"/>
                <w:bCs/>
                <w:color w:val="auto"/>
                <w:sz w:val="21"/>
                <w:szCs w:val="21"/>
                <w:highlight w:val="none"/>
                <w:lang w:bidi="ar"/>
              </w:rPr>
              <w:t>工作日</w:t>
            </w:r>
          </w:p>
        </w:tc>
        <w:tc>
          <w:tcPr>
            <w:tcW w:w="5524" w:type="dxa"/>
            <w:tcMar>
              <w:top w:w="15" w:type="dxa"/>
              <w:left w:w="15" w:type="dxa"/>
              <w:bottom w:w="0" w:type="dxa"/>
              <w:right w:w="15" w:type="dxa"/>
            </w:tcMar>
            <w:vAlign w:val="center"/>
          </w:tcPr>
          <w:p>
            <w:pPr>
              <w:spacing w:line="360" w:lineRule="auto"/>
              <w:jc w:val="left"/>
              <w:rPr>
                <w:rFonts w:hint="default" w:ascii="Times New Roman" w:hAnsi="Times New Roman" w:cs="Times New Roman"/>
                <w:bCs/>
                <w:color w:val="auto"/>
                <w:sz w:val="21"/>
                <w:szCs w:val="21"/>
                <w:highlight w:val="none"/>
                <w:lang w:bidi="ar"/>
              </w:rPr>
            </w:pPr>
            <w:r>
              <w:rPr>
                <w:rFonts w:hint="default" w:ascii="Times New Roman" w:hAnsi="Times New Roman" w:cs="Times New Roman"/>
                <w:bCs/>
                <w:color w:val="auto"/>
                <w:sz w:val="21"/>
                <w:szCs w:val="21"/>
                <w:highlight w:val="none"/>
                <w:lang w:bidi="ar"/>
              </w:rPr>
              <w:t>◇编制绩效评价报告初稿并先征求区财政局的意见；</w:t>
            </w:r>
          </w:p>
          <w:p>
            <w:pPr>
              <w:spacing w:line="360" w:lineRule="auto"/>
              <w:jc w:val="left"/>
              <w:rPr>
                <w:rFonts w:hint="default" w:ascii="Times New Roman" w:hAnsi="Times New Roman" w:cs="Times New Roman"/>
                <w:bCs/>
                <w:color w:val="auto"/>
                <w:sz w:val="21"/>
                <w:szCs w:val="21"/>
                <w:highlight w:val="none"/>
                <w:lang w:bidi="ar"/>
              </w:rPr>
            </w:pPr>
            <w:r>
              <w:rPr>
                <w:rFonts w:hint="default" w:ascii="Times New Roman" w:hAnsi="Times New Roman" w:cs="Times New Roman"/>
                <w:bCs/>
                <w:color w:val="auto"/>
                <w:sz w:val="21"/>
                <w:szCs w:val="21"/>
                <w:highlight w:val="none"/>
                <w:lang w:bidi="ar"/>
              </w:rPr>
              <w:t>◇根据沟通结果或补充提供的相关证据资料，修改绩效评价报告初稿；</w:t>
            </w:r>
          </w:p>
          <w:p>
            <w:pPr>
              <w:spacing w:line="360" w:lineRule="auto"/>
              <w:jc w:val="left"/>
              <w:rPr>
                <w:rFonts w:hint="default" w:ascii="Times New Roman" w:hAnsi="Times New Roman" w:cs="Times New Roman"/>
                <w:bCs/>
                <w:color w:val="auto"/>
                <w:sz w:val="21"/>
                <w:szCs w:val="21"/>
                <w:highlight w:val="none"/>
                <w:lang w:bidi="ar"/>
              </w:rPr>
            </w:pPr>
            <w:r>
              <w:rPr>
                <w:rFonts w:hint="default" w:ascii="Times New Roman" w:hAnsi="Times New Roman" w:cs="Times New Roman"/>
                <w:bCs/>
                <w:color w:val="auto"/>
                <w:sz w:val="21"/>
                <w:szCs w:val="21"/>
                <w:highlight w:val="none"/>
                <w:lang w:bidi="ar"/>
              </w:rPr>
              <w:t>◇履行事务所内部三级复核制度，正式出具并提交绩效评价报告。</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准备阶段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针对本次项目要求的工作时间紧、工作任务重等特点，提前完成事务所内部的审计团队短期培训、人员分工、资料收集，以及总体策略、具体计划等工作。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实施阶段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阶段包括完成项目的资料准备指导、资料收集、现场沟通等工作。项目组人员在充分了解项目情况基础上开展绩效评价，并形成绩效评价报告。定期向委托人汇报、沟通绩效评价过程中发现问题，解决绩效评价过程中存在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报告阶段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将评价过程中发现的问题进行汇总、整理、分析，并此基础上编制绩效评价报告初稿，及时向区财政局进行沟通、汇报。</w:t>
      </w:r>
    </w:p>
    <w:p>
      <w:pPr>
        <w:pStyle w:val="3"/>
        <w:pageBreakBefore w:val="0"/>
        <w:widowControl w:val="0"/>
        <w:numPr>
          <w:ilvl w:val="0"/>
          <w:numId w:val="2"/>
        </w:numPr>
        <w:kinsoku/>
        <w:wordWrap/>
        <w:overflowPunct/>
        <w:topLinePunct w:val="0"/>
        <w:autoSpaceDE/>
        <w:autoSpaceDN/>
        <w:bidi w:val="0"/>
        <w:adjustRightInd/>
        <w:snapToGrid/>
        <w:spacing w:before="0" w:after="0" w:line="600" w:lineRule="exact"/>
        <w:ind w:firstLine="640" w:firstLineChars="200"/>
        <w:textAlignment w:val="auto"/>
        <w:rPr>
          <w:rFonts w:hint="default" w:ascii="黑体" w:hAnsi="黑体" w:eastAsia="黑体" w:cs="黑体"/>
          <w:b w:val="0"/>
          <w:bCs/>
          <w:color w:val="auto"/>
          <w:sz w:val="32"/>
          <w:szCs w:val="32"/>
          <w:highlight w:val="none"/>
          <w:lang w:val="en-US" w:eastAsia="zh-CN"/>
        </w:rPr>
      </w:pPr>
      <w:bookmarkStart w:id="12" w:name="_Toc17513"/>
      <w:r>
        <w:rPr>
          <w:rFonts w:hint="eastAsia" w:ascii="黑体" w:hAnsi="黑体" w:eastAsia="黑体" w:cs="黑体"/>
          <w:b w:val="0"/>
          <w:bCs/>
          <w:color w:val="auto"/>
          <w:sz w:val="32"/>
          <w:szCs w:val="32"/>
          <w:highlight w:val="none"/>
          <w:lang w:val="en-US" w:eastAsia="zh-CN"/>
        </w:rPr>
        <w:t>综合评价情况及评价结论</w:t>
      </w:r>
      <w:bookmarkEnd w:id="12"/>
    </w:p>
    <w:p>
      <w:pPr>
        <w:keepNext w:val="0"/>
        <w:keepLines w:val="0"/>
        <w:pageBreakBefore w:val="0"/>
        <w:widowControl w:val="0"/>
        <w:numPr>
          <w:ilvl w:val="1"/>
          <w:numId w:val="0"/>
        </w:numPr>
        <w:tabs>
          <w:tab w:val="left" w:pos="0"/>
        </w:tabs>
        <w:kinsoku/>
        <w:wordWrap/>
        <w:overflowPunct/>
        <w:topLinePunct w:val="0"/>
        <w:bidi w:val="0"/>
        <w:adjustRightInd/>
        <w:snapToGrid/>
        <w:spacing w:line="600" w:lineRule="exact"/>
        <w:ind w:firstLine="640" w:firstLineChars="200"/>
        <w:textAlignment w:val="auto"/>
        <w:outlineLvl w:val="1"/>
        <w:rPr>
          <w:rFonts w:hint="eastAsia" w:ascii="仿宋_GB2312" w:hAnsi="仿宋_GB2312" w:eastAsia="仿宋_GB2312" w:cs="仿宋_GB2312"/>
          <w:color w:val="auto"/>
          <w:kern w:val="2"/>
          <w:sz w:val="32"/>
          <w:szCs w:val="32"/>
          <w:highlight w:val="none"/>
          <w:lang w:val="en-US" w:eastAsia="zh-CN" w:bidi="ar-SA"/>
        </w:rPr>
      </w:pPr>
      <w:bookmarkStart w:id="13" w:name="_Toc21746"/>
      <w:r>
        <w:rPr>
          <w:rFonts w:hint="eastAsia" w:ascii="仿宋_GB2312" w:hAnsi="仿宋_GB2312" w:eastAsia="仿宋_GB2312" w:cs="仿宋_GB2312"/>
          <w:color w:val="auto"/>
          <w:kern w:val="2"/>
          <w:sz w:val="32"/>
          <w:szCs w:val="32"/>
          <w:highlight w:val="none"/>
          <w:lang w:val="en-US" w:eastAsia="zh-CN" w:bidi="ar-SA"/>
        </w:rPr>
        <w:t>（一）评价得分情况</w:t>
      </w:r>
      <w:bookmarkEnd w:id="1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经综合评价，</w:t>
      </w:r>
      <w:r>
        <w:rPr>
          <w:rFonts w:hint="eastAsia" w:ascii="仿宋_GB2312" w:hAnsi="仿宋_GB2312" w:eastAsia="仿宋_GB2312" w:cs="仿宋_GB2312"/>
          <w:color w:val="auto"/>
          <w:sz w:val="32"/>
          <w:szCs w:val="32"/>
          <w:highlight w:val="none"/>
          <w:lang w:val="en-US" w:eastAsia="zh-CN"/>
        </w:rPr>
        <w:t>北辰区</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年度治超卸载点土地租赁及运营服务项目服务评价综合得分为</w:t>
      </w:r>
      <w:r>
        <w:rPr>
          <w:rFonts w:hint="eastAsia" w:ascii="仿宋_GB2312" w:hAnsi="仿宋_GB2312" w:eastAsia="仿宋_GB2312" w:cs="仿宋_GB2312"/>
          <w:color w:val="auto"/>
          <w:sz w:val="32"/>
          <w:szCs w:val="32"/>
          <w:highlight w:val="none"/>
          <w:lang w:val="en-US" w:eastAsia="zh-CN"/>
        </w:rPr>
        <w:t>90</w:t>
      </w:r>
      <w:r>
        <w:rPr>
          <w:rFonts w:hint="eastAsia" w:ascii="仿宋_GB2312" w:hAnsi="仿宋_GB2312" w:eastAsia="仿宋_GB2312" w:cs="仿宋_GB2312"/>
          <w:color w:val="auto"/>
          <w:sz w:val="32"/>
          <w:szCs w:val="32"/>
          <w:highlight w:val="none"/>
        </w:rPr>
        <w:t>分，等级为</w:t>
      </w:r>
      <w:r>
        <w:rPr>
          <w:rFonts w:hint="eastAsia" w:ascii="仿宋_GB2312" w:hAnsi="仿宋_GB2312" w:eastAsia="仿宋_GB2312" w:cs="仿宋_GB2312"/>
          <w:color w:val="auto"/>
          <w:sz w:val="32"/>
          <w:szCs w:val="32"/>
          <w:highlight w:val="none"/>
          <w:lang w:val="en-US" w:eastAsia="zh-CN"/>
        </w:rPr>
        <w:t>优</w:t>
      </w:r>
      <w:r>
        <w:rPr>
          <w:rFonts w:hint="eastAsia" w:ascii="仿宋_GB2312" w:hAnsi="仿宋_GB2312" w:eastAsia="仿宋_GB2312" w:cs="仿宋_GB2312"/>
          <w:color w:val="auto"/>
          <w:sz w:val="32"/>
          <w:szCs w:val="32"/>
          <w:highlight w:val="none"/>
        </w:rPr>
        <w:t>。具体指标评价分值如下表：</w:t>
      </w:r>
    </w:p>
    <w:p>
      <w:pPr>
        <w:keepNext w:val="0"/>
        <w:keepLines w:val="0"/>
        <w:pageBreakBefore w:val="0"/>
        <w:widowControl w:val="0"/>
        <w:numPr>
          <w:ilvl w:val="1"/>
          <w:numId w:val="0"/>
        </w:numPr>
        <w:tabs>
          <w:tab w:val="left" w:pos="0"/>
        </w:tabs>
        <w:kinsoku/>
        <w:wordWrap/>
        <w:overflowPunct/>
        <w:topLinePunct w:val="0"/>
        <w:bidi w:val="0"/>
        <w:adjustRightInd/>
        <w:snapToGrid/>
        <w:spacing w:line="600" w:lineRule="exact"/>
        <w:jc w:val="center"/>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表4：绩效评价得分情况表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2119"/>
        <w:gridCol w:w="2120"/>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19" w:type="dxa"/>
            <w:vAlign w:val="center"/>
          </w:tcPr>
          <w:p>
            <w:pPr>
              <w:spacing w:line="280" w:lineRule="exact"/>
              <w:jc w:val="center"/>
              <w:rPr>
                <w:rFonts w:hint="eastAsia" w:ascii="黑体" w:hAnsi="黑体" w:eastAsia="黑体" w:cs="黑体"/>
                <w:color w:val="auto"/>
                <w:sz w:val="21"/>
                <w:szCs w:val="21"/>
                <w:highlight w:val="none"/>
                <w:lang w:bidi="ar"/>
              </w:rPr>
            </w:pPr>
            <w:r>
              <w:rPr>
                <w:rFonts w:hint="eastAsia" w:ascii="黑体" w:hAnsi="黑体" w:eastAsia="黑体" w:cs="黑体"/>
                <w:color w:val="auto"/>
                <w:sz w:val="21"/>
                <w:szCs w:val="21"/>
                <w:highlight w:val="none"/>
                <w:lang w:bidi="ar"/>
              </w:rPr>
              <w:t>指标</w:t>
            </w:r>
          </w:p>
        </w:tc>
        <w:tc>
          <w:tcPr>
            <w:tcW w:w="2119" w:type="dxa"/>
            <w:vAlign w:val="center"/>
          </w:tcPr>
          <w:p>
            <w:pPr>
              <w:spacing w:line="280" w:lineRule="exact"/>
              <w:jc w:val="center"/>
              <w:rPr>
                <w:rFonts w:hint="eastAsia" w:ascii="黑体" w:hAnsi="黑体" w:eastAsia="黑体" w:cs="黑体"/>
                <w:color w:val="auto"/>
                <w:sz w:val="21"/>
                <w:szCs w:val="21"/>
                <w:highlight w:val="none"/>
                <w:lang w:bidi="ar"/>
              </w:rPr>
            </w:pPr>
            <w:r>
              <w:rPr>
                <w:rFonts w:hint="eastAsia" w:ascii="黑体" w:hAnsi="黑体" w:eastAsia="黑体" w:cs="黑体"/>
                <w:color w:val="auto"/>
                <w:sz w:val="21"/>
                <w:szCs w:val="21"/>
                <w:highlight w:val="none"/>
                <w:lang w:bidi="ar"/>
              </w:rPr>
              <w:t>分值</w:t>
            </w:r>
          </w:p>
        </w:tc>
        <w:tc>
          <w:tcPr>
            <w:tcW w:w="2120" w:type="dxa"/>
            <w:vAlign w:val="center"/>
          </w:tcPr>
          <w:p>
            <w:pPr>
              <w:spacing w:line="280" w:lineRule="exact"/>
              <w:jc w:val="center"/>
              <w:rPr>
                <w:rFonts w:hint="eastAsia" w:ascii="黑体" w:hAnsi="黑体" w:eastAsia="黑体" w:cs="黑体"/>
                <w:color w:val="auto"/>
                <w:sz w:val="21"/>
                <w:szCs w:val="21"/>
                <w:highlight w:val="none"/>
                <w:lang w:bidi="ar"/>
              </w:rPr>
            </w:pPr>
            <w:r>
              <w:rPr>
                <w:rFonts w:hint="eastAsia" w:ascii="黑体" w:hAnsi="黑体" w:eastAsia="黑体" w:cs="黑体"/>
                <w:color w:val="auto"/>
                <w:sz w:val="21"/>
                <w:szCs w:val="21"/>
                <w:highlight w:val="none"/>
                <w:lang w:bidi="ar"/>
              </w:rPr>
              <w:t>评分</w:t>
            </w:r>
          </w:p>
        </w:tc>
        <w:tc>
          <w:tcPr>
            <w:tcW w:w="2120" w:type="dxa"/>
            <w:vAlign w:val="center"/>
          </w:tcPr>
          <w:p>
            <w:pPr>
              <w:spacing w:line="280" w:lineRule="exact"/>
              <w:jc w:val="center"/>
              <w:rPr>
                <w:rFonts w:hint="eastAsia" w:ascii="黑体" w:hAnsi="黑体" w:eastAsia="黑体" w:cs="黑体"/>
                <w:color w:val="auto"/>
                <w:sz w:val="21"/>
                <w:szCs w:val="21"/>
                <w:highlight w:val="none"/>
                <w:lang w:bidi="ar"/>
              </w:rPr>
            </w:pPr>
            <w:r>
              <w:rPr>
                <w:rFonts w:hint="eastAsia" w:ascii="黑体" w:hAnsi="黑体" w:eastAsia="黑体" w:cs="黑体"/>
                <w:color w:val="auto"/>
                <w:sz w:val="21"/>
                <w:szCs w:val="21"/>
                <w:highlight w:val="none"/>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19" w:type="dxa"/>
            <w:vAlign w:val="center"/>
          </w:tcPr>
          <w:p>
            <w:pPr>
              <w:spacing w:line="280" w:lineRule="exact"/>
              <w:jc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bidi="ar"/>
              </w:rPr>
              <w:t>项目决策</w:t>
            </w:r>
          </w:p>
        </w:tc>
        <w:tc>
          <w:tcPr>
            <w:tcW w:w="21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212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18</w:t>
            </w:r>
          </w:p>
        </w:tc>
        <w:tc>
          <w:tcPr>
            <w:tcW w:w="212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19" w:type="dxa"/>
            <w:vAlign w:val="center"/>
          </w:tcPr>
          <w:p>
            <w:pPr>
              <w:spacing w:line="280" w:lineRule="exact"/>
              <w:jc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bidi="ar"/>
              </w:rPr>
              <w:t>项目过程</w:t>
            </w:r>
          </w:p>
        </w:tc>
        <w:tc>
          <w:tcPr>
            <w:tcW w:w="21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25</w:t>
            </w:r>
          </w:p>
        </w:tc>
        <w:tc>
          <w:tcPr>
            <w:tcW w:w="212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bidi="ar"/>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eastAsia" w:ascii="Times New Roman" w:hAnsi="Times New Roman" w:cs="Times New Roman"/>
                <w:i w:val="0"/>
                <w:iCs w:val="0"/>
                <w:color w:val="auto"/>
                <w:kern w:val="0"/>
                <w:sz w:val="21"/>
                <w:szCs w:val="21"/>
                <w:highlight w:val="none"/>
                <w:u w:val="none"/>
                <w:lang w:val="en-US" w:eastAsia="zh-CN" w:bidi="ar"/>
              </w:rPr>
              <w:t>4</w:t>
            </w:r>
          </w:p>
        </w:tc>
        <w:tc>
          <w:tcPr>
            <w:tcW w:w="212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bidi="ar"/>
              </w:rPr>
            </w:pPr>
            <w:r>
              <w:rPr>
                <w:rFonts w:hint="eastAsia" w:ascii="Times New Roman" w:hAnsi="Times New Roman" w:cs="Times New Roman"/>
                <w:i w:val="0"/>
                <w:iCs w:val="0"/>
                <w:color w:val="auto"/>
                <w:kern w:val="0"/>
                <w:sz w:val="21"/>
                <w:szCs w:val="21"/>
                <w:highlight w:val="none"/>
                <w:u w:val="none"/>
                <w:lang w:val="en-US" w:eastAsia="zh-CN" w:bidi="ar"/>
              </w:rPr>
              <w:t>96</w:t>
            </w:r>
            <w:r>
              <w:rPr>
                <w:rFonts w:hint="default" w:ascii="Times New Roman" w:hAnsi="Times New Roman" w:eastAsia="宋体" w:cs="Times New Roman"/>
                <w:i w:val="0"/>
                <w:iCs w:val="0"/>
                <w:color w:val="auto"/>
                <w:kern w:val="0"/>
                <w:sz w:val="21"/>
                <w:szCs w:val="21"/>
                <w:highlight w:val="none"/>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19" w:type="dxa"/>
            <w:vAlign w:val="center"/>
          </w:tcPr>
          <w:p>
            <w:pPr>
              <w:spacing w:line="280" w:lineRule="exact"/>
              <w:jc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bidi="ar"/>
              </w:rPr>
              <w:t>项目产出</w:t>
            </w:r>
          </w:p>
        </w:tc>
        <w:tc>
          <w:tcPr>
            <w:tcW w:w="21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30</w:t>
            </w:r>
          </w:p>
        </w:tc>
        <w:tc>
          <w:tcPr>
            <w:tcW w:w="212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bidi="ar"/>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eastAsia" w:ascii="Times New Roman" w:hAnsi="Times New Roman" w:cs="Times New Roman"/>
                <w:i w:val="0"/>
                <w:iCs w:val="0"/>
                <w:color w:val="auto"/>
                <w:kern w:val="0"/>
                <w:sz w:val="21"/>
                <w:szCs w:val="21"/>
                <w:highlight w:val="none"/>
                <w:u w:val="none"/>
                <w:lang w:val="en-US" w:eastAsia="zh-CN" w:bidi="ar"/>
              </w:rPr>
              <w:t>9</w:t>
            </w:r>
          </w:p>
        </w:tc>
        <w:tc>
          <w:tcPr>
            <w:tcW w:w="212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bidi="ar"/>
              </w:rPr>
            </w:pPr>
            <w:r>
              <w:rPr>
                <w:rFonts w:hint="eastAsia" w:ascii="Times New Roman" w:hAnsi="Times New Roman" w:cs="Times New Roman"/>
                <w:i w:val="0"/>
                <w:iCs w:val="0"/>
                <w:color w:val="auto"/>
                <w:kern w:val="0"/>
                <w:sz w:val="21"/>
                <w:szCs w:val="21"/>
                <w:highlight w:val="none"/>
                <w:u w:val="none"/>
                <w:lang w:val="en-US" w:eastAsia="zh-CN" w:bidi="ar"/>
              </w:rPr>
              <w:t>96</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Times New Roman" w:hAnsi="Times New Roman" w:cs="Times New Roman"/>
                <w:i w:val="0"/>
                <w:iCs w:val="0"/>
                <w:color w:val="auto"/>
                <w:kern w:val="0"/>
                <w:sz w:val="21"/>
                <w:szCs w:val="21"/>
                <w:highlight w:val="none"/>
                <w:u w:val="none"/>
                <w:lang w:val="en-US" w:eastAsia="zh-CN" w:bidi="ar"/>
              </w:rPr>
              <w:t>67</w:t>
            </w: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19" w:type="dxa"/>
            <w:vAlign w:val="center"/>
          </w:tcPr>
          <w:p>
            <w:pPr>
              <w:spacing w:line="280" w:lineRule="exact"/>
              <w:jc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bidi="ar"/>
              </w:rPr>
              <w:t>项目效益</w:t>
            </w:r>
          </w:p>
        </w:tc>
        <w:tc>
          <w:tcPr>
            <w:tcW w:w="21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25</w:t>
            </w:r>
          </w:p>
        </w:tc>
        <w:tc>
          <w:tcPr>
            <w:tcW w:w="212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eastAsia" w:ascii="Times New Roman" w:hAnsi="Times New Roman" w:cs="Times New Roman"/>
                <w:color w:val="auto"/>
                <w:sz w:val="21"/>
                <w:szCs w:val="21"/>
                <w:highlight w:val="none"/>
                <w:lang w:val="en-US" w:eastAsia="zh-CN" w:bidi="ar"/>
              </w:rPr>
              <w:t>19</w:t>
            </w:r>
          </w:p>
        </w:tc>
        <w:tc>
          <w:tcPr>
            <w:tcW w:w="212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bidi="ar"/>
              </w:rPr>
            </w:pPr>
            <w:r>
              <w:rPr>
                <w:rFonts w:hint="eastAsia" w:ascii="Times New Roman" w:hAnsi="Times New Roman" w:cs="Times New Roman"/>
                <w:i w:val="0"/>
                <w:iCs w:val="0"/>
                <w:color w:val="auto"/>
                <w:kern w:val="0"/>
                <w:sz w:val="21"/>
                <w:szCs w:val="21"/>
                <w:highlight w:val="none"/>
                <w:u w:val="none"/>
                <w:lang w:val="en-US" w:eastAsia="zh-CN" w:bidi="ar"/>
              </w:rPr>
              <w:t>76</w:t>
            </w:r>
            <w:r>
              <w:rPr>
                <w:rFonts w:hint="default" w:ascii="Times New Roman" w:hAnsi="Times New Roman" w:eastAsia="宋体" w:cs="Times New Roman"/>
                <w:i w:val="0"/>
                <w:iCs w:val="0"/>
                <w:color w:val="auto"/>
                <w:kern w:val="0"/>
                <w:sz w:val="21"/>
                <w:szCs w:val="21"/>
                <w:highlight w:val="none"/>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119" w:type="dxa"/>
            <w:vAlign w:val="center"/>
          </w:tcPr>
          <w:p>
            <w:pPr>
              <w:spacing w:line="280" w:lineRule="exact"/>
              <w:jc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bidi="ar"/>
              </w:rPr>
              <w:t>合计</w:t>
            </w:r>
          </w:p>
        </w:tc>
        <w:tc>
          <w:tcPr>
            <w:tcW w:w="21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100</w:t>
            </w:r>
          </w:p>
        </w:tc>
        <w:tc>
          <w:tcPr>
            <w:tcW w:w="212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eastAsia" w:ascii="Times New Roman" w:hAnsi="Times New Roman" w:cs="Times New Roman"/>
                <w:color w:val="auto"/>
                <w:sz w:val="21"/>
                <w:szCs w:val="21"/>
                <w:highlight w:val="none"/>
                <w:lang w:val="en-US" w:eastAsia="zh-CN" w:bidi="ar"/>
              </w:rPr>
              <w:t>90</w:t>
            </w:r>
          </w:p>
        </w:tc>
        <w:tc>
          <w:tcPr>
            <w:tcW w:w="212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bidi="ar"/>
              </w:rPr>
            </w:pPr>
            <w:r>
              <w:rPr>
                <w:rFonts w:hint="eastAsia" w:ascii="Times New Roman" w:hAnsi="Times New Roman" w:cs="Times New Roman"/>
                <w:i w:val="0"/>
                <w:iCs w:val="0"/>
                <w:color w:val="auto"/>
                <w:kern w:val="0"/>
                <w:sz w:val="21"/>
                <w:szCs w:val="21"/>
                <w:highlight w:val="none"/>
                <w:u w:val="none"/>
                <w:lang w:val="en-US" w:eastAsia="zh-CN" w:bidi="ar"/>
              </w:rPr>
              <w:t>90</w:t>
            </w:r>
            <w:r>
              <w:rPr>
                <w:rFonts w:hint="default" w:ascii="Times New Roman" w:hAnsi="Times New Roman" w:eastAsia="宋体" w:cs="Times New Roman"/>
                <w:i w:val="0"/>
                <w:iCs w:val="0"/>
                <w:color w:val="auto"/>
                <w:kern w:val="0"/>
                <w:sz w:val="21"/>
                <w:szCs w:val="21"/>
                <w:highlight w:val="none"/>
                <w:u w:val="none"/>
                <w:lang w:val="en-US" w:eastAsia="zh-CN" w:bidi="ar"/>
              </w:rPr>
              <w:t>.00%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该项目在项目决策方面，立项依据充分、规范，绩效目标</w:t>
      </w:r>
      <w:r>
        <w:rPr>
          <w:rFonts w:hint="eastAsia" w:ascii="仿宋_GB2312" w:hAnsi="仿宋_GB2312" w:eastAsia="仿宋_GB2312" w:cs="仿宋_GB2312"/>
          <w:color w:val="auto"/>
          <w:sz w:val="32"/>
          <w:szCs w:val="32"/>
          <w:highlight w:val="none"/>
          <w:lang w:val="en-US" w:eastAsia="zh-CN"/>
        </w:rPr>
        <w:t>设置不清晰，不具备可衡量性</w:t>
      </w:r>
      <w:r>
        <w:rPr>
          <w:rFonts w:hint="eastAsia" w:ascii="仿宋_GB2312" w:hAnsi="仿宋_GB2312" w:eastAsia="仿宋_GB2312" w:cs="仿宋_GB2312"/>
          <w:color w:val="auto"/>
          <w:sz w:val="32"/>
          <w:szCs w:val="32"/>
          <w:highlight w:val="none"/>
        </w:rPr>
        <w:t>，资金投入预算编制科学、资金分配合理；在项目过程方面，资金管理</w:t>
      </w:r>
      <w:r>
        <w:rPr>
          <w:rFonts w:hint="eastAsia" w:ascii="仿宋_GB2312" w:hAnsi="仿宋_GB2312" w:eastAsia="仿宋_GB2312" w:cs="仿宋_GB2312"/>
          <w:color w:val="auto"/>
          <w:sz w:val="32"/>
          <w:szCs w:val="32"/>
          <w:highlight w:val="none"/>
          <w:lang w:val="en-US" w:eastAsia="zh-CN"/>
        </w:rPr>
        <w:t>规范</w:t>
      </w:r>
      <w:r>
        <w:rPr>
          <w:rFonts w:hint="eastAsia" w:ascii="仿宋_GB2312" w:hAnsi="仿宋_GB2312" w:eastAsia="仿宋_GB2312" w:cs="仿宋_GB2312"/>
          <w:color w:val="auto"/>
          <w:sz w:val="32"/>
          <w:szCs w:val="32"/>
          <w:highlight w:val="none"/>
        </w:rPr>
        <w:t>，预算执行与计划相符，组织机构健全，资金使用合规；在项目产出方面，产出效果</w:t>
      </w:r>
      <w:r>
        <w:rPr>
          <w:rFonts w:hint="eastAsia" w:ascii="仿宋_GB2312" w:hAnsi="仿宋_GB2312" w:eastAsia="仿宋_GB2312" w:cs="仿宋_GB2312"/>
          <w:color w:val="auto"/>
          <w:sz w:val="32"/>
          <w:szCs w:val="32"/>
          <w:highlight w:val="none"/>
          <w:lang w:val="en-US" w:eastAsia="zh-CN"/>
        </w:rPr>
        <w:t>达到标准</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但缺少相关治理成效的支撑资料</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1"/>
          <w:numId w:val="0"/>
        </w:numPr>
        <w:tabs>
          <w:tab w:val="left" w:pos="0"/>
        </w:tabs>
        <w:kinsoku/>
        <w:wordWrap/>
        <w:overflowPunct/>
        <w:topLinePunct w:val="0"/>
        <w:bidi w:val="0"/>
        <w:adjustRightInd/>
        <w:snapToGrid/>
        <w:spacing w:line="600" w:lineRule="exact"/>
        <w:ind w:firstLine="640" w:firstLineChars="200"/>
        <w:textAlignment w:val="auto"/>
        <w:outlineLvl w:val="1"/>
        <w:rPr>
          <w:rFonts w:hint="eastAsia" w:ascii="仿宋_GB2312" w:hAnsi="仿宋_GB2312" w:eastAsia="仿宋_GB2312" w:cs="仿宋_GB2312"/>
          <w:color w:val="auto"/>
          <w:kern w:val="2"/>
          <w:sz w:val="32"/>
          <w:szCs w:val="32"/>
          <w:highlight w:val="none"/>
          <w:lang w:val="en-US" w:eastAsia="zh-CN" w:bidi="ar-SA"/>
        </w:rPr>
      </w:pPr>
      <w:bookmarkStart w:id="14" w:name="_Toc1575"/>
      <w:r>
        <w:rPr>
          <w:rFonts w:hint="eastAsia" w:ascii="仿宋_GB2312" w:hAnsi="仿宋_GB2312" w:eastAsia="仿宋_GB2312" w:cs="仿宋_GB2312"/>
          <w:color w:val="auto"/>
          <w:kern w:val="2"/>
          <w:sz w:val="32"/>
          <w:szCs w:val="32"/>
          <w:highlight w:val="none"/>
          <w:lang w:val="en-US" w:eastAsia="zh-CN" w:bidi="ar-SA"/>
        </w:rPr>
        <w:t>（二）项目所实现的主要绩效</w:t>
      </w:r>
      <w:bookmarkEnd w:id="1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区运管局共</w:t>
      </w:r>
      <w:r>
        <w:rPr>
          <w:rFonts w:hint="eastAsia" w:ascii="仿宋_GB2312" w:hAnsi="仿宋_GB2312" w:eastAsia="仿宋_GB2312" w:cs="仿宋_GB2312"/>
          <w:color w:val="auto"/>
          <w:sz w:val="32"/>
          <w:szCs w:val="32"/>
          <w:highlight w:val="none"/>
          <w:lang w:val="en-US" w:eastAsia="zh-CN"/>
        </w:rPr>
        <w:t>开展检查次数大于450</w:t>
      </w:r>
      <w:r>
        <w:rPr>
          <w:rFonts w:hint="eastAsia" w:ascii="仿宋_GB2312" w:hAnsi="仿宋_GB2312" w:eastAsia="仿宋_GB2312" w:cs="仿宋_GB2312"/>
          <w:color w:val="auto"/>
          <w:sz w:val="32"/>
          <w:szCs w:val="32"/>
          <w:highlight w:val="none"/>
        </w:rPr>
        <w:t>次，</w:t>
      </w:r>
      <w:r>
        <w:rPr>
          <w:rFonts w:hint="eastAsia" w:ascii="仿宋_GB2312" w:hAnsi="仿宋_GB2312" w:eastAsia="仿宋_GB2312" w:cs="仿宋_GB2312"/>
          <w:color w:val="auto"/>
          <w:sz w:val="32"/>
          <w:szCs w:val="32"/>
          <w:highlight w:val="none"/>
          <w:lang w:val="en-US" w:eastAsia="zh-CN"/>
        </w:rPr>
        <w:t>运营服务评审合格率100%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工作开展时间12个月</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执法设备及使用停车场费用99.55万元</w:t>
      </w:r>
      <w:r>
        <w:rPr>
          <w:rFonts w:hint="eastAsia" w:ascii="仿宋_GB2312" w:hAnsi="仿宋_GB2312" w:eastAsia="仿宋_GB2312" w:cs="仿宋_GB2312"/>
          <w:color w:val="auto"/>
          <w:sz w:val="32"/>
          <w:szCs w:val="32"/>
          <w:highlight w:val="none"/>
        </w:rPr>
        <w:t>。为执法工作提供了保障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保证了</w:t>
      </w:r>
      <w:r>
        <w:rPr>
          <w:rFonts w:hint="eastAsia" w:ascii="仿宋_GB2312" w:hAnsi="仿宋_GB2312" w:eastAsia="仿宋_GB2312" w:cs="仿宋_GB2312"/>
          <w:color w:val="auto"/>
          <w:sz w:val="32"/>
          <w:szCs w:val="32"/>
          <w:highlight w:val="none"/>
          <w:lang w:val="en-US" w:eastAsia="zh-CN"/>
        </w:rPr>
        <w:t>治超工作</w:t>
      </w:r>
      <w:r>
        <w:rPr>
          <w:rFonts w:hint="eastAsia" w:ascii="仿宋_GB2312" w:hAnsi="仿宋_GB2312" w:eastAsia="仿宋_GB2312" w:cs="仿宋_GB2312"/>
          <w:color w:val="auto"/>
          <w:sz w:val="32"/>
          <w:szCs w:val="32"/>
          <w:highlight w:val="none"/>
        </w:rPr>
        <w:t>的正常运行。</w:t>
      </w:r>
    </w:p>
    <w:p>
      <w:pPr>
        <w:pStyle w:val="3"/>
        <w:pageBreakBefore w:val="0"/>
        <w:widowControl w:val="0"/>
        <w:numPr>
          <w:ilvl w:val="0"/>
          <w:numId w:val="2"/>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color w:val="auto"/>
          <w:sz w:val="32"/>
          <w:szCs w:val="32"/>
          <w:highlight w:val="none"/>
        </w:rPr>
      </w:pPr>
      <w:bookmarkStart w:id="15" w:name="_Toc583"/>
      <w:r>
        <w:rPr>
          <w:rFonts w:hint="eastAsia" w:ascii="黑体" w:hAnsi="黑体" w:eastAsia="黑体" w:cs="黑体"/>
          <w:b w:val="0"/>
          <w:bCs/>
          <w:color w:val="auto"/>
          <w:sz w:val="32"/>
          <w:szCs w:val="32"/>
          <w:highlight w:val="none"/>
        </w:rPr>
        <w:t>绩效评价指标分析</w:t>
      </w:r>
      <w:bookmarkEnd w:id="15"/>
    </w:p>
    <w:p>
      <w:pPr>
        <w:keepNext w:val="0"/>
        <w:keepLines w:val="0"/>
        <w:pageBreakBefore w:val="0"/>
        <w:widowControl w:val="0"/>
        <w:numPr>
          <w:ilvl w:val="1"/>
          <w:numId w:val="0"/>
        </w:numPr>
        <w:tabs>
          <w:tab w:val="left" w:pos="0"/>
        </w:tabs>
        <w:kinsoku/>
        <w:wordWrap/>
        <w:overflowPunct/>
        <w:topLinePunct w:val="0"/>
        <w:bidi w:val="0"/>
        <w:adjustRightInd/>
        <w:snapToGrid/>
        <w:spacing w:line="600" w:lineRule="exact"/>
        <w:ind w:firstLine="640" w:firstLineChars="200"/>
        <w:textAlignment w:val="auto"/>
        <w:outlineLvl w:val="1"/>
        <w:rPr>
          <w:rFonts w:hint="eastAsia" w:ascii="仿宋_GB2312" w:hAnsi="仿宋_GB2312" w:eastAsia="仿宋_GB2312" w:cs="仿宋_GB2312"/>
          <w:color w:val="auto"/>
          <w:kern w:val="2"/>
          <w:sz w:val="32"/>
          <w:szCs w:val="32"/>
          <w:highlight w:val="none"/>
          <w:lang w:val="en-US" w:eastAsia="zh-CN" w:bidi="ar-SA"/>
        </w:rPr>
      </w:pPr>
      <w:bookmarkStart w:id="16" w:name="_Toc30236"/>
      <w:r>
        <w:rPr>
          <w:rFonts w:hint="eastAsia" w:ascii="仿宋_GB2312" w:hAnsi="仿宋_GB2312" w:eastAsia="仿宋_GB2312" w:cs="仿宋_GB2312"/>
          <w:color w:val="auto"/>
          <w:kern w:val="2"/>
          <w:sz w:val="32"/>
          <w:szCs w:val="32"/>
          <w:highlight w:val="none"/>
          <w:lang w:val="en-US" w:eastAsia="zh-CN" w:bidi="ar-SA"/>
        </w:rPr>
        <w:t>（一）项目决策情况</w:t>
      </w:r>
      <w:bookmarkEnd w:id="1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项目决策下设项目立项、绩效目标、资金投入三大类二级指标，设计总分20分；经评价该项总计得分</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分，具体评价过程和理由分述如下：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项目立项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（1）立项依据充分性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根据《交通运输部公安部关于治理车辆超限超载联合执法常态化制度化工作的实施意见（试行）》（交公路发〔2017〕173号）和《超限运输车辆行驶公路管理规定》（交通运输部令2016年第62号）</w:t>
      </w:r>
      <w:r>
        <w:rPr>
          <w:rFonts w:hint="eastAsia" w:ascii="仿宋_GB2312" w:hAnsi="仿宋_GB2312" w:eastAsia="仿宋_GB2312" w:cs="仿宋_GB2312"/>
          <w:color w:val="auto"/>
          <w:sz w:val="32"/>
          <w:szCs w:val="32"/>
          <w:highlight w:val="none"/>
        </w:rPr>
        <w:t>相关要求，提出</w:t>
      </w:r>
      <w:r>
        <w:rPr>
          <w:rFonts w:hint="eastAsia" w:ascii="仿宋_GB2312" w:hAnsi="仿宋_GB2312" w:eastAsia="仿宋_GB2312" w:cs="仿宋_GB2312"/>
          <w:color w:val="auto"/>
          <w:sz w:val="32"/>
          <w:szCs w:val="32"/>
          <w:highlight w:val="none"/>
          <w:lang w:eastAsia="zh-CN"/>
        </w:rPr>
        <w:t>北辰区治超卸载点土地租赁及运营服务项目</w:t>
      </w:r>
      <w:r>
        <w:rPr>
          <w:rFonts w:hint="eastAsia" w:ascii="仿宋_GB2312" w:hAnsi="仿宋_GB2312" w:eastAsia="仿宋_GB2312" w:cs="仿宋_GB2312"/>
          <w:color w:val="auto"/>
          <w:sz w:val="32"/>
          <w:szCs w:val="32"/>
          <w:highlight w:val="none"/>
        </w:rPr>
        <w:t>。立项依据明确，符合天津市及上级主管部门的文件要求。计4分。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（2）立项程序规范性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区运管局根据天津市治理车辆超限超载工作领导小组办公室下达的《关于路面治超流动稽查工作的指导意见》的通知（津治超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2018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4号）</w:t>
      </w:r>
      <w:r>
        <w:rPr>
          <w:rFonts w:hint="eastAsia" w:ascii="仿宋_GB2312" w:hAnsi="仿宋_GB2312" w:eastAsia="仿宋_GB2312" w:cs="仿宋_GB2312"/>
          <w:color w:val="auto"/>
          <w:sz w:val="32"/>
          <w:szCs w:val="32"/>
          <w:highlight w:val="none"/>
        </w:rPr>
        <w:t>开展</w:t>
      </w:r>
      <w:r>
        <w:rPr>
          <w:rFonts w:hint="eastAsia" w:ascii="仿宋_GB2312" w:hAnsi="仿宋_GB2312" w:eastAsia="仿宋_GB2312" w:cs="仿宋_GB2312"/>
          <w:color w:val="auto"/>
          <w:sz w:val="32"/>
          <w:szCs w:val="32"/>
          <w:highlight w:val="none"/>
          <w:lang w:eastAsia="zh-CN"/>
        </w:rPr>
        <w:t>北辰区治超卸载点土地租赁及运营服务项目</w:t>
      </w:r>
      <w:r>
        <w:rPr>
          <w:rFonts w:hint="eastAsia" w:ascii="仿宋_GB2312" w:hAnsi="仿宋_GB2312" w:eastAsia="仿宋_GB2312" w:cs="仿宋_GB2312"/>
          <w:color w:val="auto"/>
          <w:sz w:val="32"/>
          <w:szCs w:val="32"/>
          <w:highlight w:val="none"/>
        </w:rPr>
        <w:t>，立项程序规范。计4分。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项目绩效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（1）绩效目标合理性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该项目设置了绩效目标表，绩效目标合理性</w:t>
      </w:r>
      <w:r>
        <w:rPr>
          <w:rFonts w:hint="eastAsia" w:ascii="仿宋_GB2312" w:hAnsi="仿宋_GB2312" w:eastAsia="仿宋_GB2312" w:cs="仿宋_GB2312"/>
          <w:color w:val="auto"/>
          <w:sz w:val="32"/>
          <w:szCs w:val="32"/>
          <w:highlight w:val="none"/>
          <w:lang w:val="en-US" w:eastAsia="zh-CN"/>
        </w:rPr>
        <w:t>充足</w:t>
      </w:r>
      <w:r>
        <w:rPr>
          <w:rFonts w:hint="eastAsia" w:ascii="仿宋_GB2312" w:hAnsi="仿宋_GB2312" w:eastAsia="仿宋_GB2312" w:cs="仿宋_GB2312"/>
          <w:color w:val="auto"/>
          <w:sz w:val="32"/>
          <w:szCs w:val="32"/>
          <w:highlight w:val="none"/>
        </w:rPr>
        <w:t>。绩效目标表中体现年度实际工作内容，</w:t>
      </w:r>
      <w:r>
        <w:rPr>
          <w:rFonts w:hint="eastAsia" w:ascii="仿宋_GB2312" w:hAnsi="仿宋_GB2312" w:eastAsia="仿宋_GB2312" w:cs="仿宋_GB2312"/>
          <w:color w:val="auto"/>
          <w:sz w:val="32"/>
          <w:szCs w:val="32"/>
          <w:highlight w:val="none"/>
          <w:lang w:val="en-US" w:eastAsia="zh-CN"/>
        </w:rPr>
        <w:t>可</w:t>
      </w:r>
      <w:r>
        <w:rPr>
          <w:rFonts w:hint="eastAsia" w:ascii="仿宋_GB2312" w:hAnsi="仿宋_GB2312" w:eastAsia="仿宋_GB2312" w:cs="仿宋_GB2312"/>
          <w:color w:val="auto"/>
          <w:sz w:val="32"/>
          <w:szCs w:val="32"/>
          <w:highlight w:val="none"/>
        </w:rPr>
        <w:t>判断预算产出效益效果情况。计</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（2）绩效目标明确性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未设置</w:t>
      </w:r>
      <w:r>
        <w:rPr>
          <w:rFonts w:hint="eastAsia" w:ascii="仿宋_GB2312" w:hAnsi="仿宋_GB2312" w:eastAsia="仿宋_GB2312" w:cs="仿宋_GB2312"/>
          <w:color w:val="auto"/>
          <w:sz w:val="32"/>
          <w:szCs w:val="32"/>
          <w:highlight w:val="none"/>
          <w:lang w:val="en-US" w:eastAsia="zh-CN"/>
        </w:rPr>
        <w:t>总体绩效目标、社会效益、可持续影响指标</w:t>
      </w:r>
      <w:r>
        <w:rPr>
          <w:rFonts w:hint="eastAsia" w:ascii="仿宋_GB2312" w:hAnsi="仿宋_GB2312" w:eastAsia="仿宋_GB2312" w:cs="仿宋_GB2312"/>
          <w:color w:val="auto"/>
          <w:sz w:val="32"/>
          <w:szCs w:val="32"/>
          <w:highlight w:val="none"/>
        </w:rPr>
        <w:t>，未明确</w:t>
      </w:r>
      <w:r>
        <w:rPr>
          <w:rFonts w:hint="eastAsia" w:ascii="仿宋_GB2312" w:hAnsi="仿宋_GB2312" w:eastAsia="仿宋_GB2312" w:cs="仿宋_GB2312"/>
          <w:color w:val="auto"/>
          <w:sz w:val="32"/>
          <w:szCs w:val="32"/>
          <w:highlight w:val="none"/>
          <w:lang w:val="en-US" w:eastAsia="zh-CN"/>
        </w:rPr>
        <w:t>北辰区</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年度治超卸载点土地租赁及运营服务内容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绩效目标设置不清晰，</w:t>
      </w:r>
      <w:r>
        <w:rPr>
          <w:rFonts w:hint="eastAsia" w:ascii="仿宋_GB2312" w:hAnsi="仿宋_GB2312" w:eastAsia="仿宋_GB2312" w:cs="仿宋_GB2312"/>
          <w:color w:val="auto"/>
          <w:sz w:val="32"/>
          <w:szCs w:val="32"/>
          <w:highlight w:val="none"/>
          <w:lang w:val="en-US" w:eastAsia="zh-CN"/>
        </w:rPr>
        <w:t>如质量指标未明确运营服务的具体内容，</w:t>
      </w:r>
      <w:r>
        <w:rPr>
          <w:rFonts w:hint="eastAsia" w:ascii="仿宋_GB2312" w:hAnsi="仿宋_GB2312" w:eastAsia="仿宋_GB2312" w:cs="仿宋_GB2312"/>
          <w:color w:val="auto"/>
          <w:sz w:val="32"/>
          <w:szCs w:val="32"/>
          <w:highlight w:val="none"/>
        </w:rPr>
        <w:t>不具备可衡量性。扣</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分，计</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资金投入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（1）预算编制科学性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该项目预算金额</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.00万元，</w:t>
      </w:r>
      <w:r>
        <w:rPr>
          <w:rFonts w:hint="eastAsia" w:ascii="仿宋_GB2312" w:hAnsi="仿宋_GB2312" w:eastAsia="仿宋_GB2312" w:cs="仿宋_GB2312"/>
          <w:color w:val="auto"/>
          <w:sz w:val="32"/>
          <w:szCs w:val="32"/>
          <w:highlight w:val="none"/>
          <w:lang w:val="en-US" w:eastAsia="zh-CN"/>
        </w:rPr>
        <w:t>其中</w:t>
      </w:r>
      <w:r>
        <w:rPr>
          <w:rFonts w:hint="eastAsia" w:ascii="仿宋_GB2312" w:hAnsi="仿宋_GB2312" w:eastAsia="仿宋_GB2312" w:cs="仿宋_GB2312"/>
          <w:color w:val="auto"/>
          <w:sz w:val="32"/>
          <w:szCs w:val="32"/>
          <w:highlight w:val="none"/>
        </w:rPr>
        <w:t>2021年度治超卸载点土地租赁及运营服务</w:t>
      </w:r>
      <w:r>
        <w:rPr>
          <w:rFonts w:hint="eastAsia" w:ascii="仿宋_GB2312" w:hAnsi="仿宋_GB2312" w:eastAsia="仿宋_GB2312" w:cs="仿宋_GB2312"/>
          <w:color w:val="auto"/>
          <w:sz w:val="32"/>
          <w:szCs w:val="32"/>
          <w:highlight w:val="none"/>
          <w:lang w:val="en-US" w:eastAsia="zh-CN"/>
        </w:rPr>
        <w:t>99.55万元，经区运管局部门预算申报，取得北辰区财政局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关于下达2021年部门预算批复的通知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但未明确</w:t>
      </w:r>
      <w:r>
        <w:rPr>
          <w:rFonts w:hint="eastAsia" w:ascii="仿宋_GB2312" w:hAnsi="仿宋_GB2312" w:eastAsia="仿宋_GB2312" w:cs="仿宋_GB2312"/>
          <w:color w:val="auto"/>
          <w:sz w:val="32"/>
          <w:szCs w:val="32"/>
          <w:highlight w:val="none"/>
        </w:rPr>
        <w:t>每项费用</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构成。</w:t>
      </w:r>
      <w:r>
        <w:rPr>
          <w:rFonts w:hint="eastAsia" w:ascii="仿宋_GB2312" w:hAnsi="仿宋_GB2312" w:eastAsia="仿宋_GB2312" w:cs="仿宋_GB2312"/>
          <w:color w:val="auto"/>
          <w:sz w:val="32"/>
          <w:szCs w:val="32"/>
          <w:highlight w:val="none"/>
          <w:lang w:val="en-US" w:eastAsia="zh-CN"/>
        </w:rPr>
        <w:t>扣1分，</w:t>
      </w:r>
      <w:r>
        <w:rPr>
          <w:rFonts w:hint="eastAsia" w:ascii="仿宋_GB2312" w:hAnsi="仿宋_GB2312" w:eastAsia="仿宋_GB2312" w:cs="仿宋_GB2312"/>
          <w:color w:val="auto"/>
          <w:sz w:val="32"/>
          <w:szCs w:val="32"/>
          <w:highlight w:val="none"/>
        </w:rPr>
        <w:t>计</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（2）资金分配合理性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在项目执行过程中，</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lang w:val="en-US" w:eastAsia="zh-CN"/>
        </w:rPr>
        <w:t>运管局</w:t>
      </w:r>
      <w:r>
        <w:rPr>
          <w:rFonts w:hint="eastAsia" w:ascii="仿宋_GB2312" w:hAnsi="仿宋_GB2312" w:eastAsia="仿宋_GB2312" w:cs="仿宋_GB2312"/>
          <w:color w:val="auto"/>
          <w:sz w:val="32"/>
          <w:szCs w:val="32"/>
          <w:highlight w:val="none"/>
        </w:rPr>
        <w:t>通过</w:t>
      </w:r>
      <w:r>
        <w:rPr>
          <w:rFonts w:hint="eastAsia" w:ascii="仿宋_GB2312" w:hAnsi="仿宋_GB2312" w:eastAsia="仿宋_GB2312" w:cs="仿宋_GB2312"/>
          <w:color w:val="auto"/>
          <w:sz w:val="32"/>
          <w:szCs w:val="32"/>
          <w:highlight w:val="none"/>
          <w:lang w:val="en-US" w:eastAsia="zh-CN"/>
        </w:rPr>
        <w:t>政府采购</w:t>
      </w:r>
      <w:r>
        <w:rPr>
          <w:rFonts w:hint="eastAsia" w:ascii="仿宋_GB2312" w:hAnsi="仿宋_GB2312" w:eastAsia="仿宋_GB2312" w:cs="仿宋_GB2312"/>
          <w:color w:val="auto"/>
          <w:sz w:val="32"/>
          <w:szCs w:val="32"/>
          <w:highlight w:val="none"/>
        </w:rPr>
        <w:t>的方式遴选第三方技术单位提供专业服务保障，合同中标金额</w:t>
      </w:r>
      <w:r>
        <w:rPr>
          <w:rFonts w:hint="eastAsia" w:ascii="仿宋_GB2312" w:hAnsi="仿宋_GB2312" w:eastAsia="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0万元，在执行过程中节约了预算资金。资金预算具备合理性。计3分。</w:t>
      </w:r>
    </w:p>
    <w:p>
      <w:pPr>
        <w:keepNext w:val="0"/>
        <w:keepLines w:val="0"/>
        <w:pageBreakBefore w:val="0"/>
        <w:widowControl w:val="0"/>
        <w:numPr>
          <w:ilvl w:val="1"/>
          <w:numId w:val="0"/>
        </w:numPr>
        <w:tabs>
          <w:tab w:val="left" w:pos="0"/>
        </w:tabs>
        <w:kinsoku/>
        <w:wordWrap/>
        <w:overflowPunct/>
        <w:topLinePunct w:val="0"/>
        <w:bidi w:val="0"/>
        <w:adjustRightInd/>
        <w:snapToGrid/>
        <w:spacing w:line="600" w:lineRule="exact"/>
        <w:ind w:firstLine="640" w:firstLineChars="200"/>
        <w:textAlignment w:val="auto"/>
        <w:outlineLvl w:val="1"/>
        <w:rPr>
          <w:rFonts w:hint="eastAsia" w:ascii="仿宋_GB2312" w:hAnsi="仿宋_GB2312" w:eastAsia="仿宋_GB2312" w:cs="仿宋_GB2312"/>
          <w:color w:val="auto"/>
          <w:kern w:val="2"/>
          <w:sz w:val="32"/>
          <w:szCs w:val="32"/>
          <w:highlight w:val="none"/>
          <w:lang w:val="en-US" w:eastAsia="zh-CN" w:bidi="ar-SA"/>
        </w:rPr>
      </w:pPr>
      <w:bookmarkStart w:id="17" w:name="_Toc23477"/>
      <w:r>
        <w:rPr>
          <w:rFonts w:hint="eastAsia" w:ascii="仿宋_GB2312" w:hAnsi="仿宋_GB2312" w:eastAsia="仿宋_GB2312" w:cs="仿宋_GB2312"/>
          <w:color w:val="auto"/>
          <w:kern w:val="2"/>
          <w:sz w:val="32"/>
          <w:szCs w:val="32"/>
          <w:highlight w:val="none"/>
          <w:lang w:val="en-US" w:eastAsia="zh-CN" w:bidi="ar-SA"/>
        </w:rPr>
        <w:t>（二）项目过程情况</w:t>
      </w:r>
      <w:bookmarkEnd w:id="1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项目过程下设资金管理、组织实施两大类二级指标，设计总分25分；经评价，该项总计得分2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分，具体评价过程和理由分述如下：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资金管理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（1）资金到位率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该项目预算金额为1</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rPr>
        <w:t>.00万元，执行过程中通过</w:t>
      </w:r>
      <w:r>
        <w:rPr>
          <w:rFonts w:hint="eastAsia" w:ascii="仿宋_GB2312" w:hAnsi="仿宋_GB2312" w:eastAsia="仿宋_GB2312" w:cs="仿宋_GB2312"/>
          <w:color w:val="auto"/>
          <w:sz w:val="32"/>
          <w:szCs w:val="32"/>
          <w:highlight w:val="none"/>
          <w:lang w:val="en-US" w:eastAsia="zh-CN"/>
        </w:rPr>
        <w:t>政府采购</w:t>
      </w:r>
      <w:r>
        <w:rPr>
          <w:rFonts w:hint="eastAsia" w:ascii="仿宋_GB2312" w:hAnsi="仿宋_GB2312" w:eastAsia="仿宋_GB2312" w:cs="仿宋_GB2312"/>
          <w:color w:val="auto"/>
          <w:sz w:val="32"/>
          <w:szCs w:val="32"/>
          <w:highlight w:val="none"/>
        </w:rPr>
        <w:t>与天津市北辰区明忆鑫劳务服务中心签订了《</w:t>
      </w:r>
      <w:r>
        <w:rPr>
          <w:rFonts w:hint="eastAsia" w:ascii="仿宋_GB2312" w:hAnsi="仿宋_GB2312" w:eastAsia="仿宋_GB2312" w:cs="仿宋_GB2312"/>
          <w:color w:val="auto"/>
          <w:sz w:val="32"/>
          <w:szCs w:val="32"/>
          <w:highlight w:val="none"/>
          <w:lang w:eastAsia="zh-CN"/>
        </w:rPr>
        <w:t>北辰区治超卸载点土地租赁及运营服务项目</w:t>
      </w:r>
      <w:r>
        <w:rPr>
          <w:rFonts w:hint="eastAsia" w:ascii="仿宋_GB2312" w:hAnsi="仿宋_GB2312" w:eastAsia="仿宋_GB2312" w:cs="仿宋_GB2312"/>
          <w:color w:val="auto"/>
          <w:sz w:val="32"/>
          <w:szCs w:val="32"/>
          <w:highlight w:val="none"/>
        </w:rPr>
        <w:t>服务合同》，合同金额</w:t>
      </w:r>
      <w:r>
        <w:rPr>
          <w:rFonts w:hint="eastAsia" w:ascii="仿宋_GB2312" w:hAnsi="仿宋_GB2312" w:eastAsia="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0万元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涉及北辰区2021年度治超卸载点土地租赁及运营服务项目专项资金金额99.55万元</w:t>
      </w:r>
      <w:r>
        <w:rPr>
          <w:rFonts w:hint="eastAsia" w:ascii="仿宋_GB2312" w:hAnsi="仿宋_GB2312" w:eastAsia="仿宋_GB2312" w:cs="仿宋_GB2312"/>
          <w:color w:val="auto"/>
          <w:sz w:val="32"/>
          <w:szCs w:val="32"/>
          <w:highlight w:val="none"/>
        </w:rPr>
        <w:t>，实际到位金额</w:t>
      </w:r>
      <w:r>
        <w:rPr>
          <w:rFonts w:hint="eastAsia" w:ascii="仿宋_GB2312" w:hAnsi="仿宋_GB2312" w:eastAsia="仿宋_GB2312" w:cs="仿宋_GB2312"/>
          <w:color w:val="auto"/>
          <w:sz w:val="32"/>
          <w:szCs w:val="32"/>
          <w:highlight w:val="none"/>
          <w:lang w:val="en-US" w:eastAsia="zh-CN"/>
        </w:rPr>
        <w:t>99.55</w:t>
      </w:r>
      <w:r>
        <w:rPr>
          <w:rFonts w:hint="eastAsia" w:ascii="仿宋_GB2312" w:hAnsi="仿宋_GB2312" w:eastAsia="仿宋_GB2312" w:cs="仿宋_GB2312"/>
          <w:color w:val="auto"/>
          <w:sz w:val="32"/>
          <w:szCs w:val="32"/>
          <w:highlight w:val="none"/>
        </w:rPr>
        <w:t>万元，资金到位率为</w:t>
      </w:r>
      <w:r>
        <w:rPr>
          <w:rFonts w:hint="eastAsia" w:ascii="仿宋_GB2312" w:hAnsi="仿宋_GB2312" w:eastAsia="仿宋_GB2312" w:cs="仿宋_GB2312"/>
          <w:color w:val="auto"/>
          <w:sz w:val="32"/>
          <w:szCs w:val="32"/>
          <w:highlight w:val="none"/>
          <w:lang w:val="en-US" w:eastAsia="zh-CN"/>
        </w:rPr>
        <w:t>99.55</w:t>
      </w:r>
      <w:r>
        <w:rPr>
          <w:rFonts w:hint="eastAsia" w:ascii="仿宋_GB2312" w:hAnsi="仿宋_GB2312" w:eastAsia="仿宋_GB2312" w:cs="仿宋_GB2312"/>
          <w:color w:val="auto"/>
          <w:sz w:val="32"/>
          <w:szCs w:val="32"/>
          <w:highlight w:val="none"/>
        </w:rPr>
        <w:t>%。计5分。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（2）项目预算执行率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截至202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年12月31日，实际支付金额为</w:t>
      </w:r>
      <w:r>
        <w:rPr>
          <w:rFonts w:hint="eastAsia" w:ascii="仿宋_GB2312" w:hAnsi="仿宋_GB2312" w:eastAsia="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55</w:t>
      </w:r>
      <w:r>
        <w:rPr>
          <w:rFonts w:hint="eastAsia" w:ascii="仿宋_GB2312" w:hAnsi="仿宋_GB2312" w:eastAsia="仿宋_GB2312" w:cs="仿宋_GB2312"/>
          <w:color w:val="auto"/>
          <w:sz w:val="32"/>
          <w:szCs w:val="32"/>
          <w:highlight w:val="none"/>
        </w:rPr>
        <w:t>万元，预算执行率100%。计5分。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（3）资金使用合规性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经检查《</w:t>
      </w:r>
      <w:r>
        <w:rPr>
          <w:rFonts w:hint="eastAsia" w:ascii="仿宋_GB2312" w:hAnsi="仿宋_GB2312" w:eastAsia="仿宋_GB2312" w:cs="仿宋_GB2312"/>
          <w:color w:val="auto"/>
          <w:sz w:val="32"/>
          <w:szCs w:val="32"/>
          <w:highlight w:val="none"/>
          <w:lang w:eastAsia="zh-CN"/>
        </w:rPr>
        <w:t>北辰区治超卸载点土地租赁及运营服务项目</w:t>
      </w:r>
      <w:r>
        <w:rPr>
          <w:rFonts w:hint="eastAsia" w:ascii="仿宋_GB2312" w:hAnsi="仿宋_GB2312" w:eastAsia="仿宋_GB2312" w:cs="仿宋_GB2312"/>
          <w:color w:val="auto"/>
          <w:sz w:val="32"/>
          <w:szCs w:val="32"/>
          <w:highlight w:val="none"/>
        </w:rPr>
        <w:t>服务合同》以及</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lang w:val="en-US" w:eastAsia="zh-CN"/>
        </w:rPr>
        <w:t>运管局</w:t>
      </w:r>
      <w:r>
        <w:rPr>
          <w:rFonts w:hint="eastAsia" w:ascii="仿宋_GB2312" w:hAnsi="仿宋_GB2312" w:eastAsia="仿宋_GB2312" w:cs="仿宋_GB2312"/>
          <w:color w:val="auto"/>
          <w:sz w:val="32"/>
          <w:szCs w:val="32"/>
          <w:highlight w:val="none"/>
        </w:rPr>
        <w:t>财务资料，款项支付均附有发票，发票抬头规范，金额与财务记账金额一致，未发现违规挤占、挪用补助资金的情况，</w:t>
      </w:r>
      <w:r>
        <w:rPr>
          <w:rFonts w:hint="eastAsia" w:ascii="仿宋_GB2312" w:hAnsi="仿宋_GB2312" w:eastAsia="仿宋_GB2312" w:cs="仿宋_GB2312"/>
          <w:color w:val="auto"/>
          <w:sz w:val="32"/>
          <w:szCs w:val="32"/>
          <w:highlight w:val="none"/>
          <w:lang w:val="en-US" w:eastAsia="zh-CN"/>
        </w:rPr>
        <w:t>但合同中规定的工作内容及方式不明确</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扣1分，</w:t>
      </w:r>
      <w:r>
        <w:rPr>
          <w:rFonts w:hint="eastAsia" w:ascii="仿宋_GB2312" w:hAnsi="仿宋_GB2312" w:eastAsia="仿宋_GB2312" w:cs="仿宋_GB2312"/>
          <w:color w:val="auto"/>
          <w:sz w:val="32"/>
          <w:szCs w:val="32"/>
          <w:highlight w:val="none"/>
        </w:rPr>
        <w:t>计</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（1）管理制度的健全性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lang w:val="en-US" w:eastAsia="zh-CN"/>
        </w:rPr>
        <w:t>运管局</w:t>
      </w:r>
      <w:r>
        <w:rPr>
          <w:rFonts w:hint="eastAsia" w:ascii="仿宋_GB2312" w:hAnsi="仿宋_GB2312" w:eastAsia="仿宋_GB2312" w:cs="仿宋_GB2312"/>
          <w:color w:val="auto"/>
          <w:sz w:val="32"/>
          <w:szCs w:val="32"/>
          <w:highlight w:val="none"/>
        </w:rPr>
        <w:t>提供了《天津市北辰区交通运输管理局内部控制管理手册》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关于印发〈</w:t>
      </w:r>
      <w:r>
        <w:rPr>
          <w:rFonts w:hint="eastAsia" w:ascii="仿宋_GB2312" w:hAnsi="仿宋_GB2312" w:eastAsia="仿宋_GB2312" w:cs="仿宋_GB2312"/>
          <w:color w:val="auto"/>
          <w:sz w:val="32"/>
          <w:szCs w:val="32"/>
          <w:highlight w:val="none"/>
        </w:rPr>
        <w:t>北辰区</w:t>
      </w:r>
      <w:r>
        <w:rPr>
          <w:rFonts w:hint="eastAsia" w:ascii="仿宋_GB2312" w:hAnsi="仿宋_GB2312" w:eastAsia="仿宋_GB2312" w:cs="仿宋_GB2312"/>
          <w:color w:val="auto"/>
          <w:sz w:val="32"/>
          <w:szCs w:val="32"/>
          <w:highlight w:val="none"/>
          <w:lang w:val="en-US" w:eastAsia="zh-CN"/>
        </w:rPr>
        <w:t>超限检测站（点）设施养护管理工作细则（试行）〉的通知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关于印发〈</w:t>
      </w:r>
      <w:r>
        <w:rPr>
          <w:rFonts w:hint="eastAsia" w:ascii="仿宋_GB2312" w:hAnsi="仿宋_GB2312" w:eastAsia="仿宋_GB2312" w:cs="仿宋_GB2312"/>
          <w:color w:val="auto"/>
          <w:sz w:val="32"/>
          <w:szCs w:val="32"/>
          <w:highlight w:val="none"/>
        </w:rPr>
        <w:t>北辰区</w:t>
      </w:r>
      <w:r>
        <w:rPr>
          <w:rFonts w:hint="eastAsia" w:ascii="仿宋_GB2312" w:hAnsi="仿宋_GB2312" w:eastAsia="仿宋_GB2312" w:cs="仿宋_GB2312"/>
          <w:color w:val="auto"/>
          <w:sz w:val="32"/>
          <w:szCs w:val="32"/>
          <w:highlight w:val="none"/>
          <w:lang w:val="en-US" w:eastAsia="zh-CN"/>
        </w:rPr>
        <w:t>公路治超临时装卸点管理办法（试行）〉的通知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，明确了治超卸载点土地租赁及运营服务</w:t>
      </w:r>
      <w:r>
        <w:rPr>
          <w:rFonts w:hint="eastAsia" w:ascii="仿宋_GB2312" w:hAnsi="仿宋_GB2312" w:eastAsia="仿宋_GB2312" w:cs="仿宋_GB2312"/>
          <w:color w:val="auto"/>
          <w:sz w:val="32"/>
          <w:szCs w:val="32"/>
          <w:highlight w:val="none"/>
          <w:lang w:val="en-US" w:eastAsia="zh-CN"/>
        </w:rPr>
        <w:t>项目超限检测站设施、临时卸载点设施养护管理工作细则和北辰区公路治超临时卸载点管理办法，管理制度较为健全</w:t>
      </w:r>
      <w:r>
        <w:rPr>
          <w:rFonts w:hint="eastAsia" w:ascii="仿宋_GB2312" w:hAnsi="仿宋_GB2312" w:eastAsia="仿宋_GB2312" w:cs="仿宋_GB2312"/>
          <w:color w:val="auto"/>
          <w:sz w:val="32"/>
          <w:szCs w:val="32"/>
          <w:highlight w:val="none"/>
        </w:rPr>
        <w:t>。计</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（2）制度执行有效性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lang w:val="en-US" w:eastAsia="zh-CN"/>
        </w:rPr>
        <w:t>运管局</w:t>
      </w:r>
      <w:r>
        <w:rPr>
          <w:rFonts w:hint="eastAsia" w:ascii="仿宋_GB2312" w:hAnsi="仿宋_GB2312" w:eastAsia="仿宋_GB2312" w:cs="仿宋_GB2312"/>
          <w:color w:val="auto"/>
          <w:sz w:val="32"/>
          <w:szCs w:val="32"/>
          <w:highlight w:val="none"/>
        </w:rPr>
        <w:t>通过</w:t>
      </w:r>
      <w:r>
        <w:rPr>
          <w:rFonts w:hint="eastAsia" w:ascii="仿宋_GB2312" w:hAnsi="仿宋_GB2312" w:eastAsia="仿宋_GB2312" w:cs="仿宋_GB2312"/>
          <w:color w:val="auto"/>
          <w:sz w:val="32"/>
          <w:szCs w:val="32"/>
          <w:highlight w:val="none"/>
          <w:lang w:val="en-US" w:eastAsia="zh-CN"/>
        </w:rPr>
        <w:t>政府采购</w:t>
      </w:r>
      <w:r>
        <w:rPr>
          <w:rFonts w:hint="eastAsia" w:ascii="仿宋_GB2312" w:hAnsi="仿宋_GB2312" w:eastAsia="仿宋_GB2312" w:cs="仿宋_GB2312"/>
          <w:color w:val="auto"/>
          <w:sz w:val="32"/>
          <w:szCs w:val="32"/>
          <w:highlight w:val="none"/>
        </w:rPr>
        <w:t>购买服务的方式依托第三方技术单位服务保障</w:t>
      </w:r>
      <w:r>
        <w:rPr>
          <w:rFonts w:hint="eastAsia" w:ascii="仿宋_GB2312" w:hAnsi="仿宋_GB2312" w:eastAsia="仿宋_GB2312" w:cs="仿宋_GB2312"/>
          <w:color w:val="auto"/>
          <w:sz w:val="32"/>
          <w:szCs w:val="32"/>
          <w:highlight w:val="none"/>
          <w:lang w:val="en-US" w:eastAsia="zh-CN"/>
        </w:rPr>
        <w:t>治超</w:t>
      </w:r>
      <w:r>
        <w:rPr>
          <w:rFonts w:hint="eastAsia" w:ascii="仿宋_GB2312" w:hAnsi="仿宋_GB2312" w:eastAsia="仿宋_GB2312" w:cs="仿宋_GB2312"/>
          <w:color w:val="auto"/>
          <w:sz w:val="32"/>
          <w:szCs w:val="32"/>
          <w:highlight w:val="none"/>
        </w:rPr>
        <w:t>工作，20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4月和2021年4月，</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lang w:val="en-US" w:eastAsia="zh-CN"/>
        </w:rPr>
        <w:t>运管局</w:t>
      </w:r>
      <w:r>
        <w:rPr>
          <w:rFonts w:hint="eastAsia" w:ascii="仿宋_GB2312" w:hAnsi="仿宋_GB2312" w:eastAsia="仿宋_GB2312" w:cs="仿宋_GB2312"/>
          <w:color w:val="auto"/>
          <w:sz w:val="32"/>
          <w:szCs w:val="32"/>
          <w:highlight w:val="none"/>
        </w:rPr>
        <w:t>与天津市北辰区明忆鑫劳务服务中心签订了《</w:t>
      </w:r>
      <w:r>
        <w:rPr>
          <w:rFonts w:hint="eastAsia" w:ascii="仿宋_GB2312" w:hAnsi="仿宋_GB2312" w:eastAsia="仿宋_GB2312" w:cs="仿宋_GB2312"/>
          <w:color w:val="auto"/>
          <w:sz w:val="32"/>
          <w:szCs w:val="32"/>
          <w:highlight w:val="none"/>
          <w:lang w:eastAsia="zh-CN"/>
        </w:rPr>
        <w:t>北辰区治超卸载点土地租赁及运营服务项目》</w:t>
      </w:r>
      <w:r>
        <w:rPr>
          <w:rFonts w:hint="eastAsia" w:ascii="仿宋_GB2312" w:hAnsi="仿宋_GB2312" w:eastAsia="仿宋_GB2312" w:cs="仿宋_GB2312"/>
          <w:color w:val="auto"/>
          <w:sz w:val="32"/>
          <w:szCs w:val="32"/>
          <w:highlight w:val="none"/>
          <w:lang w:val="en-US" w:eastAsia="zh-CN"/>
        </w:rPr>
        <w:t>服务</w:t>
      </w:r>
      <w:r>
        <w:rPr>
          <w:rFonts w:hint="eastAsia" w:ascii="仿宋_GB2312" w:hAnsi="仿宋_GB2312" w:eastAsia="仿宋_GB2312" w:cs="仿宋_GB2312"/>
          <w:color w:val="auto"/>
          <w:sz w:val="32"/>
          <w:szCs w:val="32"/>
          <w:highlight w:val="none"/>
        </w:rPr>
        <w:t>合同，该项目</w:t>
      </w:r>
      <w:r>
        <w:rPr>
          <w:rFonts w:hint="eastAsia" w:ascii="仿宋_GB2312" w:hAnsi="仿宋_GB2312" w:eastAsia="仿宋_GB2312" w:cs="仿宋_GB2312"/>
          <w:color w:val="auto"/>
          <w:sz w:val="32"/>
          <w:szCs w:val="32"/>
          <w:highlight w:val="none"/>
          <w:lang w:val="en-US" w:eastAsia="zh-CN"/>
        </w:rPr>
        <w:t>政府采购</w:t>
      </w:r>
      <w:r>
        <w:rPr>
          <w:rFonts w:hint="eastAsia" w:ascii="仿宋_GB2312" w:hAnsi="仿宋_GB2312" w:eastAsia="仿宋_GB2312" w:cs="仿宋_GB2312"/>
          <w:color w:val="auto"/>
          <w:sz w:val="32"/>
          <w:szCs w:val="32"/>
          <w:highlight w:val="none"/>
        </w:rPr>
        <w:t>、资金管理、费用支出等事项均按照单位内控要求执行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rPr>
        <w:t>获得该项目在执行过程中详细记录。计</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分。</w:t>
      </w:r>
    </w:p>
    <w:p>
      <w:pPr>
        <w:keepNext w:val="0"/>
        <w:keepLines w:val="0"/>
        <w:pageBreakBefore w:val="0"/>
        <w:widowControl w:val="0"/>
        <w:numPr>
          <w:ilvl w:val="1"/>
          <w:numId w:val="0"/>
        </w:numPr>
        <w:tabs>
          <w:tab w:val="left" w:pos="0"/>
        </w:tabs>
        <w:kinsoku/>
        <w:wordWrap/>
        <w:overflowPunct/>
        <w:topLinePunct w:val="0"/>
        <w:bidi w:val="0"/>
        <w:adjustRightInd/>
        <w:snapToGrid/>
        <w:spacing w:line="600" w:lineRule="exact"/>
        <w:ind w:firstLine="640" w:firstLineChars="200"/>
        <w:textAlignment w:val="auto"/>
        <w:outlineLvl w:val="1"/>
        <w:rPr>
          <w:rFonts w:hint="eastAsia" w:ascii="仿宋_GB2312" w:hAnsi="仿宋_GB2312" w:eastAsia="仿宋_GB2312" w:cs="仿宋_GB2312"/>
          <w:color w:val="auto"/>
          <w:kern w:val="2"/>
          <w:sz w:val="32"/>
          <w:szCs w:val="32"/>
          <w:highlight w:val="none"/>
          <w:lang w:val="en-US" w:eastAsia="zh-CN" w:bidi="ar-SA"/>
        </w:rPr>
      </w:pPr>
      <w:bookmarkStart w:id="18" w:name="_Toc14994"/>
      <w:r>
        <w:rPr>
          <w:rFonts w:hint="eastAsia" w:ascii="仿宋_GB2312" w:hAnsi="仿宋_GB2312" w:eastAsia="仿宋_GB2312" w:cs="仿宋_GB2312"/>
          <w:color w:val="auto"/>
          <w:kern w:val="2"/>
          <w:sz w:val="32"/>
          <w:szCs w:val="32"/>
          <w:highlight w:val="none"/>
          <w:lang w:val="en-US" w:eastAsia="zh-CN" w:bidi="ar-SA"/>
        </w:rPr>
        <w:t>（三）项目产出情况</w:t>
      </w:r>
      <w:bookmarkEnd w:id="1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bookmarkStart w:id="19" w:name="OLE_LINK48"/>
      <w:r>
        <w:rPr>
          <w:rFonts w:hint="eastAsia" w:ascii="仿宋_GB2312" w:hAnsi="仿宋_GB2312" w:eastAsia="仿宋_GB2312" w:cs="仿宋_GB2312"/>
          <w:color w:val="auto"/>
          <w:sz w:val="32"/>
          <w:szCs w:val="32"/>
          <w:highlight w:val="none"/>
        </w:rPr>
        <w:t>项目产出下设产出数量、产出质量、产出时效、产出成本四大类二级指标，设计总分30分；经评价，该项总计得分</w:t>
      </w:r>
      <w:r>
        <w:rPr>
          <w:rFonts w:hint="eastAsia" w:ascii="仿宋_GB2312" w:hAnsi="仿宋_GB2312" w:eastAsia="仿宋_GB2312" w:cs="仿宋_GB2312"/>
          <w:color w:val="auto"/>
          <w:sz w:val="32"/>
          <w:szCs w:val="32"/>
          <w:highlight w:val="none"/>
          <w:lang w:val="en-US" w:eastAsia="zh-CN"/>
        </w:rPr>
        <w:t>29</w:t>
      </w:r>
      <w:r>
        <w:rPr>
          <w:rFonts w:hint="eastAsia" w:ascii="仿宋_GB2312" w:hAnsi="仿宋_GB2312" w:eastAsia="仿宋_GB2312" w:cs="仿宋_GB2312"/>
          <w:color w:val="auto"/>
          <w:sz w:val="32"/>
          <w:szCs w:val="32"/>
          <w:highlight w:val="none"/>
        </w:rPr>
        <w:t>分，具体评价过程和理由分述如下：</w:t>
      </w:r>
      <w:bookmarkEnd w:id="1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产出数量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《治超卸载点土地租赁及运营服务项目支出绩效自评报告》</w:t>
      </w:r>
      <w:r>
        <w:rPr>
          <w:rFonts w:hint="eastAsia" w:ascii="仿宋_GB2312" w:hAnsi="仿宋_GB2312" w:eastAsia="仿宋_GB2312" w:cs="仿宋_GB2312"/>
          <w:color w:val="auto"/>
          <w:sz w:val="32"/>
          <w:szCs w:val="32"/>
          <w:highlight w:val="none"/>
          <w:lang w:val="en-US" w:eastAsia="zh-CN"/>
        </w:rPr>
        <w:t>显示，2021年度共</w:t>
      </w:r>
      <w:r>
        <w:rPr>
          <w:rFonts w:hint="eastAsia" w:ascii="仿宋_GB2312" w:hAnsi="仿宋_GB2312" w:eastAsia="仿宋_GB2312" w:cs="仿宋_GB2312"/>
          <w:color w:val="auto"/>
          <w:sz w:val="32"/>
          <w:szCs w:val="32"/>
          <w:highlight w:val="none"/>
        </w:rPr>
        <w:t>完成</w:t>
      </w:r>
      <w:r>
        <w:rPr>
          <w:rFonts w:hint="eastAsia" w:ascii="仿宋_GB2312" w:hAnsi="仿宋_GB2312" w:eastAsia="仿宋_GB2312" w:cs="仿宋_GB2312"/>
          <w:color w:val="auto"/>
          <w:sz w:val="32"/>
          <w:szCs w:val="32"/>
          <w:highlight w:val="none"/>
          <w:lang w:val="en-US" w:eastAsia="zh-CN"/>
        </w:rPr>
        <w:t>开展检查次数大于450次，</w:t>
      </w:r>
      <w:r>
        <w:rPr>
          <w:rFonts w:hint="eastAsia" w:ascii="仿宋_GB2312" w:hAnsi="仿宋_GB2312" w:eastAsia="仿宋_GB2312" w:cs="仿宋_GB2312"/>
          <w:color w:val="auto"/>
          <w:sz w:val="32"/>
          <w:szCs w:val="32"/>
          <w:highlight w:val="none"/>
        </w:rPr>
        <w:t>完成年初预设目标。计</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产出质量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该项目具体服务由天津市北辰区明忆鑫劳务服务中心提供，根据治超卸载点土地租赁及运营服务项目自评表运营服务评审合格率100%，并结合提供的2021年南麻疸临时装卸点服务满意度评价，但</w:t>
      </w:r>
      <w:r>
        <w:rPr>
          <w:rFonts w:hint="eastAsia" w:ascii="仿宋_GB2312" w:hAnsi="仿宋_GB2312" w:eastAsia="仿宋_GB2312" w:cs="仿宋_GB2312"/>
          <w:color w:val="auto"/>
          <w:sz w:val="32"/>
          <w:szCs w:val="32"/>
          <w:highlight w:val="none"/>
          <w:lang w:val="en-US" w:eastAsia="zh-CN"/>
        </w:rPr>
        <w:t>缺少验收记录，缺少区运管局对服务单位服务事项的考核记录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扣1分，</w:t>
      </w:r>
      <w:r>
        <w:rPr>
          <w:rFonts w:hint="eastAsia" w:ascii="仿宋_GB2312" w:hAnsi="仿宋_GB2312" w:eastAsia="仿宋_GB2312" w:cs="仿宋_GB2312"/>
          <w:color w:val="auto"/>
          <w:sz w:val="32"/>
          <w:szCs w:val="32"/>
          <w:highlight w:val="none"/>
        </w:rPr>
        <w:t>计</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产出时效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lang w:val="en-US" w:eastAsia="zh-CN"/>
        </w:rPr>
        <w:t>运管局分别于2020年4月和2021年4月</w:t>
      </w:r>
      <w:r>
        <w:rPr>
          <w:rFonts w:hint="eastAsia" w:ascii="仿宋_GB2312" w:hAnsi="仿宋_GB2312" w:eastAsia="仿宋_GB2312" w:cs="仿宋_GB2312"/>
          <w:color w:val="auto"/>
          <w:sz w:val="32"/>
          <w:szCs w:val="32"/>
          <w:highlight w:val="none"/>
        </w:rPr>
        <w:t>与天津市北辰区明忆鑫劳务服务中心签订了《</w:t>
      </w:r>
      <w:r>
        <w:rPr>
          <w:rFonts w:hint="eastAsia" w:ascii="仿宋_GB2312" w:hAnsi="仿宋_GB2312" w:eastAsia="仿宋_GB2312" w:cs="仿宋_GB2312"/>
          <w:color w:val="auto"/>
          <w:sz w:val="32"/>
          <w:szCs w:val="32"/>
          <w:highlight w:val="none"/>
          <w:lang w:eastAsia="zh-CN"/>
        </w:rPr>
        <w:t>北辰区治超卸载点土地租赁及运营服务项目</w:t>
      </w:r>
      <w:r>
        <w:rPr>
          <w:rFonts w:hint="eastAsia" w:ascii="仿宋_GB2312" w:hAnsi="仿宋_GB2312" w:eastAsia="仿宋_GB2312" w:cs="仿宋_GB2312"/>
          <w:color w:val="auto"/>
          <w:sz w:val="32"/>
          <w:szCs w:val="32"/>
          <w:highlight w:val="none"/>
        </w:rPr>
        <w:t>服务合同》。天津市北辰区明忆鑫劳务服务中心依据合同服务期限</w:t>
      </w:r>
      <w:r>
        <w:rPr>
          <w:rFonts w:hint="eastAsia" w:ascii="仿宋_GB2312" w:hAnsi="仿宋_GB2312" w:eastAsia="仿宋_GB2312" w:cs="仿宋_GB2312"/>
          <w:color w:val="auto"/>
          <w:sz w:val="32"/>
          <w:szCs w:val="32"/>
          <w:highlight w:val="none"/>
          <w:lang w:val="en-US" w:eastAsia="zh-CN"/>
        </w:rPr>
        <w:t>履行</w:t>
      </w:r>
      <w:r>
        <w:rPr>
          <w:rFonts w:hint="eastAsia" w:ascii="仿宋_GB2312" w:hAnsi="仿宋_GB2312" w:eastAsia="仿宋_GB2312" w:cs="仿宋_GB2312"/>
          <w:color w:val="auto"/>
          <w:sz w:val="32"/>
          <w:szCs w:val="32"/>
          <w:highlight w:val="none"/>
        </w:rPr>
        <w:t>治超卸载点土地租赁及运营服务项目服务</w:t>
      </w:r>
      <w:r>
        <w:rPr>
          <w:rFonts w:hint="eastAsia" w:ascii="仿宋_GB2312" w:hAnsi="仿宋_GB2312" w:eastAsia="仿宋_GB2312" w:cs="仿宋_GB2312"/>
          <w:color w:val="auto"/>
          <w:sz w:val="32"/>
          <w:szCs w:val="32"/>
          <w:highlight w:val="none"/>
          <w:lang w:val="en-US" w:eastAsia="zh-CN"/>
        </w:rPr>
        <w:t>工作内容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工作开展时间符合要求</w:t>
      </w:r>
      <w:r>
        <w:rPr>
          <w:rFonts w:hint="eastAsia" w:ascii="仿宋_GB2312" w:hAnsi="仿宋_GB2312" w:eastAsia="仿宋_GB2312" w:cs="仿宋_GB2312"/>
          <w:color w:val="auto"/>
          <w:sz w:val="32"/>
          <w:szCs w:val="32"/>
          <w:highlight w:val="none"/>
        </w:rPr>
        <w:t>。计</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4、产出成本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年治超卸载点土地租赁及运营服务费用预算资金</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.00万元，实际合同签署金额</w:t>
      </w:r>
      <w:r>
        <w:rPr>
          <w:rFonts w:hint="eastAsia" w:ascii="仿宋_GB2312" w:hAnsi="仿宋_GB2312" w:eastAsia="仿宋_GB2312" w:cs="仿宋_GB2312"/>
          <w:color w:val="auto"/>
          <w:sz w:val="32"/>
          <w:szCs w:val="32"/>
          <w:highlight w:val="none"/>
          <w:lang w:val="en-US" w:eastAsia="zh-CN"/>
        </w:rPr>
        <w:t>99.8</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2021年度共支出治超卸载点土地租赁及运营服务项目专项资金99.55万元，</w:t>
      </w:r>
      <w:r>
        <w:rPr>
          <w:rFonts w:hint="eastAsia" w:ascii="仿宋_GB2312" w:hAnsi="仿宋_GB2312" w:eastAsia="仿宋_GB2312" w:cs="仿宋_GB2312"/>
          <w:color w:val="auto"/>
          <w:sz w:val="32"/>
          <w:szCs w:val="32"/>
          <w:highlight w:val="none"/>
        </w:rPr>
        <w:t>成本节约</w:t>
      </w:r>
      <w:r>
        <w:rPr>
          <w:rFonts w:hint="eastAsia" w:ascii="仿宋_GB2312" w:hAnsi="仿宋_GB2312" w:eastAsia="仿宋_GB2312" w:cs="仿宋_GB2312"/>
          <w:color w:val="auto"/>
          <w:sz w:val="32"/>
          <w:szCs w:val="32"/>
          <w:highlight w:val="none"/>
          <w:lang w:val="en-US" w:eastAsia="zh-CN"/>
        </w:rPr>
        <w:t>0.45</w:t>
      </w:r>
      <w:r>
        <w:rPr>
          <w:rFonts w:hint="eastAsia" w:ascii="仿宋_GB2312" w:hAnsi="仿宋_GB2312" w:eastAsia="仿宋_GB2312" w:cs="仿宋_GB2312"/>
          <w:color w:val="auto"/>
          <w:sz w:val="32"/>
          <w:szCs w:val="32"/>
          <w:highlight w:val="none"/>
        </w:rPr>
        <w:t>万元，成本</w:t>
      </w:r>
      <w:r>
        <w:rPr>
          <w:rFonts w:hint="eastAsia" w:ascii="仿宋_GB2312" w:hAnsi="仿宋_GB2312" w:eastAsia="仿宋_GB2312" w:cs="仿宋_GB2312"/>
          <w:color w:val="auto"/>
          <w:sz w:val="32"/>
          <w:szCs w:val="32"/>
          <w:highlight w:val="none"/>
          <w:lang w:val="en-US" w:eastAsia="zh-CN"/>
        </w:rPr>
        <w:t>支出完成</w:t>
      </w:r>
      <w:r>
        <w:rPr>
          <w:rFonts w:hint="eastAsia" w:ascii="仿宋_GB2312" w:hAnsi="仿宋_GB2312" w:eastAsia="仿宋_GB2312" w:cs="仿宋_GB2312"/>
          <w:color w:val="auto"/>
          <w:sz w:val="32"/>
          <w:szCs w:val="32"/>
          <w:highlight w:val="none"/>
        </w:rPr>
        <w:t>率</w:t>
      </w:r>
      <w:r>
        <w:rPr>
          <w:rFonts w:hint="eastAsia" w:ascii="仿宋_GB2312" w:hAnsi="仿宋_GB2312" w:eastAsia="仿宋_GB2312" w:cs="仿宋_GB2312"/>
          <w:color w:val="auto"/>
          <w:sz w:val="32"/>
          <w:szCs w:val="32"/>
          <w:highlight w:val="none"/>
          <w:lang w:val="en-US" w:eastAsia="zh-CN"/>
        </w:rPr>
        <w:t>99.55%。</w:t>
      </w:r>
      <w:r>
        <w:rPr>
          <w:rFonts w:hint="eastAsia" w:ascii="仿宋_GB2312" w:hAnsi="仿宋_GB2312" w:eastAsia="仿宋_GB2312" w:cs="仿宋_GB2312"/>
          <w:color w:val="auto"/>
          <w:sz w:val="32"/>
          <w:szCs w:val="32"/>
          <w:highlight w:val="none"/>
        </w:rPr>
        <w:t>计</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分。</w:t>
      </w:r>
    </w:p>
    <w:p>
      <w:pPr>
        <w:keepNext w:val="0"/>
        <w:keepLines w:val="0"/>
        <w:pageBreakBefore w:val="0"/>
        <w:widowControl w:val="0"/>
        <w:numPr>
          <w:ilvl w:val="1"/>
          <w:numId w:val="0"/>
        </w:numPr>
        <w:tabs>
          <w:tab w:val="left" w:pos="0"/>
        </w:tabs>
        <w:kinsoku/>
        <w:wordWrap/>
        <w:overflowPunct/>
        <w:topLinePunct w:val="0"/>
        <w:bidi w:val="0"/>
        <w:adjustRightInd/>
        <w:snapToGrid/>
        <w:spacing w:line="600" w:lineRule="exact"/>
        <w:ind w:firstLine="640" w:firstLineChars="200"/>
        <w:textAlignment w:val="auto"/>
        <w:outlineLvl w:val="1"/>
        <w:rPr>
          <w:rFonts w:hint="eastAsia" w:ascii="仿宋_GB2312" w:hAnsi="仿宋_GB2312" w:eastAsia="仿宋_GB2312" w:cs="仿宋_GB2312"/>
          <w:color w:val="auto"/>
          <w:kern w:val="2"/>
          <w:sz w:val="32"/>
          <w:szCs w:val="32"/>
          <w:highlight w:val="none"/>
          <w:lang w:val="en-US" w:eastAsia="zh-CN" w:bidi="ar-SA"/>
        </w:rPr>
      </w:pPr>
      <w:bookmarkStart w:id="20" w:name="_Toc13873"/>
      <w:r>
        <w:rPr>
          <w:rFonts w:hint="eastAsia" w:ascii="仿宋_GB2312" w:hAnsi="仿宋_GB2312" w:eastAsia="仿宋_GB2312" w:cs="仿宋_GB2312"/>
          <w:color w:val="auto"/>
          <w:kern w:val="2"/>
          <w:sz w:val="32"/>
          <w:szCs w:val="32"/>
          <w:highlight w:val="none"/>
          <w:lang w:val="en-US" w:eastAsia="zh-CN" w:bidi="ar-SA"/>
        </w:rPr>
        <w:t>（四）项目绩效情况</w:t>
      </w:r>
      <w:bookmarkEnd w:id="2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bookmarkStart w:id="21" w:name="OLE_LINK52"/>
      <w:bookmarkStart w:id="22" w:name="OLE_LINK45"/>
      <w:r>
        <w:rPr>
          <w:rFonts w:hint="eastAsia" w:ascii="仿宋_GB2312" w:hAnsi="仿宋_GB2312" w:eastAsia="仿宋_GB2312" w:cs="仿宋_GB2312"/>
          <w:color w:val="auto"/>
          <w:sz w:val="32"/>
          <w:szCs w:val="32"/>
          <w:highlight w:val="none"/>
        </w:rPr>
        <w:t>项目绩效下设社会绩效、可持续影响指标、满意度</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级指标，设计总分为25分，项目绩效评价得分</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分，具体评价过程和理由分述如下：</w:t>
      </w:r>
    </w:p>
    <w:bookmarkEnd w:id="21"/>
    <w:bookmarkEnd w:id="22"/>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社会效益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通过</w:t>
      </w:r>
      <w:r>
        <w:rPr>
          <w:rFonts w:hint="eastAsia" w:ascii="仿宋_GB2312" w:hAnsi="仿宋_GB2312" w:eastAsia="仿宋_GB2312" w:cs="仿宋_GB2312"/>
          <w:color w:val="auto"/>
          <w:sz w:val="32"/>
          <w:szCs w:val="32"/>
          <w:highlight w:val="none"/>
          <w:lang w:val="en-US" w:eastAsia="zh-CN"/>
        </w:rPr>
        <w:t>项目实施</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有效地保证了</w:t>
      </w:r>
      <w:r>
        <w:rPr>
          <w:rFonts w:hint="eastAsia" w:ascii="仿宋_GB2312" w:hAnsi="仿宋_GB2312" w:eastAsia="仿宋_GB2312" w:cs="仿宋_GB2312"/>
          <w:color w:val="auto"/>
          <w:sz w:val="32"/>
          <w:szCs w:val="32"/>
          <w:highlight w:val="none"/>
          <w:lang w:val="en-US" w:eastAsia="zh-CN"/>
        </w:rPr>
        <w:t>治超</w:t>
      </w:r>
      <w:r>
        <w:rPr>
          <w:rFonts w:hint="eastAsia" w:ascii="仿宋_GB2312" w:hAnsi="仿宋_GB2312" w:eastAsia="仿宋_GB2312" w:cs="仿宋_GB2312"/>
          <w:color w:val="auto"/>
          <w:sz w:val="32"/>
          <w:szCs w:val="32"/>
          <w:highlight w:val="none"/>
        </w:rPr>
        <w:t>的平稳运行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但缺少相关支撑资料。</w:t>
      </w:r>
      <w:r>
        <w:rPr>
          <w:rFonts w:hint="eastAsia" w:ascii="仿宋_GB2312" w:hAnsi="仿宋_GB2312" w:eastAsia="仿宋_GB2312" w:cs="仿宋_GB2312"/>
          <w:color w:val="auto"/>
          <w:sz w:val="32"/>
          <w:szCs w:val="32"/>
          <w:highlight w:val="none"/>
          <w:lang w:val="en-US" w:eastAsia="zh-CN"/>
        </w:rPr>
        <w:t>扣2分，</w:t>
      </w:r>
      <w:r>
        <w:rPr>
          <w:rFonts w:hint="eastAsia" w:ascii="仿宋_GB2312" w:hAnsi="仿宋_GB2312" w:eastAsia="仿宋_GB2312" w:cs="仿宋_GB2312"/>
          <w:color w:val="auto"/>
          <w:sz w:val="32"/>
          <w:szCs w:val="32"/>
          <w:highlight w:val="none"/>
        </w:rPr>
        <w:t>计</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可持续影响指标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为执法工作提供了保障，增加项目绩效工作的规范性，全部达成预期指标。但未提供相关治理成效</w:t>
      </w:r>
      <w:r>
        <w:rPr>
          <w:rFonts w:hint="eastAsia" w:ascii="仿宋_GB2312" w:hAnsi="仿宋_GB2312" w:eastAsia="仿宋_GB2312" w:cs="仿宋_GB2312"/>
          <w:color w:val="auto"/>
          <w:sz w:val="32"/>
          <w:szCs w:val="32"/>
          <w:highlight w:val="none"/>
          <w:lang w:val="en-US" w:eastAsia="zh-CN"/>
        </w:rPr>
        <w:t>支撑资料</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扣2分，</w:t>
      </w:r>
      <w:r>
        <w:rPr>
          <w:rFonts w:hint="eastAsia" w:ascii="仿宋_GB2312" w:hAnsi="仿宋_GB2312" w:eastAsia="仿宋_GB2312" w:cs="仿宋_GB2312"/>
          <w:color w:val="auto"/>
          <w:sz w:val="32"/>
          <w:szCs w:val="32"/>
          <w:highlight w:val="none"/>
        </w:rPr>
        <w:t>计</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满意度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通过对项目的实施，进一步加强了治超卸载点土地租赁及运营服务保障工作，但未针对项目服务对象开展满意度问卷调查，对满意度指标的实现情况缺少资料支撑。扣</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分，计</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分。</w:t>
      </w:r>
    </w:p>
    <w:p>
      <w:pPr>
        <w:pStyle w:val="3"/>
        <w:pageBreakBefore w:val="0"/>
        <w:widowControl w:val="0"/>
        <w:numPr>
          <w:ilvl w:val="0"/>
          <w:numId w:val="2"/>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color w:val="auto"/>
          <w:sz w:val="32"/>
          <w:szCs w:val="32"/>
          <w:highlight w:val="none"/>
        </w:rPr>
      </w:pPr>
      <w:bookmarkStart w:id="23" w:name="_Toc25884"/>
      <w:r>
        <w:rPr>
          <w:rFonts w:hint="eastAsia" w:ascii="黑体" w:hAnsi="黑体" w:eastAsia="黑体" w:cs="黑体"/>
          <w:b w:val="0"/>
          <w:bCs/>
          <w:color w:val="auto"/>
          <w:sz w:val="32"/>
          <w:szCs w:val="32"/>
          <w:highlight w:val="none"/>
        </w:rPr>
        <w:t>存在问题</w:t>
      </w:r>
      <w:bookmarkEnd w:id="23"/>
    </w:p>
    <w:p>
      <w:pPr>
        <w:keepNext w:val="0"/>
        <w:keepLines w:val="0"/>
        <w:pageBreakBefore w:val="0"/>
        <w:widowControl w:val="0"/>
        <w:numPr>
          <w:ilvl w:val="1"/>
          <w:numId w:val="0"/>
        </w:numPr>
        <w:tabs>
          <w:tab w:val="left" w:pos="0"/>
        </w:tabs>
        <w:kinsoku/>
        <w:wordWrap/>
        <w:overflowPunct/>
        <w:topLinePunct w:val="0"/>
        <w:bidi w:val="0"/>
        <w:adjustRightInd/>
        <w:snapToGrid/>
        <w:spacing w:line="600" w:lineRule="exact"/>
        <w:ind w:firstLine="640" w:firstLineChars="200"/>
        <w:textAlignment w:val="auto"/>
        <w:outlineLvl w:val="1"/>
        <w:rPr>
          <w:rFonts w:hint="eastAsia" w:ascii="仿宋_GB2312" w:hAnsi="仿宋_GB2312" w:eastAsia="仿宋_GB2312" w:cs="仿宋_GB2312"/>
          <w:color w:val="auto"/>
          <w:kern w:val="2"/>
          <w:sz w:val="32"/>
          <w:szCs w:val="32"/>
          <w:highlight w:val="none"/>
          <w:lang w:val="en-US" w:eastAsia="zh-CN" w:bidi="ar-SA"/>
        </w:rPr>
      </w:pPr>
      <w:bookmarkStart w:id="24" w:name="_Toc19067"/>
      <w:bookmarkStart w:id="25" w:name="_Toc10191"/>
      <w:bookmarkStart w:id="26" w:name="_Toc29618"/>
      <w:r>
        <w:rPr>
          <w:rFonts w:hint="eastAsia" w:ascii="仿宋_GB2312" w:hAnsi="仿宋_GB2312" w:eastAsia="仿宋_GB2312" w:cs="仿宋_GB2312"/>
          <w:color w:val="auto"/>
          <w:kern w:val="2"/>
          <w:sz w:val="32"/>
          <w:szCs w:val="32"/>
          <w:highlight w:val="none"/>
          <w:lang w:val="en-US" w:eastAsia="zh-CN" w:bidi="ar-SA"/>
        </w:rPr>
        <w:t>（一）绩效指标设置不够</w:t>
      </w:r>
      <w:bookmarkEnd w:id="24"/>
      <w:bookmarkEnd w:id="25"/>
      <w:r>
        <w:rPr>
          <w:rFonts w:hint="eastAsia" w:ascii="仿宋_GB2312" w:hAnsi="仿宋_GB2312" w:eastAsia="仿宋_GB2312" w:cs="仿宋_GB2312"/>
          <w:color w:val="auto"/>
          <w:kern w:val="2"/>
          <w:sz w:val="32"/>
          <w:szCs w:val="32"/>
          <w:highlight w:val="none"/>
          <w:lang w:val="en-US" w:eastAsia="zh-CN" w:bidi="ar-SA"/>
        </w:rPr>
        <w:t>合理</w:t>
      </w:r>
      <w:bookmarkEnd w:id="2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绩效目标表未设置</w:t>
      </w:r>
      <w:r>
        <w:rPr>
          <w:rFonts w:hint="eastAsia" w:ascii="仿宋_GB2312" w:hAnsi="仿宋_GB2312" w:eastAsia="仿宋_GB2312" w:cs="仿宋_GB2312"/>
          <w:color w:val="auto"/>
          <w:sz w:val="32"/>
          <w:szCs w:val="32"/>
          <w:highlight w:val="none"/>
          <w:lang w:val="en-US" w:eastAsia="zh-CN"/>
        </w:rPr>
        <w:t>总体绩效目标、社会效益、可持续影响指标</w:t>
      </w:r>
      <w:r>
        <w:rPr>
          <w:rFonts w:hint="eastAsia" w:ascii="仿宋_GB2312" w:hAnsi="仿宋_GB2312" w:eastAsia="仿宋_GB2312" w:cs="仿宋_GB2312"/>
          <w:color w:val="auto"/>
          <w:sz w:val="32"/>
          <w:szCs w:val="32"/>
          <w:highlight w:val="none"/>
        </w:rPr>
        <w:t>，未明确</w:t>
      </w:r>
      <w:r>
        <w:rPr>
          <w:rFonts w:hint="eastAsia" w:ascii="仿宋_GB2312" w:hAnsi="仿宋_GB2312" w:eastAsia="仿宋_GB2312" w:cs="仿宋_GB2312"/>
          <w:color w:val="auto"/>
          <w:sz w:val="32"/>
          <w:szCs w:val="32"/>
          <w:highlight w:val="none"/>
          <w:lang w:val="en-US" w:eastAsia="zh-CN"/>
        </w:rPr>
        <w:t>北辰区</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年度治超卸载点土地租赁及运营服务内容，绩效目标的可衡量性较差，绩效指标有待进一步</w:t>
      </w:r>
      <w:r>
        <w:rPr>
          <w:rFonts w:hint="eastAsia" w:ascii="仿宋_GB2312" w:hAnsi="仿宋_GB2312" w:eastAsia="仿宋_GB2312" w:cs="仿宋_GB2312"/>
          <w:color w:val="auto"/>
          <w:sz w:val="32"/>
          <w:szCs w:val="32"/>
          <w:highlight w:val="none"/>
          <w:lang w:val="en-US" w:eastAsia="zh-CN"/>
        </w:rPr>
        <w:t>完善</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1"/>
          <w:numId w:val="0"/>
        </w:numPr>
        <w:tabs>
          <w:tab w:val="left" w:pos="0"/>
        </w:tabs>
        <w:kinsoku/>
        <w:wordWrap/>
        <w:overflowPunct/>
        <w:topLinePunct w:val="0"/>
        <w:bidi w:val="0"/>
        <w:adjustRightInd/>
        <w:snapToGrid/>
        <w:spacing w:line="600" w:lineRule="exact"/>
        <w:ind w:firstLine="640" w:firstLineChars="200"/>
        <w:textAlignment w:val="auto"/>
        <w:outlineLvl w:val="1"/>
        <w:rPr>
          <w:rFonts w:hint="eastAsia" w:ascii="仿宋_GB2312" w:hAnsi="仿宋_GB2312" w:eastAsia="仿宋_GB2312" w:cs="仿宋_GB2312"/>
          <w:color w:val="auto"/>
          <w:kern w:val="2"/>
          <w:sz w:val="32"/>
          <w:szCs w:val="32"/>
          <w:highlight w:val="none"/>
          <w:lang w:val="en-US" w:eastAsia="zh-CN" w:bidi="ar-SA"/>
        </w:rPr>
      </w:pPr>
      <w:bookmarkStart w:id="27" w:name="_Toc27031"/>
      <w:bookmarkStart w:id="28" w:name="_Toc13277"/>
      <w:bookmarkStart w:id="29" w:name="_Toc12894"/>
      <w:r>
        <w:rPr>
          <w:rFonts w:hint="eastAsia" w:ascii="仿宋_GB2312" w:hAnsi="仿宋_GB2312" w:eastAsia="仿宋_GB2312" w:cs="仿宋_GB2312"/>
          <w:color w:val="auto"/>
          <w:kern w:val="2"/>
          <w:sz w:val="32"/>
          <w:szCs w:val="32"/>
          <w:highlight w:val="none"/>
          <w:lang w:val="en-US" w:eastAsia="zh-CN" w:bidi="ar-SA"/>
        </w:rPr>
        <w:t>（二）未针对服务情况进行及时监督、记录</w:t>
      </w:r>
      <w:bookmarkEnd w:id="27"/>
      <w:bookmarkEnd w:id="28"/>
      <w:bookmarkEnd w:id="2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未针对年度项目实施情况及时开展</w:t>
      </w:r>
      <w:r>
        <w:rPr>
          <w:rFonts w:hint="eastAsia" w:ascii="仿宋_GB2312" w:hAnsi="仿宋_GB2312" w:eastAsia="仿宋_GB2312" w:cs="仿宋_GB2312"/>
          <w:color w:val="auto"/>
          <w:sz w:val="32"/>
          <w:szCs w:val="32"/>
          <w:highlight w:val="none"/>
          <w:lang w:val="en-US" w:eastAsia="zh-CN"/>
        </w:rPr>
        <w:t>监督服务效果记录和数据分析</w:t>
      </w:r>
      <w:r>
        <w:rPr>
          <w:rFonts w:hint="eastAsia" w:ascii="仿宋_GB2312" w:hAnsi="仿宋_GB2312" w:eastAsia="仿宋_GB2312" w:cs="仿宋_GB2312"/>
          <w:color w:val="auto"/>
          <w:sz w:val="32"/>
          <w:szCs w:val="32"/>
          <w:highlight w:val="none"/>
        </w:rPr>
        <w:t>，对项目实施情况缺少资料支撑，对项目实施效果实现情况的支撑资料不完整，影响对项目实施效果的评价。</w:t>
      </w:r>
    </w:p>
    <w:p>
      <w:pPr>
        <w:pStyle w:val="3"/>
        <w:pageBreakBefore w:val="0"/>
        <w:widowControl w:val="0"/>
        <w:numPr>
          <w:ilvl w:val="0"/>
          <w:numId w:val="2"/>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color w:val="auto"/>
          <w:sz w:val="32"/>
          <w:szCs w:val="32"/>
          <w:highlight w:val="none"/>
        </w:rPr>
      </w:pPr>
      <w:bookmarkStart w:id="30" w:name="_Toc13768"/>
      <w:r>
        <w:rPr>
          <w:rFonts w:hint="eastAsia" w:ascii="黑体" w:hAnsi="黑体" w:eastAsia="黑体" w:cs="黑体"/>
          <w:b w:val="0"/>
          <w:bCs/>
          <w:color w:val="auto"/>
          <w:sz w:val="32"/>
          <w:szCs w:val="32"/>
          <w:highlight w:val="none"/>
        </w:rPr>
        <w:t>相关建议</w:t>
      </w:r>
      <w:bookmarkEnd w:id="30"/>
    </w:p>
    <w:p>
      <w:pPr>
        <w:keepNext w:val="0"/>
        <w:keepLines w:val="0"/>
        <w:pageBreakBefore w:val="0"/>
        <w:widowControl w:val="0"/>
        <w:numPr>
          <w:ilvl w:val="1"/>
          <w:numId w:val="0"/>
        </w:numPr>
        <w:tabs>
          <w:tab w:val="left" w:pos="0"/>
        </w:tabs>
        <w:kinsoku/>
        <w:wordWrap/>
        <w:overflowPunct/>
        <w:topLinePunct w:val="0"/>
        <w:bidi w:val="0"/>
        <w:adjustRightInd/>
        <w:snapToGrid/>
        <w:spacing w:line="600" w:lineRule="exact"/>
        <w:ind w:firstLine="640" w:firstLineChars="200"/>
        <w:textAlignment w:val="auto"/>
        <w:outlineLvl w:val="1"/>
        <w:rPr>
          <w:rFonts w:hint="eastAsia" w:ascii="仿宋_GB2312" w:hAnsi="仿宋_GB2312" w:eastAsia="仿宋_GB2312" w:cs="仿宋_GB2312"/>
          <w:color w:val="auto"/>
          <w:kern w:val="2"/>
          <w:sz w:val="32"/>
          <w:szCs w:val="32"/>
          <w:highlight w:val="none"/>
          <w:lang w:val="en-US" w:eastAsia="zh-CN" w:bidi="ar-SA"/>
        </w:rPr>
      </w:pPr>
      <w:bookmarkStart w:id="31" w:name="_Toc5681"/>
      <w:bookmarkStart w:id="32" w:name="_Toc13375"/>
      <w:bookmarkStart w:id="33" w:name="_Toc21307"/>
      <w:r>
        <w:rPr>
          <w:rFonts w:hint="eastAsia" w:ascii="仿宋_GB2312" w:hAnsi="仿宋_GB2312" w:eastAsia="仿宋_GB2312" w:cs="仿宋_GB2312"/>
          <w:color w:val="auto"/>
          <w:kern w:val="2"/>
          <w:sz w:val="32"/>
          <w:szCs w:val="32"/>
          <w:highlight w:val="none"/>
          <w:lang w:val="en-US" w:eastAsia="zh-CN" w:bidi="ar-SA"/>
        </w:rPr>
        <w:t>（一）进一步完善绩效目标表</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结合项目实际情况，规范填制绩效目标表，明确年度</w:t>
      </w:r>
      <w:r>
        <w:rPr>
          <w:rFonts w:hint="eastAsia" w:ascii="仿宋_GB2312" w:hAnsi="仿宋_GB2312" w:eastAsia="仿宋_GB2312" w:cs="仿宋_GB2312"/>
          <w:color w:val="auto"/>
          <w:sz w:val="32"/>
          <w:szCs w:val="32"/>
          <w:highlight w:val="none"/>
          <w:lang w:val="en-US" w:eastAsia="zh-CN"/>
        </w:rPr>
        <w:t>治超</w:t>
      </w:r>
      <w:r>
        <w:rPr>
          <w:rFonts w:hint="eastAsia" w:ascii="仿宋_GB2312" w:hAnsi="仿宋_GB2312" w:eastAsia="仿宋_GB2312" w:cs="仿宋_GB2312"/>
          <w:color w:val="auto"/>
          <w:sz w:val="32"/>
          <w:szCs w:val="32"/>
          <w:highlight w:val="none"/>
        </w:rPr>
        <w:t>服务内容及质量要求，进一步完善绩效目标表的设置。全面细化考虑指标影响，科学设置绩效目标表，保障</w:t>
      </w:r>
      <w:r>
        <w:rPr>
          <w:rFonts w:hint="eastAsia" w:ascii="仿宋_GB2312" w:hAnsi="仿宋_GB2312" w:eastAsia="仿宋_GB2312" w:cs="仿宋_GB2312"/>
          <w:color w:val="auto"/>
          <w:sz w:val="32"/>
          <w:szCs w:val="32"/>
          <w:highlight w:val="none"/>
          <w:lang w:val="en-US" w:eastAsia="zh-CN"/>
        </w:rPr>
        <w:t>治超工作</w:t>
      </w:r>
      <w:r>
        <w:rPr>
          <w:rFonts w:hint="eastAsia" w:ascii="仿宋_GB2312" w:hAnsi="仿宋_GB2312" w:eastAsia="仿宋_GB2312" w:cs="仿宋_GB2312"/>
          <w:color w:val="auto"/>
          <w:sz w:val="32"/>
          <w:szCs w:val="32"/>
          <w:highlight w:val="none"/>
        </w:rPr>
        <w:t>的平稳运行。</w:t>
      </w:r>
    </w:p>
    <w:p>
      <w:pPr>
        <w:keepNext w:val="0"/>
        <w:keepLines w:val="0"/>
        <w:pageBreakBefore w:val="0"/>
        <w:widowControl w:val="0"/>
        <w:numPr>
          <w:ilvl w:val="1"/>
          <w:numId w:val="0"/>
        </w:numPr>
        <w:tabs>
          <w:tab w:val="left" w:pos="0"/>
        </w:tabs>
        <w:kinsoku/>
        <w:wordWrap/>
        <w:overflowPunct/>
        <w:topLinePunct w:val="0"/>
        <w:bidi w:val="0"/>
        <w:adjustRightInd/>
        <w:snapToGrid/>
        <w:spacing w:line="600" w:lineRule="exact"/>
        <w:ind w:firstLine="640" w:firstLineChars="200"/>
        <w:textAlignment w:val="auto"/>
        <w:outlineLvl w:val="1"/>
        <w:rPr>
          <w:rFonts w:hint="eastAsia" w:ascii="仿宋_GB2312" w:hAnsi="仿宋_GB2312" w:eastAsia="仿宋_GB2312" w:cs="仿宋_GB2312"/>
          <w:color w:val="auto"/>
          <w:kern w:val="2"/>
          <w:sz w:val="32"/>
          <w:szCs w:val="32"/>
          <w:highlight w:val="none"/>
          <w:lang w:val="en-US" w:eastAsia="zh-CN" w:bidi="ar-SA"/>
        </w:rPr>
      </w:pPr>
      <w:bookmarkStart w:id="34" w:name="_Toc24202"/>
      <w:bookmarkStart w:id="35" w:name="_Toc31273"/>
      <w:bookmarkStart w:id="36" w:name="_Toc6226"/>
      <w:r>
        <w:rPr>
          <w:rFonts w:hint="eastAsia" w:ascii="仿宋_GB2312" w:hAnsi="仿宋_GB2312" w:eastAsia="仿宋_GB2312" w:cs="仿宋_GB2312"/>
          <w:color w:val="auto"/>
          <w:kern w:val="2"/>
          <w:sz w:val="32"/>
          <w:szCs w:val="32"/>
          <w:highlight w:val="none"/>
          <w:lang w:val="en-US" w:eastAsia="zh-CN" w:bidi="ar-SA"/>
        </w:rPr>
        <w:t>（二）重视对绩效成果支撑资料的收集</w:t>
      </w:r>
      <w:bookmarkEnd w:id="34"/>
      <w:bookmarkEnd w:id="35"/>
      <w:bookmarkEnd w:id="3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通过</w:t>
      </w:r>
      <w:r>
        <w:rPr>
          <w:rFonts w:hint="eastAsia" w:ascii="仿宋_GB2312" w:hAnsi="仿宋_GB2312" w:eastAsia="仿宋_GB2312" w:cs="仿宋_GB2312"/>
          <w:color w:val="auto"/>
          <w:sz w:val="32"/>
          <w:szCs w:val="32"/>
          <w:highlight w:val="none"/>
          <w:lang w:eastAsia="zh-CN"/>
        </w:rPr>
        <w:t>北辰区治超卸载点土地租赁及运营服务项目</w:t>
      </w:r>
      <w:r>
        <w:rPr>
          <w:rFonts w:hint="eastAsia" w:ascii="仿宋_GB2312" w:hAnsi="仿宋_GB2312" w:eastAsia="仿宋_GB2312" w:cs="仿宋_GB2312"/>
          <w:color w:val="auto"/>
          <w:sz w:val="32"/>
          <w:szCs w:val="32"/>
          <w:highlight w:val="none"/>
        </w:rPr>
        <w:t>实施，重点关注该项目的产出及效果的评价，</w:t>
      </w:r>
      <w:r>
        <w:rPr>
          <w:rFonts w:hint="eastAsia" w:ascii="仿宋_GB2312" w:hAnsi="仿宋_GB2312" w:eastAsia="仿宋_GB2312" w:cs="仿宋_GB2312"/>
          <w:color w:val="auto"/>
          <w:sz w:val="32"/>
          <w:szCs w:val="32"/>
          <w:highlight w:val="none"/>
          <w:lang w:val="en-US" w:eastAsia="zh-CN"/>
        </w:rPr>
        <w:t>加强对治超卸载点运营服务</w:t>
      </w:r>
      <w:r>
        <w:rPr>
          <w:rFonts w:hint="eastAsia" w:ascii="仿宋_GB2312" w:hAnsi="仿宋_GB2312" w:eastAsia="仿宋_GB2312" w:cs="仿宋_GB2312"/>
          <w:color w:val="auto"/>
          <w:sz w:val="32"/>
          <w:szCs w:val="32"/>
          <w:highlight w:val="none"/>
        </w:rPr>
        <w:t>的监督考核，对考核结果整改的应用情况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val="en-US" w:eastAsia="zh-CN"/>
        </w:rPr>
        <w:t>监督服务效果、记录数据</w:t>
      </w:r>
      <w:r>
        <w:rPr>
          <w:rFonts w:hint="eastAsia" w:ascii="仿宋_GB2312" w:hAnsi="仿宋_GB2312" w:eastAsia="仿宋_GB2312" w:cs="仿宋_GB2312"/>
          <w:color w:val="auto"/>
          <w:sz w:val="32"/>
          <w:szCs w:val="32"/>
          <w:highlight w:val="none"/>
        </w:rPr>
        <w:t>的基础上，进行数据分析，对项目的资金绩效进行评价分析，客观反映项目的效果。</w:t>
      </w:r>
    </w:p>
    <w:p>
      <w:pPr>
        <w:spacing w:line="500" w:lineRule="exact"/>
        <w:ind w:firstLine="480" w:firstLineChars="200"/>
        <w:rPr>
          <w:rFonts w:ascii="宋体" w:hAnsi="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eastAsia="zh-CN"/>
        </w:rPr>
        <w:t>北辰区治超卸载点土地租赁及运营服务项目</w:t>
      </w:r>
      <w:r>
        <w:rPr>
          <w:rFonts w:hint="eastAsia" w:ascii="仿宋_GB2312" w:hAnsi="仿宋_GB2312" w:eastAsia="仿宋_GB2312" w:cs="仿宋_GB2312"/>
          <w:color w:val="auto"/>
          <w:sz w:val="32"/>
          <w:szCs w:val="32"/>
          <w:highlight w:val="none"/>
        </w:rPr>
        <w:t>绩效评价体系评分表</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D27655-FD2A-4459-A5A6-B8AA5B3073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embedRegular r:id="rId2" w:fontKey="{5939505C-EBF9-4435-B743-16B02EA575C6}"/>
  </w:font>
  <w:font w:name="仿宋_GB2312">
    <w:panose1 w:val="02010609030101010101"/>
    <w:charset w:val="86"/>
    <w:family w:val="modern"/>
    <w:pitch w:val="default"/>
    <w:sig w:usb0="00000001" w:usb1="080E0000" w:usb2="00000000" w:usb3="00000000" w:csb0="00040000" w:csb1="00000000"/>
    <w:embedRegular r:id="rId3" w:fontKey="{C31843A9-A5F9-48FB-B2EE-63C3F42D1869}"/>
  </w:font>
  <w:font w:name="仿宋">
    <w:panose1 w:val="02010609060101010101"/>
    <w:charset w:val="86"/>
    <w:family w:val="auto"/>
    <w:pitch w:val="default"/>
    <w:sig w:usb0="800002BF" w:usb1="38CF7CFA" w:usb2="00000016" w:usb3="00000000" w:csb0="00040001" w:csb1="00000000"/>
    <w:embedRegular r:id="rId4" w:fontKey="{FE49AD81-DBF3-41E8-999A-D055F20A17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E05E20"/>
    <w:multiLevelType w:val="multilevel"/>
    <w:tmpl w:val="4EE05E20"/>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283" w:firstLine="0"/>
      </w:pPr>
      <w:rPr>
        <w:rFonts w:hint="eastAsia"/>
        <w:lang w:val="en-US"/>
      </w:rPr>
    </w:lvl>
    <w:lvl w:ilvl="2" w:tentative="0">
      <w:start w:val="1"/>
      <w:numFmt w:val="decimal"/>
      <w:suff w:val="nothing"/>
      <w:lvlText w:val="%3．"/>
      <w:lvlJc w:val="left"/>
      <w:pPr>
        <w:ind w:left="-40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5775C1B2"/>
    <w:multiLevelType w:val="singleLevel"/>
    <w:tmpl w:val="5775C1B2"/>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ZDgxNGVhMzM0MDkyZWU3NzFjYTM5NmU3ZjE5MmUifQ=="/>
  </w:docVars>
  <w:rsids>
    <w:rsidRoot w:val="589A0162"/>
    <w:rsid w:val="00054CF6"/>
    <w:rsid w:val="00091E8E"/>
    <w:rsid w:val="00096391"/>
    <w:rsid w:val="000D6064"/>
    <w:rsid w:val="001113BD"/>
    <w:rsid w:val="001B0BE6"/>
    <w:rsid w:val="00201E82"/>
    <w:rsid w:val="0020366D"/>
    <w:rsid w:val="002C4AF5"/>
    <w:rsid w:val="002D3A7A"/>
    <w:rsid w:val="00322BD1"/>
    <w:rsid w:val="00385394"/>
    <w:rsid w:val="00385E9E"/>
    <w:rsid w:val="003B05BC"/>
    <w:rsid w:val="004B2FDB"/>
    <w:rsid w:val="004E7493"/>
    <w:rsid w:val="00547429"/>
    <w:rsid w:val="0058431C"/>
    <w:rsid w:val="005856F6"/>
    <w:rsid w:val="005B1106"/>
    <w:rsid w:val="005E3F95"/>
    <w:rsid w:val="006416E4"/>
    <w:rsid w:val="006E66CA"/>
    <w:rsid w:val="0070581B"/>
    <w:rsid w:val="00765167"/>
    <w:rsid w:val="00865FF5"/>
    <w:rsid w:val="00896326"/>
    <w:rsid w:val="008A4097"/>
    <w:rsid w:val="009C3B40"/>
    <w:rsid w:val="009F346A"/>
    <w:rsid w:val="00A166DC"/>
    <w:rsid w:val="00A45AB9"/>
    <w:rsid w:val="00AE4CDB"/>
    <w:rsid w:val="00B27607"/>
    <w:rsid w:val="00B75C3F"/>
    <w:rsid w:val="00B867B2"/>
    <w:rsid w:val="00BA27F4"/>
    <w:rsid w:val="00BD006E"/>
    <w:rsid w:val="00BF4C13"/>
    <w:rsid w:val="00CB372B"/>
    <w:rsid w:val="00CD1EF0"/>
    <w:rsid w:val="00D17DDC"/>
    <w:rsid w:val="00D445F0"/>
    <w:rsid w:val="00D710B8"/>
    <w:rsid w:val="00DA6E29"/>
    <w:rsid w:val="00DC3766"/>
    <w:rsid w:val="00DE1BE7"/>
    <w:rsid w:val="00DF446F"/>
    <w:rsid w:val="00E020A2"/>
    <w:rsid w:val="00E07FA0"/>
    <w:rsid w:val="00EB2229"/>
    <w:rsid w:val="00F20C5B"/>
    <w:rsid w:val="00FB077E"/>
    <w:rsid w:val="00FC33FA"/>
    <w:rsid w:val="00FD2B93"/>
    <w:rsid w:val="00FF5B49"/>
    <w:rsid w:val="01956AAB"/>
    <w:rsid w:val="01B85F94"/>
    <w:rsid w:val="0219304F"/>
    <w:rsid w:val="030D2657"/>
    <w:rsid w:val="032322B7"/>
    <w:rsid w:val="034877EC"/>
    <w:rsid w:val="03C72977"/>
    <w:rsid w:val="03E80687"/>
    <w:rsid w:val="041476CE"/>
    <w:rsid w:val="04292D9A"/>
    <w:rsid w:val="043E096A"/>
    <w:rsid w:val="044A30F0"/>
    <w:rsid w:val="0486237A"/>
    <w:rsid w:val="04FD0162"/>
    <w:rsid w:val="052E6EB9"/>
    <w:rsid w:val="055661F0"/>
    <w:rsid w:val="05C55124"/>
    <w:rsid w:val="05CF505F"/>
    <w:rsid w:val="067D59FE"/>
    <w:rsid w:val="06A74829"/>
    <w:rsid w:val="06B75F20"/>
    <w:rsid w:val="070D0B30"/>
    <w:rsid w:val="070E336D"/>
    <w:rsid w:val="078F76C3"/>
    <w:rsid w:val="07A5586E"/>
    <w:rsid w:val="07B05960"/>
    <w:rsid w:val="0802440D"/>
    <w:rsid w:val="0849203C"/>
    <w:rsid w:val="08624EAC"/>
    <w:rsid w:val="08917E08"/>
    <w:rsid w:val="08984A36"/>
    <w:rsid w:val="08E86503"/>
    <w:rsid w:val="08F17FDE"/>
    <w:rsid w:val="09AD03A9"/>
    <w:rsid w:val="09BE5717"/>
    <w:rsid w:val="09F3120E"/>
    <w:rsid w:val="0A3D532E"/>
    <w:rsid w:val="0A7D421F"/>
    <w:rsid w:val="0B3F34C3"/>
    <w:rsid w:val="0BA36ACB"/>
    <w:rsid w:val="0BE45BD8"/>
    <w:rsid w:val="0CDF4D1D"/>
    <w:rsid w:val="0CFB767D"/>
    <w:rsid w:val="0D004C93"/>
    <w:rsid w:val="0D2070E4"/>
    <w:rsid w:val="0E532E33"/>
    <w:rsid w:val="0E55371B"/>
    <w:rsid w:val="0F3B1FB3"/>
    <w:rsid w:val="0FC9114D"/>
    <w:rsid w:val="0FCB77DB"/>
    <w:rsid w:val="112C42A9"/>
    <w:rsid w:val="11365128"/>
    <w:rsid w:val="120D5E88"/>
    <w:rsid w:val="131507D3"/>
    <w:rsid w:val="13272F7A"/>
    <w:rsid w:val="1385150D"/>
    <w:rsid w:val="14881BDF"/>
    <w:rsid w:val="14885A24"/>
    <w:rsid w:val="14A11FF3"/>
    <w:rsid w:val="14D62EA9"/>
    <w:rsid w:val="155D7127"/>
    <w:rsid w:val="15DA0777"/>
    <w:rsid w:val="15DD4026"/>
    <w:rsid w:val="16302D4F"/>
    <w:rsid w:val="16457F61"/>
    <w:rsid w:val="172E4CF4"/>
    <w:rsid w:val="17D01087"/>
    <w:rsid w:val="187A3B4C"/>
    <w:rsid w:val="196654C9"/>
    <w:rsid w:val="1A366198"/>
    <w:rsid w:val="1A9B205C"/>
    <w:rsid w:val="1B77369F"/>
    <w:rsid w:val="1BF43C15"/>
    <w:rsid w:val="1C50124F"/>
    <w:rsid w:val="1C5D110F"/>
    <w:rsid w:val="1C7A5BA8"/>
    <w:rsid w:val="1C940F54"/>
    <w:rsid w:val="1D790876"/>
    <w:rsid w:val="1E032835"/>
    <w:rsid w:val="1E74103D"/>
    <w:rsid w:val="1E7D4396"/>
    <w:rsid w:val="1ECB759A"/>
    <w:rsid w:val="1F06438B"/>
    <w:rsid w:val="1F8359DC"/>
    <w:rsid w:val="1F971487"/>
    <w:rsid w:val="1FD77AD6"/>
    <w:rsid w:val="206A094A"/>
    <w:rsid w:val="20A87003"/>
    <w:rsid w:val="212636E3"/>
    <w:rsid w:val="22B51CA1"/>
    <w:rsid w:val="2306723D"/>
    <w:rsid w:val="233F6D50"/>
    <w:rsid w:val="23515DF1"/>
    <w:rsid w:val="23552703"/>
    <w:rsid w:val="23D700A4"/>
    <w:rsid w:val="24DA31A9"/>
    <w:rsid w:val="25A747D1"/>
    <w:rsid w:val="25B35BEF"/>
    <w:rsid w:val="26940053"/>
    <w:rsid w:val="26A02529"/>
    <w:rsid w:val="26F23447"/>
    <w:rsid w:val="270176C1"/>
    <w:rsid w:val="27AC7A9A"/>
    <w:rsid w:val="27F05825"/>
    <w:rsid w:val="28530B72"/>
    <w:rsid w:val="287C7261"/>
    <w:rsid w:val="28887BBF"/>
    <w:rsid w:val="28FA09B1"/>
    <w:rsid w:val="29E33564"/>
    <w:rsid w:val="2A8231FA"/>
    <w:rsid w:val="2AC450FA"/>
    <w:rsid w:val="2ADC4E34"/>
    <w:rsid w:val="2AE4125A"/>
    <w:rsid w:val="2AE9690F"/>
    <w:rsid w:val="2B8C660A"/>
    <w:rsid w:val="2C006FE5"/>
    <w:rsid w:val="2C277A68"/>
    <w:rsid w:val="2C5D5807"/>
    <w:rsid w:val="2CBC574A"/>
    <w:rsid w:val="2D4D4A2B"/>
    <w:rsid w:val="2E093550"/>
    <w:rsid w:val="2E4B3B69"/>
    <w:rsid w:val="3094430E"/>
    <w:rsid w:val="30EB33E1"/>
    <w:rsid w:val="314928E4"/>
    <w:rsid w:val="32281930"/>
    <w:rsid w:val="32EE3247"/>
    <w:rsid w:val="335F3326"/>
    <w:rsid w:val="33865643"/>
    <w:rsid w:val="33A45AC9"/>
    <w:rsid w:val="33F84B2C"/>
    <w:rsid w:val="34086058"/>
    <w:rsid w:val="343926B5"/>
    <w:rsid w:val="344D555F"/>
    <w:rsid w:val="34541D98"/>
    <w:rsid w:val="34D36666"/>
    <w:rsid w:val="34E56399"/>
    <w:rsid w:val="35731BF7"/>
    <w:rsid w:val="35A0699A"/>
    <w:rsid w:val="35A63D7A"/>
    <w:rsid w:val="35D46B3A"/>
    <w:rsid w:val="368470CC"/>
    <w:rsid w:val="36FF1A23"/>
    <w:rsid w:val="371A0C85"/>
    <w:rsid w:val="37AD13F0"/>
    <w:rsid w:val="37DA7AE8"/>
    <w:rsid w:val="38190D25"/>
    <w:rsid w:val="38926838"/>
    <w:rsid w:val="394C69E7"/>
    <w:rsid w:val="39A95BE7"/>
    <w:rsid w:val="39C87740"/>
    <w:rsid w:val="3A06313E"/>
    <w:rsid w:val="3A540249"/>
    <w:rsid w:val="3AC86541"/>
    <w:rsid w:val="3B1435F0"/>
    <w:rsid w:val="3B3D46BE"/>
    <w:rsid w:val="3B761B92"/>
    <w:rsid w:val="3C8C1F35"/>
    <w:rsid w:val="3CC0099B"/>
    <w:rsid w:val="3D204412"/>
    <w:rsid w:val="3DDA0A65"/>
    <w:rsid w:val="3DFB22A1"/>
    <w:rsid w:val="3E021D6A"/>
    <w:rsid w:val="3EDE0BDC"/>
    <w:rsid w:val="3FA70E1B"/>
    <w:rsid w:val="40C36913"/>
    <w:rsid w:val="40D93256"/>
    <w:rsid w:val="41C25946"/>
    <w:rsid w:val="43170066"/>
    <w:rsid w:val="431C6B08"/>
    <w:rsid w:val="43BB4E95"/>
    <w:rsid w:val="44510327"/>
    <w:rsid w:val="45101210"/>
    <w:rsid w:val="45796DB6"/>
    <w:rsid w:val="45965BB9"/>
    <w:rsid w:val="45C75D73"/>
    <w:rsid w:val="4646138E"/>
    <w:rsid w:val="464F1135"/>
    <w:rsid w:val="469543E6"/>
    <w:rsid w:val="46D342C3"/>
    <w:rsid w:val="4729393A"/>
    <w:rsid w:val="475B3672"/>
    <w:rsid w:val="4778010D"/>
    <w:rsid w:val="47785789"/>
    <w:rsid w:val="47A9217D"/>
    <w:rsid w:val="47B40579"/>
    <w:rsid w:val="47EB0505"/>
    <w:rsid w:val="47EF18D4"/>
    <w:rsid w:val="483A4518"/>
    <w:rsid w:val="484A6B90"/>
    <w:rsid w:val="484B13C8"/>
    <w:rsid w:val="48657AC5"/>
    <w:rsid w:val="494502C0"/>
    <w:rsid w:val="49753D38"/>
    <w:rsid w:val="499C1F6A"/>
    <w:rsid w:val="49C864AE"/>
    <w:rsid w:val="49E43AED"/>
    <w:rsid w:val="4A2374BE"/>
    <w:rsid w:val="4A9D48C2"/>
    <w:rsid w:val="4B893AE5"/>
    <w:rsid w:val="4C297194"/>
    <w:rsid w:val="4C7810B2"/>
    <w:rsid w:val="4C9A1776"/>
    <w:rsid w:val="4CEA0599"/>
    <w:rsid w:val="4D4B1FEB"/>
    <w:rsid w:val="4E516B22"/>
    <w:rsid w:val="4E571C5E"/>
    <w:rsid w:val="4F691C49"/>
    <w:rsid w:val="504B134F"/>
    <w:rsid w:val="50B545CE"/>
    <w:rsid w:val="50D37CC2"/>
    <w:rsid w:val="515B2FCF"/>
    <w:rsid w:val="51CB0999"/>
    <w:rsid w:val="52766296"/>
    <w:rsid w:val="52770B21"/>
    <w:rsid w:val="527B23BF"/>
    <w:rsid w:val="528C45CC"/>
    <w:rsid w:val="52E02961"/>
    <w:rsid w:val="537D3F15"/>
    <w:rsid w:val="53BD2563"/>
    <w:rsid w:val="54297BF9"/>
    <w:rsid w:val="54866880"/>
    <w:rsid w:val="54E104D3"/>
    <w:rsid w:val="5569376F"/>
    <w:rsid w:val="55CC0C67"/>
    <w:rsid w:val="55F45FE4"/>
    <w:rsid w:val="563805C7"/>
    <w:rsid w:val="56E16569"/>
    <w:rsid w:val="570B7A8A"/>
    <w:rsid w:val="572B1EDA"/>
    <w:rsid w:val="57623B4D"/>
    <w:rsid w:val="57646B6A"/>
    <w:rsid w:val="57671164"/>
    <w:rsid w:val="58466FCB"/>
    <w:rsid w:val="58931AE5"/>
    <w:rsid w:val="589A0162"/>
    <w:rsid w:val="59350DEE"/>
    <w:rsid w:val="593C3876"/>
    <w:rsid w:val="59613991"/>
    <w:rsid w:val="5A083FCD"/>
    <w:rsid w:val="5B2A2BD4"/>
    <w:rsid w:val="5B5F10DA"/>
    <w:rsid w:val="5B89229B"/>
    <w:rsid w:val="5BC123C2"/>
    <w:rsid w:val="5BE03867"/>
    <w:rsid w:val="5C957920"/>
    <w:rsid w:val="5CB634CA"/>
    <w:rsid w:val="5CC901CB"/>
    <w:rsid w:val="5CEC5C67"/>
    <w:rsid w:val="5D7874FB"/>
    <w:rsid w:val="5D8F71E4"/>
    <w:rsid w:val="5DD61A60"/>
    <w:rsid w:val="5E2E29DB"/>
    <w:rsid w:val="5F38241F"/>
    <w:rsid w:val="5F751F44"/>
    <w:rsid w:val="601E438A"/>
    <w:rsid w:val="6023727D"/>
    <w:rsid w:val="605B738C"/>
    <w:rsid w:val="6062696C"/>
    <w:rsid w:val="60DB0A31"/>
    <w:rsid w:val="61377DF9"/>
    <w:rsid w:val="61F05D57"/>
    <w:rsid w:val="62111285"/>
    <w:rsid w:val="62B114E5"/>
    <w:rsid w:val="62E0626E"/>
    <w:rsid w:val="62E95123"/>
    <w:rsid w:val="632C5010"/>
    <w:rsid w:val="63584057"/>
    <w:rsid w:val="6361112B"/>
    <w:rsid w:val="653603C7"/>
    <w:rsid w:val="658729D1"/>
    <w:rsid w:val="65AA7FA9"/>
    <w:rsid w:val="65D50F87"/>
    <w:rsid w:val="65F12C05"/>
    <w:rsid w:val="665313FE"/>
    <w:rsid w:val="66BA06DA"/>
    <w:rsid w:val="66F74423"/>
    <w:rsid w:val="677156E7"/>
    <w:rsid w:val="67B56FDD"/>
    <w:rsid w:val="67C87E7B"/>
    <w:rsid w:val="67DD1EAC"/>
    <w:rsid w:val="68532558"/>
    <w:rsid w:val="68713792"/>
    <w:rsid w:val="68D82413"/>
    <w:rsid w:val="691B1DAE"/>
    <w:rsid w:val="69382960"/>
    <w:rsid w:val="695848F7"/>
    <w:rsid w:val="69747710"/>
    <w:rsid w:val="6981520C"/>
    <w:rsid w:val="69A17B60"/>
    <w:rsid w:val="69B108F4"/>
    <w:rsid w:val="69B12E3A"/>
    <w:rsid w:val="69D51980"/>
    <w:rsid w:val="6A2353BE"/>
    <w:rsid w:val="6A815C41"/>
    <w:rsid w:val="6AB45290"/>
    <w:rsid w:val="6AD53297"/>
    <w:rsid w:val="6AEA3D57"/>
    <w:rsid w:val="6AF00D78"/>
    <w:rsid w:val="6B6E08BB"/>
    <w:rsid w:val="6BCC2D8C"/>
    <w:rsid w:val="6C184383"/>
    <w:rsid w:val="6C3F7B62"/>
    <w:rsid w:val="6C5D623A"/>
    <w:rsid w:val="6D19068E"/>
    <w:rsid w:val="6D6A3304"/>
    <w:rsid w:val="6DB620A5"/>
    <w:rsid w:val="6DD15131"/>
    <w:rsid w:val="6E113780"/>
    <w:rsid w:val="6EE13152"/>
    <w:rsid w:val="701821FC"/>
    <w:rsid w:val="701904DB"/>
    <w:rsid w:val="701D28B0"/>
    <w:rsid w:val="70D34D1C"/>
    <w:rsid w:val="71323B52"/>
    <w:rsid w:val="71444C42"/>
    <w:rsid w:val="71DA1851"/>
    <w:rsid w:val="71DE606F"/>
    <w:rsid w:val="72186197"/>
    <w:rsid w:val="73AB70CF"/>
    <w:rsid w:val="73D9089C"/>
    <w:rsid w:val="73FC458A"/>
    <w:rsid w:val="746C5BB4"/>
    <w:rsid w:val="751A73BE"/>
    <w:rsid w:val="75774810"/>
    <w:rsid w:val="759241A0"/>
    <w:rsid w:val="75AB44BA"/>
    <w:rsid w:val="75B90985"/>
    <w:rsid w:val="7624098C"/>
    <w:rsid w:val="763A3FE7"/>
    <w:rsid w:val="7679638B"/>
    <w:rsid w:val="76B15B00"/>
    <w:rsid w:val="76DB2A57"/>
    <w:rsid w:val="775724F2"/>
    <w:rsid w:val="77784870"/>
    <w:rsid w:val="77B20381"/>
    <w:rsid w:val="78615304"/>
    <w:rsid w:val="79DC7338"/>
    <w:rsid w:val="7A383EA6"/>
    <w:rsid w:val="7B187E19"/>
    <w:rsid w:val="7B5B68D0"/>
    <w:rsid w:val="7B713AB0"/>
    <w:rsid w:val="7B982657"/>
    <w:rsid w:val="7B9B6419"/>
    <w:rsid w:val="7BAC35DA"/>
    <w:rsid w:val="7C0A35A6"/>
    <w:rsid w:val="7C621688"/>
    <w:rsid w:val="7C6D7546"/>
    <w:rsid w:val="7CE3278B"/>
    <w:rsid w:val="7D9210EB"/>
    <w:rsid w:val="7DBE5814"/>
    <w:rsid w:val="7DC26844"/>
    <w:rsid w:val="7E157BBE"/>
    <w:rsid w:val="7E955D07"/>
    <w:rsid w:val="7E963396"/>
    <w:rsid w:val="7EC24845"/>
    <w:rsid w:val="7F062761"/>
    <w:rsid w:val="7F961D37"/>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6" w:lineRule="auto"/>
      <w:outlineLvl w:val="0"/>
    </w:pPr>
    <w:rPr>
      <w:b/>
      <w:kern w:val="44"/>
    </w:rPr>
  </w:style>
  <w:style w:type="paragraph" w:styleId="4">
    <w:name w:val="heading 2"/>
    <w:basedOn w:val="1"/>
    <w:next w:val="1"/>
    <w:unhideWhenUsed/>
    <w:qFormat/>
    <w:uiPriority w:val="0"/>
    <w:pPr>
      <w:keepNext/>
      <w:keepLines/>
      <w:numPr>
        <w:ilvl w:val="1"/>
        <w:numId w:val="1"/>
      </w:numPr>
      <w:tabs>
        <w:tab w:val="left" w:pos="0"/>
      </w:tabs>
      <w:spacing w:before="260" w:after="260" w:line="360" w:lineRule="auto"/>
      <w:outlineLvl w:val="1"/>
    </w:pPr>
    <w:rPr>
      <w:rFonts w:ascii="Arial" w:hAnsi="Arial" w:cs="Times New Roman"/>
      <w:szCs w:val="2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cs="Calibri"/>
      <w:szCs w:val="21"/>
    </w:rPr>
  </w:style>
  <w:style w:type="paragraph" w:styleId="5">
    <w:name w:val="annotation text"/>
    <w:basedOn w:val="1"/>
    <w:qFormat/>
    <w:uiPriority w:val="0"/>
    <w:pPr>
      <w:jc w:val="left"/>
    </w:pPr>
  </w:style>
  <w:style w:type="paragraph" w:styleId="6">
    <w:name w:val="Body Text Indent"/>
    <w:basedOn w:val="1"/>
    <w:qFormat/>
    <w:uiPriority w:val="0"/>
    <w:pPr>
      <w:snapToGrid w:val="0"/>
      <w:spacing w:before="60" w:after="60" w:line="300" w:lineRule="auto"/>
      <w:ind w:left="540"/>
    </w:pPr>
    <w:rPr>
      <w:rFonts w:ascii="Arial" w:hAnsi="Arial"/>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font41"/>
    <w:basedOn w:val="13"/>
    <w:qFormat/>
    <w:uiPriority w:val="0"/>
    <w:rPr>
      <w:rFonts w:hint="default" w:ascii="Times New Roman" w:hAnsi="Times New Roman" w:cs="Times New Roman"/>
      <w:color w:val="000000"/>
      <w:sz w:val="21"/>
      <w:szCs w:val="21"/>
      <w:u w:val="none"/>
    </w:rPr>
  </w:style>
  <w:style w:type="paragraph" w:customStyle="1" w:styleId="15">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16">
    <w:name w:val="font31"/>
    <w:basedOn w:val="13"/>
    <w:qFormat/>
    <w:uiPriority w:val="0"/>
    <w:rPr>
      <w:rFonts w:ascii="宋体" w:hAnsi="宋体" w:eastAsia="宋体" w:cs="宋体"/>
      <w:color w:val="000000"/>
      <w:sz w:val="28"/>
      <w:szCs w:val="28"/>
      <w:u w:val="none"/>
    </w:rPr>
  </w:style>
  <w:style w:type="character" w:customStyle="1" w:styleId="17">
    <w:name w:val="font11"/>
    <w:basedOn w:val="13"/>
    <w:qFormat/>
    <w:uiPriority w:val="0"/>
    <w:rPr>
      <w:rFonts w:hint="eastAsia" w:ascii="宋体" w:hAnsi="宋体" w:eastAsia="宋体" w:cs="宋体"/>
      <w:color w:val="000000"/>
      <w:sz w:val="28"/>
      <w:szCs w:val="28"/>
      <w:u w:val="none"/>
    </w:r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0">
    <w:name w:val="font21"/>
    <w:basedOn w:val="13"/>
    <w:qFormat/>
    <w:uiPriority w:val="0"/>
    <w:rPr>
      <w:rFonts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7772</Words>
  <Characters>8182</Characters>
  <Lines>74</Lines>
  <Paragraphs>20</Paragraphs>
  <TotalTime>20</TotalTime>
  <ScaleCrop>false</ScaleCrop>
  <LinksUpToDate>false</LinksUpToDate>
  <CharactersWithSpaces>8605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2021-12-30T03:14:00Z</dcterms:created>
  <dc:creator>小石头</dc:creator>
  <cp:lastModifiedBy>燕</cp:lastModifiedBy>
  <dcterms:modified xsi:type="dcterms:W3CDTF">2023-05-12T15:24:44Z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740E4794C96842B99635667DF6677494</vt:lpwstr>
  </property>
</Properties>
</file>