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cs="宋体"/>
          <w:color w:val="auto"/>
          <w:highlight w:val="none"/>
        </w:rPr>
      </w:pPr>
      <w:r>
        <w:rPr>
          <w:rFonts w:hint="eastAsia" w:ascii="宋体" w:hAnsi="宋体" w:cs="宋体"/>
          <w:color w:val="auto"/>
          <w:highlight w:val="none"/>
        </w:rPr>
        <w:t xml:space="preserve"> </w:t>
      </w:r>
    </w:p>
    <w:p>
      <w:pPr>
        <w:rPr>
          <w:rFonts w:ascii="宋体" w:hAnsi="宋体" w:cs="宋体"/>
          <w:color w:val="auto"/>
          <w:highlight w:val="none"/>
        </w:rPr>
      </w:pPr>
    </w:p>
    <w:p>
      <w:pPr>
        <w:spacing w:line="360" w:lineRule="auto"/>
        <w:jc w:val="center"/>
        <w:rPr>
          <w:rFonts w:hint="eastAsia" w:ascii="微软雅黑" w:hAnsi="微软雅黑" w:eastAsia="微软雅黑" w:cs="微软雅黑"/>
          <w:color w:val="auto"/>
          <w:w w:val="105"/>
          <w:kern w:val="0"/>
          <w:sz w:val="44"/>
          <w:szCs w:val="44"/>
          <w:highlight w:val="none"/>
          <w:lang w:eastAsia="zh-CN"/>
        </w:rPr>
      </w:pPr>
      <w:r>
        <w:rPr>
          <w:rFonts w:hint="eastAsia" w:ascii="微软雅黑" w:hAnsi="微软雅黑" w:eastAsia="微软雅黑" w:cs="微软雅黑"/>
          <w:color w:val="auto"/>
          <w:w w:val="105"/>
          <w:kern w:val="0"/>
          <w:sz w:val="44"/>
          <w:szCs w:val="44"/>
          <w:highlight w:val="none"/>
          <w:lang w:eastAsia="zh-CN"/>
        </w:rPr>
        <w:t>治超卸载点土地租赁及运营服务项目</w:t>
      </w:r>
    </w:p>
    <w:p>
      <w:pPr>
        <w:spacing w:line="360" w:lineRule="auto"/>
        <w:jc w:val="center"/>
        <w:rPr>
          <w:rFonts w:hint="eastAsia" w:ascii="微软雅黑" w:hAnsi="Times New Roman" w:eastAsia="微软雅黑" w:cs="Times New Roman"/>
          <w:color w:val="auto"/>
          <w:w w:val="105"/>
          <w:kern w:val="0"/>
          <w:sz w:val="44"/>
          <w:szCs w:val="44"/>
          <w:highlight w:val="none"/>
        </w:rPr>
      </w:pPr>
      <w:r>
        <w:rPr>
          <w:rFonts w:hint="eastAsia" w:ascii="微软雅黑" w:hAnsi="微软雅黑" w:eastAsia="微软雅黑" w:cs="微软雅黑"/>
          <w:color w:val="auto"/>
          <w:w w:val="105"/>
          <w:kern w:val="0"/>
          <w:sz w:val="44"/>
          <w:szCs w:val="44"/>
          <w:highlight w:val="none"/>
        </w:rPr>
        <w:t>绩效评价报告</w:t>
      </w:r>
    </w:p>
    <w:p>
      <w:pPr>
        <w:spacing w:line="360" w:lineRule="exact"/>
        <w:jc w:val="center"/>
        <w:rPr>
          <w:rFonts w:ascii="宋体" w:hAnsi="宋体" w:cs="宋体"/>
          <w:color w:val="auto"/>
          <w:highlight w:val="none"/>
        </w:rPr>
      </w:pPr>
    </w:p>
    <w:p>
      <w:pPr>
        <w:spacing w:line="360" w:lineRule="exact"/>
        <w:jc w:val="center"/>
        <w:rPr>
          <w:rFonts w:ascii="宋体" w:hAnsi="宋体" w:cs="宋体"/>
          <w:color w:val="auto"/>
          <w:highlight w:val="none"/>
        </w:rPr>
      </w:pPr>
    </w:p>
    <w:p>
      <w:pPr>
        <w:rPr>
          <w:rFonts w:ascii="宋体" w:hAnsi="宋体" w:cs="宋体"/>
          <w:color w:val="auto"/>
          <w:sz w:val="32"/>
          <w:szCs w:val="32"/>
          <w:highlight w:val="none"/>
        </w:rPr>
      </w:pPr>
    </w:p>
    <w:p>
      <w:pPr>
        <w:spacing w:line="800" w:lineRule="exact"/>
        <w:rPr>
          <w:rFonts w:ascii="宋体" w:hAnsi="宋体" w:cs="宋体"/>
          <w:color w:val="auto"/>
          <w:sz w:val="32"/>
          <w:szCs w:val="32"/>
          <w:highlight w:val="none"/>
        </w:rPr>
      </w:pPr>
    </w:p>
    <w:p>
      <w:pPr>
        <w:spacing w:line="800" w:lineRule="exact"/>
        <w:ind w:left="2320" w:leftChars="300" w:hanging="1600" w:hangingChars="500"/>
        <w:jc w:val="left"/>
        <w:rPr>
          <w:rFonts w:hint="eastAsia" w:ascii="宋体" w:hAnsi="宋体" w:eastAsia="宋体" w:cs="宋体"/>
          <w:color w:val="auto"/>
          <w:highlight w:val="none"/>
          <w:u w:val="single"/>
          <w:lang w:eastAsia="zh-CN"/>
        </w:rPr>
      </w:pPr>
      <w:r>
        <w:rPr>
          <w:rFonts w:hint="eastAsia" w:ascii="仿宋_GB2312" w:hAnsi="宋体" w:eastAsia="仿宋_GB2312" w:cs="宋体"/>
          <w:color w:val="auto"/>
          <w:sz w:val="32"/>
          <w:highlight w:val="none"/>
        </w:rPr>
        <w:t>项目名称</w:t>
      </w:r>
      <w:r>
        <w:rPr>
          <w:rFonts w:hint="eastAsia" w:ascii="宋体" w:hAnsi="宋体" w:cs="宋体"/>
          <w:color w:val="auto"/>
          <w:highlight w:val="none"/>
        </w:rPr>
        <w:t xml:space="preserve"> </w:t>
      </w:r>
      <w:r>
        <w:rPr>
          <w:rFonts w:hint="eastAsia" w:ascii="仿宋_GB2312" w:hAnsi="宋体" w:eastAsia="仿宋_GB2312" w:cs="宋体"/>
          <w:color w:val="auto"/>
          <w:sz w:val="32"/>
          <w:highlight w:val="none"/>
          <w:u w:val="single"/>
          <w:lang w:eastAsia="zh-CN"/>
        </w:rPr>
        <w:t>北辰区治超卸载点土地租赁及运营服务项目</w:t>
      </w:r>
    </w:p>
    <w:p>
      <w:pPr>
        <w:spacing w:line="800" w:lineRule="exact"/>
        <w:ind w:leftChars="300"/>
        <w:jc w:val="left"/>
        <w:rPr>
          <w:rFonts w:ascii="宋体" w:hAnsi="宋体" w:cs="宋体"/>
          <w:color w:val="auto"/>
          <w:highlight w:val="none"/>
          <w:u w:val="single"/>
        </w:rPr>
      </w:pPr>
      <w:r>
        <w:rPr>
          <w:rFonts w:hint="eastAsia" w:ascii="仿宋_GB2312" w:hAnsi="宋体" w:eastAsia="仿宋_GB2312" w:cs="宋体"/>
          <w:color w:val="auto"/>
          <w:sz w:val="32"/>
          <w:highlight w:val="none"/>
        </w:rPr>
        <w:t>项目单位</w:t>
      </w:r>
      <w:r>
        <w:rPr>
          <w:rFonts w:hint="eastAsia" w:ascii="宋体" w:hAnsi="宋体" w:cs="宋体"/>
          <w:color w:val="auto"/>
          <w:highlight w:val="none"/>
        </w:rPr>
        <w:t xml:space="preserve"> </w:t>
      </w:r>
      <w:r>
        <w:rPr>
          <w:rFonts w:hint="eastAsia" w:ascii="仿宋_GB2312" w:hAnsi="宋体" w:eastAsia="仿宋_GB2312" w:cs="宋体"/>
          <w:color w:val="auto"/>
          <w:sz w:val="32"/>
          <w:highlight w:val="none"/>
          <w:u w:val="single"/>
          <w:lang w:eastAsia="zh-CN"/>
        </w:rPr>
        <w:t>天津市北辰区交通运输管理局</w:t>
      </w:r>
      <w:r>
        <w:rPr>
          <w:rFonts w:hint="eastAsia" w:ascii="仿宋_GB2312" w:hAnsi="宋体" w:eastAsia="仿宋_GB2312" w:cs="宋体"/>
          <w:color w:val="auto"/>
          <w:sz w:val="32"/>
          <w:highlight w:val="none"/>
          <w:u w:val="single"/>
        </w:rPr>
        <w:t xml:space="preserve"> </w:t>
      </w:r>
      <w:r>
        <w:rPr>
          <w:rFonts w:hint="eastAsia" w:ascii="宋体" w:hAnsi="宋体" w:cs="宋体"/>
          <w:color w:val="auto"/>
          <w:highlight w:val="none"/>
          <w:u w:val="single"/>
        </w:rPr>
        <w:t xml:space="preserve">  </w:t>
      </w:r>
    </w:p>
    <w:p>
      <w:pPr>
        <w:spacing w:line="800" w:lineRule="exact"/>
        <w:ind w:firstLine="1920" w:firstLineChars="800"/>
        <w:jc w:val="left"/>
        <w:rPr>
          <w:rFonts w:ascii="宋体" w:hAnsi="宋体" w:cs="宋体"/>
          <w:color w:val="auto"/>
          <w:highlight w:val="none"/>
          <w:u w:val="single"/>
        </w:rPr>
      </w:pPr>
    </w:p>
    <w:p>
      <w:pPr>
        <w:spacing w:line="348" w:lineRule="auto"/>
        <w:jc w:val="center"/>
        <w:rPr>
          <w:rFonts w:ascii="宋体" w:hAnsi="宋体" w:cs="宋体"/>
          <w:color w:val="auto"/>
          <w:highlight w:val="none"/>
        </w:rPr>
      </w:pPr>
    </w:p>
    <w:p>
      <w:pPr>
        <w:spacing w:line="348" w:lineRule="auto"/>
        <w:jc w:val="center"/>
        <w:rPr>
          <w:rFonts w:ascii="宋体" w:hAnsi="宋体" w:cs="宋体"/>
          <w:color w:val="auto"/>
          <w:highlight w:val="none"/>
        </w:rPr>
      </w:pPr>
    </w:p>
    <w:p>
      <w:pPr>
        <w:spacing w:line="348" w:lineRule="auto"/>
        <w:jc w:val="center"/>
        <w:rPr>
          <w:rFonts w:ascii="宋体" w:hAnsi="宋体" w:cs="宋体"/>
          <w:color w:val="auto"/>
          <w:highlight w:val="none"/>
        </w:rPr>
      </w:pPr>
    </w:p>
    <w:p>
      <w:pPr>
        <w:spacing w:line="348" w:lineRule="auto"/>
        <w:jc w:val="center"/>
        <w:rPr>
          <w:rFonts w:ascii="宋体" w:hAnsi="宋体" w:cs="宋体"/>
          <w:color w:val="auto"/>
          <w:highlight w:val="none"/>
        </w:rPr>
      </w:pPr>
    </w:p>
    <w:p>
      <w:pPr>
        <w:spacing w:line="348" w:lineRule="auto"/>
        <w:jc w:val="center"/>
        <w:rPr>
          <w:rFonts w:ascii="宋体" w:hAnsi="宋体" w:cs="宋体"/>
          <w:color w:val="auto"/>
          <w:highlight w:val="none"/>
        </w:rPr>
      </w:pPr>
    </w:p>
    <w:p>
      <w:pPr>
        <w:spacing w:line="348" w:lineRule="auto"/>
        <w:jc w:val="center"/>
        <w:rPr>
          <w:rFonts w:ascii="宋体" w:hAnsi="宋体" w:cs="宋体"/>
          <w:color w:val="auto"/>
          <w:highlight w:val="none"/>
        </w:rPr>
      </w:pPr>
    </w:p>
    <w:p>
      <w:pPr>
        <w:spacing w:line="348" w:lineRule="auto"/>
        <w:jc w:val="center"/>
        <w:rPr>
          <w:rFonts w:ascii="宋体" w:hAnsi="宋体" w:cs="宋体"/>
          <w:color w:val="auto"/>
          <w:highlight w:val="none"/>
        </w:rPr>
      </w:pPr>
      <w:r>
        <w:rPr>
          <w:rFonts w:hint="eastAsia" w:ascii="仿宋_GB2312" w:hAnsi="宋体" w:eastAsia="仿宋_GB2312" w:cs="宋体"/>
          <w:color w:val="auto"/>
          <w:sz w:val="32"/>
          <w:highlight w:val="none"/>
        </w:rPr>
        <w:t>天津广信有限责任会计师事务所</w:t>
      </w:r>
    </w:p>
    <w:p>
      <w:pPr>
        <w:spacing w:line="348" w:lineRule="auto"/>
        <w:jc w:val="center"/>
        <w:rPr>
          <w:rFonts w:ascii="宋体" w:hAnsi="宋体" w:cs="宋体"/>
          <w:color w:val="auto"/>
          <w:highlight w:val="none"/>
        </w:rPr>
      </w:pPr>
    </w:p>
    <w:p>
      <w:pPr>
        <w:spacing w:line="348" w:lineRule="auto"/>
        <w:jc w:val="center"/>
        <w:rPr>
          <w:rFonts w:ascii="宋体" w:hAnsi="宋体" w:cs="宋体"/>
          <w:color w:val="auto"/>
          <w:highlight w:val="none"/>
        </w:rPr>
      </w:pPr>
      <w:r>
        <w:rPr>
          <w:rFonts w:hint="eastAsia" w:ascii="仿宋_GB2312" w:hAnsi="宋体" w:eastAsia="仿宋_GB2312" w:cs="宋体"/>
          <w:color w:val="auto"/>
          <w:sz w:val="32"/>
          <w:highlight w:val="none"/>
        </w:rPr>
        <w:t>202</w:t>
      </w:r>
      <w:r>
        <w:rPr>
          <w:rFonts w:hint="eastAsia" w:ascii="仿宋_GB2312" w:hAnsi="宋体" w:eastAsia="仿宋_GB2312" w:cs="宋体"/>
          <w:color w:val="auto"/>
          <w:sz w:val="32"/>
          <w:highlight w:val="none"/>
          <w:lang w:val="en-US" w:eastAsia="zh-CN"/>
        </w:rPr>
        <w:t>2</w:t>
      </w:r>
      <w:r>
        <w:rPr>
          <w:rFonts w:hint="eastAsia" w:ascii="仿宋_GB2312" w:hAnsi="宋体" w:eastAsia="仿宋_GB2312" w:cs="宋体"/>
          <w:color w:val="auto"/>
          <w:sz w:val="32"/>
          <w:highlight w:val="none"/>
        </w:rPr>
        <w:t>年1</w:t>
      </w:r>
      <w:r>
        <w:rPr>
          <w:rFonts w:hint="eastAsia" w:ascii="仿宋_GB2312" w:hAnsi="宋体" w:eastAsia="仿宋_GB2312" w:cs="宋体"/>
          <w:color w:val="auto"/>
          <w:sz w:val="32"/>
          <w:highlight w:val="none"/>
          <w:lang w:val="en-US" w:eastAsia="zh-CN"/>
        </w:rPr>
        <w:t>2</w:t>
      </w:r>
      <w:r>
        <w:rPr>
          <w:rFonts w:hint="eastAsia" w:ascii="仿宋_GB2312" w:hAnsi="宋体" w:eastAsia="仿宋_GB2312" w:cs="宋体"/>
          <w:color w:val="auto"/>
          <w:sz w:val="32"/>
          <w:highlight w:val="none"/>
        </w:rPr>
        <w:t>月</w:t>
      </w:r>
      <w:r>
        <w:rPr>
          <w:rFonts w:hint="eastAsia" w:ascii="仿宋_GB2312" w:hAnsi="宋体" w:eastAsia="仿宋_GB2312" w:cs="宋体"/>
          <w:color w:val="auto"/>
          <w:sz w:val="32"/>
          <w:highlight w:val="none"/>
          <w:lang w:val="en-US" w:eastAsia="zh-CN"/>
        </w:rPr>
        <w:t>2</w:t>
      </w:r>
      <w:r>
        <w:rPr>
          <w:rFonts w:hint="eastAsia" w:ascii="仿宋_GB2312" w:hAnsi="宋体" w:eastAsia="仿宋_GB2312" w:cs="宋体"/>
          <w:color w:val="auto"/>
          <w:sz w:val="32"/>
          <w:highlight w:val="none"/>
        </w:rPr>
        <w:t>日</w:t>
      </w:r>
    </w:p>
    <w:p>
      <w:pPr>
        <w:jc w:val="center"/>
        <w:rPr>
          <w:rFonts w:ascii="宋体" w:hAnsi="宋体" w:cs="宋体"/>
          <w:color w:val="auto"/>
          <w:sz w:val="21"/>
          <w:highlight w:val="none"/>
        </w:rPr>
        <w:sectPr>
          <w:pgSz w:w="11906" w:h="16838"/>
          <w:pgMar w:top="1440" w:right="1800" w:bottom="1440" w:left="1800" w:header="851" w:footer="992" w:gutter="0"/>
          <w:cols w:space="425" w:num="1"/>
          <w:docGrid w:type="lines" w:linePitch="312" w:charSpace="0"/>
        </w:sectPr>
      </w:pPr>
    </w:p>
    <w:sdt>
      <w:sdtPr>
        <w:rPr>
          <w:rFonts w:ascii="宋体" w:hAnsi="宋体"/>
          <w:color w:val="auto"/>
          <w:sz w:val="21"/>
          <w:highlight w:val="none"/>
        </w:rPr>
        <w:id w:val="147481590"/>
        <w15:color w:val="DBDBDB"/>
        <w:docPartObj>
          <w:docPartGallery w:val="Table of Contents"/>
          <w:docPartUnique/>
        </w:docPartObj>
      </w:sdtPr>
      <w:sdtEndPr>
        <w:rPr>
          <w:rFonts w:hint="eastAsia" w:ascii="仿宋" w:hAnsi="仿宋" w:eastAsia="仿宋" w:cs="仿宋"/>
          <w:b/>
          <w:color w:val="auto"/>
          <w:sz w:val="32"/>
          <w:szCs w:val="32"/>
          <w:highlight w:val="none"/>
        </w:rPr>
      </w:sdtEndPr>
      <w:sdtContent>
        <w:p>
          <w:pPr>
            <w:jc w:val="center"/>
            <w:rPr>
              <w:rFonts w:hint="eastAsia" w:ascii="黑体" w:hAnsi="黑体" w:eastAsia="黑体" w:cs="黑体"/>
              <w:b w:val="0"/>
              <w:bCs w:val="0"/>
              <w:color w:val="auto"/>
              <w:sz w:val="32"/>
              <w:szCs w:val="32"/>
              <w:highlight w:val="none"/>
            </w:rPr>
          </w:pPr>
          <w:r>
            <w:rPr>
              <w:rFonts w:hint="eastAsia" w:ascii="黑体" w:hAnsi="黑体" w:eastAsia="黑体" w:cs="黑体"/>
              <w:b w:val="0"/>
              <w:bCs w:val="0"/>
              <w:color w:val="auto"/>
              <w:sz w:val="32"/>
              <w:szCs w:val="32"/>
              <w:highlight w:val="none"/>
            </w:rPr>
            <w:t>目</w:t>
          </w:r>
          <w:r>
            <w:rPr>
              <w:rFonts w:hint="eastAsia" w:ascii="黑体" w:hAnsi="黑体" w:eastAsia="黑体" w:cs="黑体"/>
              <w:b w:val="0"/>
              <w:bCs w:val="0"/>
              <w:color w:val="auto"/>
              <w:sz w:val="32"/>
              <w:szCs w:val="32"/>
              <w:highlight w:val="none"/>
              <w:lang w:val="en-US" w:eastAsia="zh-CN"/>
            </w:rPr>
            <w:t xml:space="preserve">  </w:t>
          </w:r>
          <w:r>
            <w:rPr>
              <w:rFonts w:hint="eastAsia" w:ascii="黑体" w:hAnsi="黑体" w:eastAsia="黑体" w:cs="黑体"/>
              <w:b w:val="0"/>
              <w:bCs w:val="0"/>
              <w:color w:val="auto"/>
              <w:sz w:val="32"/>
              <w:szCs w:val="32"/>
              <w:highlight w:val="none"/>
            </w:rPr>
            <w:t>录</w:t>
          </w:r>
        </w:p>
        <w:p>
          <w:pPr>
            <w:pStyle w:val="9"/>
            <w:tabs>
              <w:tab w:val="right" w:leader="dot" w:pos="8306"/>
            </w:tabs>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fldChar w:fldCharType="begin"/>
          </w:r>
          <w:r>
            <w:rPr>
              <w:rFonts w:hint="eastAsia" w:ascii="仿宋" w:hAnsi="仿宋" w:eastAsia="仿宋" w:cs="仿宋"/>
              <w:color w:val="auto"/>
              <w:sz w:val="32"/>
              <w:szCs w:val="32"/>
              <w:highlight w:val="none"/>
            </w:rPr>
            <w:instrText xml:space="preserve">TOC \o "1-2" \h \u </w:instrText>
          </w:r>
          <w:r>
            <w:rPr>
              <w:rFonts w:hint="eastAsia" w:ascii="仿宋" w:hAnsi="仿宋" w:eastAsia="仿宋" w:cs="仿宋"/>
              <w:color w:val="auto"/>
              <w:sz w:val="32"/>
              <w:szCs w:val="32"/>
              <w:highlight w:val="none"/>
            </w:rPr>
            <w:fldChar w:fldCharType="separate"/>
          </w:r>
          <w:r>
            <w:rPr>
              <w:rFonts w:hint="eastAsia" w:ascii="仿宋" w:hAnsi="仿宋" w:eastAsia="仿宋" w:cs="仿宋"/>
              <w:color w:val="auto"/>
              <w:sz w:val="32"/>
              <w:szCs w:val="32"/>
              <w:highlight w:val="none"/>
            </w:rPr>
            <w:fldChar w:fldCharType="begin"/>
          </w:r>
          <w:r>
            <w:rPr>
              <w:rFonts w:hint="eastAsia" w:ascii="仿宋" w:hAnsi="仿宋" w:eastAsia="仿宋" w:cs="仿宋"/>
              <w:color w:val="auto"/>
              <w:sz w:val="32"/>
              <w:szCs w:val="32"/>
              <w:highlight w:val="none"/>
            </w:rPr>
            <w:instrText xml:space="preserve"> HYPERLINK \l _Toc29689 </w:instrText>
          </w:r>
          <w:r>
            <w:rPr>
              <w:rFonts w:hint="eastAsia" w:ascii="仿宋" w:hAnsi="仿宋" w:eastAsia="仿宋" w:cs="仿宋"/>
              <w:color w:val="auto"/>
              <w:sz w:val="32"/>
              <w:szCs w:val="32"/>
              <w:highlight w:val="none"/>
            </w:rPr>
            <w:fldChar w:fldCharType="separate"/>
          </w:r>
          <w:r>
            <w:rPr>
              <w:rFonts w:hint="eastAsia" w:ascii="仿宋" w:hAnsi="仿宋" w:eastAsia="仿宋" w:cs="仿宋"/>
              <w:bCs/>
              <w:color w:val="auto"/>
              <w:sz w:val="32"/>
              <w:szCs w:val="32"/>
              <w:highlight w:val="none"/>
            </w:rPr>
            <w:t>一、 基本</w:t>
          </w:r>
          <w:r>
            <w:rPr>
              <w:rFonts w:hint="eastAsia" w:ascii="仿宋" w:hAnsi="仿宋" w:eastAsia="仿宋" w:cs="仿宋"/>
              <w:bCs/>
              <w:color w:val="auto"/>
              <w:sz w:val="32"/>
              <w:szCs w:val="32"/>
              <w:highlight w:val="none"/>
              <w:lang w:val="en-US" w:eastAsia="zh-CN"/>
            </w:rPr>
            <w:t>情况</w:t>
          </w:r>
          <w:r>
            <w:rPr>
              <w:rFonts w:hint="eastAsia" w:ascii="仿宋" w:hAnsi="仿宋" w:eastAsia="仿宋" w:cs="仿宋"/>
              <w:color w:val="auto"/>
              <w:sz w:val="32"/>
              <w:szCs w:val="32"/>
              <w:highlight w:val="none"/>
            </w:rPr>
            <w:tab/>
          </w:r>
          <w:r>
            <w:rPr>
              <w:rFonts w:hint="eastAsia" w:ascii="仿宋" w:hAnsi="仿宋" w:eastAsia="仿宋" w:cs="仿宋"/>
              <w:color w:val="auto"/>
              <w:sz w:val="32"/>
              <w:szCs w:val="32"/>
              <w:highlight w:val="none"/>
            </w:rPr>
            <w:fldChar w:fldCharType="begin"/>
          </w:r>
          <w:r>
            <w:rPr>
              <w:rFonts w:hint="eastAsia" w:ascii="仿宋" w:hAnsi="仿宋" w:eastAsia="仿宋" w:cs="仿宋"/>
              <w:color w:val="auto"/>
              <w:sz w:val="32"/>
              <w:szCs w:val="32"/>
              <w:highlight w:val="none"/>
            </w:rPr>
            <w:instrText xml:space="preserve"> PAGEREF _Toc29689 \h </w:instrText>
          </w:r>
          <w:r>
            <w:rPr>
              <w:rFonts w:hint="eastAsia" w:ascii="仿宋" w:hAnsi="仿宋" w:eastAsia="仿宋" w:cs="仿宋"/>
              <w:color w:val="auto"/>
              <w:sz w:val="32"/>
              <w:szCs w:val="32"/>
              <w:highlight w:val="none"/>
            </w:rPr>
            <w:fldChar w:fldCharType="separate"/>
          </w:r>
          <w:r>
            <w:rPr>
              <w:rFonts w:hint="eastAsia" w:ascii="仿宋" w:hAnsi="仿宋" w:eastAsia="仿宋" w:cs="仿宋"/>
              <w:color w:val="auto"/>
              <w:sz w:val="32"/>
              <w:szCs w:val="32"/>
              <w:highlight w:val="none"/>
            </w:rPr>
            <w:t>3</w:t>
          </w:r>
          <w:r>
            <w:rPr>
              <w:rFonts w:hint="eastAsia" w:ascii="仿宋" w:hAnsi="仿宋" w:eastAsia="仿宋" w:cs="仿宋"/>
              <w:color w:val="auto"/>
              <w:sz w:val="32"/>
              <w:szCs w:val="32"/>
              <w:highlight w:val="none"/>
            </w:rPr>
            <w:fldChar w:fldCharType="end"/>
          </w:r>
          <w:r>
            <w:rPr>
              <w:rFonts w:hint="eastAsia" w:ascii="仿宋" w:hAnsi="仿宋" w:eastAsia="仿宋" w:cs="仿宋"/>
              <w:color w:val="auto"/>
              <w:sz w:val="32"/>
              <w:szCs w:val="32"/>
              <w:highlight w:val="none"/>
            </w:rPr>
            <w:fldChar w:fldCharType="end"/>
          </w:r>
        </w:p>
        <w:p>
          <w:pPr>
            <w:pStyle w:val="10"/>
            <w:tabs>
              <w:tab w:val="right" w:leader="dot" w:pos="8306"/>
            </w:tabs>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fldChar w:fldCharType="begin"/>
          </w:r>
          <w:r>
            <w:rPr>
              <w:rFonts w:hint="eastAsia" w:ascii="仿宋" w:hAnsi="仿宋" w:eastAsia="仿宋" w:cs="仿宋"/>
              <w:color w:val="auto"/>
              <w:sz w:val="32"/>
              <w:szCs w:val="32"/>
              <w:highlight w:val="none"/>
            </w:rPr>
            <w:instrText xml:space="preserve"> HYPERLINK \l _Toc31010 </w:instrText>
          </w:r>
          <w:r>
            <w:rPr>
              <w:rFonts w:hint="eastAsia" w:ascii="仿宋" w:hAnsi="仿宋" w:eastAsia="仿宋" w:cs="仿宋"/>
              <w:color w:val="auto"/>
              <w:sz w:val="32"/>
              <w:szCs w:val="32"/>
              <w:highlight w:val="none"/>
            </w:rPr>
            <w:fldChar w:fldCharType="separate"/>
          </w:r>
          <w:r>
            <w:rPr>
              <w:rFonts w:hint="eastAsia" w:ascii="仿宋" w:hAnsi="仿宋" w:eastAsia="仿宋" w:cs="仿宋"/>
              <w:color w:val="auto"/>
              <w:kern w:val="2"/>
              <w:sz w:val="32"/>
              <w:szCs w:val="32"/>
              <w:highlight w:val="none"/>
              <w:lang w:val="en-US" w:eastAsia="zh-CN" w:bidi="ar-SA"/>
            </w:rPr>
            <w:t>（一） 项目概况</w:t>
          </w:r>
          <w:r>
            <w:rPr>
              <w:rFonts w:hint="eastAsia" w:ascii="仿宋" w:hAnsi="仿宋" w:eastAsia="仿宋" w:cs="仿宋"/>
              <w:color w:val="auto"/>
              <w:sz w:val="32"/>
              <w:szCs w:val="32"/>
              <w:highlight w:val="none"/>
            </w:rPr>
            <w:tab/>
          </w:r>
          <w:r>
            <w:rPr>
              <w:rFonts w:hint="eastAsia" w:ascii="仿宋" w:hAnsi="仿宋" w:eastAsia="仿宋" w:cs="仿宋"/>
              <w:color w:val="auto"/>
              <w:sz w:val="32"/>
              <w:szCs w:val="32"/>
              <w:highlight w:val="none"/>
            </w:rPr>
            <w:fldChar w:fldCharType="begin"/>
          </w:r>
          <w:r>
            <w:rPr>
              <w:rFonts w:hint="eastAsia" w:ascii="仿宋" w:hAnsi="仿宋" w:eastAsia="仿宋" w:cs="仿宋"/>
              <w:color w:val="auto"/>
              <w:sz w:val="32"/>
              <w:szCs w:val="32"/>
              <w:highlight w:val="none"/>
            </w:rPr>
            <w:instrText xml:space="preserve"> PAGEREF _Toc31010 \h </w:instrText>
          </w:r>
          <w:r>
            <w:rPr>
              <w:rFonts w:hint="eastAsia" w:ascii="仿宋" w:hAnsi="仿宋" w:eastAsia="仿宋" w:cs="仿宋"/>
              <w:color w:val="auto"/>
              <w:sz w:val="32"/>
              <w:szCs w:val="32"/>
              <w:highlight w:val="none"/>
            </w:rPr>
            <w:fldChar w:fldCharType="separate"/>
          </w:r>
          <w:r>
            <w:rPr>
              <w:rFonts w:hint="eastAsia" w:ascii="仿宋" w:hAnsi="仿宋" w:eastAsia="仿宋" w:cs="仿宋"/>
              <w:color w:val="auto"/>
              <w:sz w:val="32"/>
              <w:szCs w:val="32"/>
              <w:highlight w:val="none"/>
            </w:rPr>
            <w:t>3</w:t>
          </w:r>
          <w:r>
            <w:rPr>
              <w:rFonts w:hint="eastAsia" w:ascii="仿宋" w:hAnsi="仿宋" w:eastAsia="仿宋" w:cs="仿宋"/>
              <w:color w:val="auto"/>
              <w:sz w:val="32"/>
              <w:szCs w:val="32"/>
              <w:highlight w:val="none"/>
            </w:rPr>
            <w:fldChar w:fldCharType="end"/>
          </w:r>
          <w:r>
            <w:rPr>
              <w:rFonts w:hint="eastAsia" w:ascii="仿宋" w:hAnsi="仿宋" w:eastAsia="仿宋" w:cs="仿宋"/>
              <w:color w:val="auto"/>
              <w:sz w:val="32"/>
              <w:szCs w:val="32"/>
              <w:highlight w:val="none"/>
            </w:rPr>
            <w:fldChar w:fldCharType="end"/>
          </w:r>
        </w:p>
        <w:p>
          <w:pPr>
            <w:pStyle w:val="10"/>
            <w:tabs>
              <w:tab w:val="right" w:leader="dot" w:pos="8306"/>
            </w:tabs>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fldChar w:fldCharType="begin"/>
          </w:r>
          <w:r>
            <w:rPr>
              <w:rFonts w:hint="eastAsia" w:ascii="仿宋" w:hAnsi="仿宋" w:eastAsia="仿宋" w:cs="仿宋"/>
              <w:color w:val="auto"/>
              <w:sz w:val="32"/>
              <w:szCs w:val="32"/>
              <w:highlight w:val="none"/>
            </w:rPr>
            <w:instrText xml:space="preserve"> HYPERLINK \l _Toc28329 </w:instrText>
          </w:r>
          <w:r>
            <w:rPr>
              <w:rFonts w:hint="eastAsia" w:ascii="仿宋" w:hAnsi="仿宋" w:eastAsia="仿宋" w:cs="仿宋"/>
              <w:color w:val="auto"/>
              <w:sz w:val="32"/>
              <w:szCs w:val="32"/>
              <w:highlight w:val="none"/>
            </w:rPr>
            <w:fldChar w:fldCharType="separate"/>
          </w:r>
          <w:r>
            <w:rPr>
              <w:rFonts w:hint="eastAsia" w:ascii="仿宋" w:hAnsi="仿宋" w:eastAsia="仿宋" w:cs="仿宋"/>
              <w:color w:val="auto"/>
              <w:kern w:val="2"/>
              <w:sz w:val="32"/>
              <w:szCs w:val="32"/>
              <w:highlight w:val="none"/>
              <w:lang w:val="en-US" w:eastAsia="zh-CN" w:bidi="ar-SA"/>
            </w:rPr>
            <w:t>（二） 项目绩效目标</w:t>
          </w:r>
          <w:r>
            <w:rPr>
              <w:rFonts w:hint="eastAsia" w:ascii="仿宋" w:hAnsi="仿宋" w:eastAsia="仿宋" w:cs="仿宋"/>
              <w:color w:val="auto"/>
              <w:sz w:val="32"/>
              <w:szCs w:val="32"/>
              <w:highlight w:val="none"/>
            </w:rPr>
            <w:tab/>
          </w:r>
          <w:r>
            <w:rPr>
              <w:rFonts w:hint="eastAsia" w:ascii="仿宋" w:hAnsi="仿宋" w:eastAsia="仿宋" w:cs="仿宋"/>
              <w:color w:val="auto"/>
              <w:sz w:val="32"/>
              <w:szCs w:val="32"/>
              <w:highlight w:val="none"/>
            </w:rPr>
            <w:fldChar w:fldCharType="begin"/>
          </w:r>
          <w:r>
            <w:rPr>
              <w:rFonts w:hint="eastAsia" w:ascii="仿宋" w:hAnsi="仿宋" w:eastAsia="仿宋" w:cs="仿宋"/>
              <w:color w:val="auto"/>
              <w:sz w:val="32"/>
              <w:szCs w:val="32"/>
              <w:highlight w:val="none"/>
            </w:rPr>
            <w:instrText xml:space="preserve"> PAGEREF _Toc28329 \h </w:instrText>
          </w:r>
          <w:r>
            <w:rPr>
              <w:rFonts w:hint="eastAsia" w:ascii="仿宋" w:hAnsi="仿宋" w:eastAsia="仿宋" w:cs="仿宋"/>
              <w:color w:val="auto"/>
              <w:sz w:val="32"/>
              <w:szCs w:val="32"/>
              <w:highlight w:val="none"/>
            </w:rPr>
            <w:fldChar w:fldCharType="separate"/>
          </w:r>
          <w:r>
            <w:rPr>
              <w:rFonts w:hint="eastAsia" w:ascii="仿宋" w:hAnsi="仿宋" w:eastAsia="仿宋" w:cs="仿宋"/>
              <w:color w:val="auto"/>
              <w:sz w:val="32"/>
              <w:szCs w:val="32"/>
              <w:highlight w:val="none"/>
            </w:rPr>
            <w:t>4</w:t>
          </w:r>
          <w:r>
            <w:rPr>
              <w:rFonts w:hint="eastAsia" w:ascii="仿宋" w:hAnsi="仿宋" w:eastAsia="仿宋" w:cs="仿宋"/>
              <w:color w:val="auto"/>
              <w:sz w:val="32"/>
              <w:szCs w:val="32"/>
              <w:highlight w:val="none"/>
            </w:rPr>
            <w:fldChar w:fldCharType="end"/>
          </w:r>
          <w:r>
            <w:rPr>
              <w:rFonts w:hint="eastAsia" w:ascii="仿宋" w:hAnsi="仿宋" w:eastAsia="仿宋" w:cs="仿宋"/>
              <w:color w:val="auto"/>
              <w:sz w:val="32"/>
              <w:szCs w:val="32"/>
              <w:highlight w:val="none"/>
            </w:rPr>
            <w:fldChar w:fldCharType="end"/>
          </w:r>
        </w:p>
        <w:p>
          <w:pPr>
            <w:pStyle w:val="9"/>
            <w:tabs>
              <w:tab w:val="right" w:leader="dot" w:pos="8306"/>
            </w:tabs>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fldChar w:fldCharType="begin"/>
          </w:r>
          <w:r>
            <w:rPr>
              <w:rFonts w:hint="eastAsia" w:ascii="仿宋" w:hAnsi="仿宋" w:eastAsia="仿宋" w:cs="仿宋"/>
              <w:color w:val="auto"/>
              <w:sz w:val="32"/>
              <w:szCs w:val="32"/>
              <w:highlight w:val="none"/>
            </w:rPr>
            <w:instrText xml:space="preserve"> HYPERLINK \l _Toc16510 </w:instrText>
          </w:r>
          <w:r>
            <w:rPr>
              <w:rFonts w:hint="eastAsia" w:ascii="仿宋" w:hAnsi="仿宋" w:eastAsia="仿宋" w:cs="仿宋"/>
              <w:color w:val="auto"/>
              <w:sz w:val="32"/>
              <w:szCs w:val="32"/>
              <w:highlight w:val="none"/>
            </w:rPr>
            <w:fldChar w:fldCharType="separate"/>
          </w:r>
          <w:r>
            <w:rPr>
              <w:rFonts w:hint="eastAsia" w:ascii="仿宋" w:hAnsi="仿宋" w:eastAsia="仿宋" w:cs="仿宋"/>
              <w:bCs/>
              <w:color w:val="auto"/>
              <w:sz w:val="32"/>
              <w:szCs w:val="32"/>
              <w:highlight w:val="none"/>
            </w:rPr>
            <w:t>二、 绩效评价</w:t>
          </w:r>
          <w:r>
            <w:rPr>
              <w:rFonts w:hint="eastAsia" w:ascii="仿宋" w:hAnsi="仿宋" w:eastAsia="仿宋" w:cs="仿宋"/>
              <w:bCs/>
              <w:color w:val="auto"/>
              <w:sz w:val="32"/>
              <w:szCs w:val="32"/>
              <w:highlight w:val="none"/>
              <w:lang w:val="en-US" w:eastAsia="zh-CN"/>
            </w:rPr>
            <w:t>工作开展</w:t>
          </w:r>
          <w:r>
            <w:rPr>
              <w:rFonts w:hint="eastAsia" w:ascii="仿宋" w:hAnsi="仿宋" w:eastAsia="仿宋" w:cs="仿宋"/>
              <w:bCs/>
              <w:color w:val="auto"/>
              <w:sz w:val="32"/>
              <w:szCs w:val="32"/>
              <w:highlight w:val="none"/>
            </w:rPr>
            <w:t>情况</w:t>
          </w:r>
          <w:r>
            <w:rPr>
              <w:rFonts w:hint="eastAsia" w:ascii="仿宋" w:hAnsi="仿宋" w:eastAsia="仿宋" w:cs="仿宋"/>
              <w:color w:val="auto"/>
              <w:sz w:val="32"/>
              <w:szCs w:val="32"/>
              <w:highlight w:val="none"/>
            </w:rPr>
            <w:tab/>
          </w:r>
          <w:r>
            <w:rPr>
              <w:rFonts w:hint="eastAsia" w:ascii="仿宋" w:hAnsi="仿宋" w:eastAsia="仿宋" w:cs="仿宋"/>
              <w:color w:val="auto"/>
              <w:sz w:val="32"/>
              <w:szCs w:val="32"/>
              <w:highlight w:val="none"/>
            </w:rPr>
            <w:fldChar w:fldCharType="begin"/>
          </w:r>
          <w:r>
            <w:rPr>
              <w:rFonts w:hint="eastAsia" w:ascii="仿宋" w:hAnsi="仿宋" w:eastAsia="仿宋" w:cs="仿宋"/>
              <w:color w:val="auto"/>
              <w:sz w:val="32"/>
              <w:szCs w:val="32"/>
              <w:highlight w:val="none"/>
            </w:rPr>
            <w:instrText xml:space="preserve"> PAGEREF _Toc16510 \h </w:instrText>
          </w:r>
          <w:r>
            <w:rPr>
              <w:rFonts w:hint="eastAsia" w:ascii="仿宋" w:hAnsi="仿宋" w:eastAsia="仿宋" w:cs="仿宋"/>
              <w:color w:val="auto"/>
              <w:sz w:val="32"/>
              <w:szCs w:val="32"/>
              <w:highlight w:val="none"/>
            </w:rPr>
            <w:fldChar w:fldCharType="separate"/>
          </w:r>
          <w:r>
            <w:rPr>
              <w:rFonts w:hint="eastAsia" w:ascii="仿宋" w:hAnsi="仿宋" w:eastAsia="仿宋" w:cs="仿宋"/>
              <w:color w:val="auto"/>
              <w:sz w:val="32"/>
              <w:szCs w:val="32"/>
              <w:highlight w:val="none"/>
            </w:rPr>
            <w:t>5</w:t>
          </w:r>
          <w:r>
            <w:rPr>
              <w:rFonts w:hint="eastAsia" w:ascii="仿宋" w:hAnsi="仿宋" w:eastAsia="仿宋" w:cs="仿宋"/>
              <w:color w:val="auto"/>
              <w:sz w:val="32"/>
              <w:szCs w:val="32"/>
              <w:highlight w:val="none"/>
            </w:rPr>
            <w:fldChar w:fldCharType="end"/>
          </w:r>
          <w:r>
            <w:rPr>
              <w:rFonts w:hint="eastAsia" w:ascii="仿宋" w:hAnsi="仿宋" w:eastAsia="仿宋" w:cs="仿宋"/>
              <w:color w:val="auto"/>
              <w:sz w:val="32"/>
              <w:szCs w:val="32"/>
              <w:highlight w:val="none"/>
            </w:rPr>
            <w:fldChar w:fldCharType="end"/>
          </w:r>
        </w:p>
        <w:p>
          <w:pPr>
            <w:pStyle w:val="10"/>
            <w:tabs>
              <w:tab w:val="right" w:leader="dot" w:pos="8306"/>
            </w:tabs>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fldChar w:fldCharType="begin"/>
          </w:r>
          <w:r>
            <w:rPr>
              <w:rFonts w:hint="eastAsia" w:ascii="仿宋" w:hAnsi="仿宋" w:eastAsia="仿宋" w:cs="仿宋"/>
              <w:color w:val="auto"/>
              <w:sz w:val="32"/>
              <w:szCs w:val="32"/>
              <w:highlight w:val="none"/>
            </w:rPr>
            <w:instrText xml:space="preserve"> HYPERLINK \l _Toc12142 </w:instrText>
          </w:r>
          <w:r>
            <w:rPr>
              <w:rFonts w:hint="eastAsia" w:ascii="仿宋" w:hAnsi="仿宋" w:eastAsia="仿宋" w:cs="仿宋"/>
              <w:color w:val="auto"/>
              <w:sz w:val="32"/>
              <w:szCs w:val="32"/>
              <w:highlight w:val="none"/>
            </w:rPr>
            <w:fldChar w:fldCharType="separate"/>
          </w:r>
          <w:r>
            <w:rPr>
              <w:rFonts w:hint="eastAsia" w:ascii="仿宋" w:hAnsi="仿宋" w:eastAsia="仿宋" w:cs="仿宋"/>
              <w:color w:val="auto"/>
              <w:kern w:val="2"/>
              <w:sz w:val="32"/>
              <w:szCs w:val="32"/>
              <w:highlight w:val="none"/>
              <w:lang w:val="en-US" w:eastAsia="zh-CN" w:bidi="ar-SA"/>
            </w:rPr>
            <w:t>（一）绩效评价目的、对象和范围</w:t>
          </w:r>
          <w:r>
            <w:rPr>
              <w:rFonts w:hint="eastAsia" w:ascii="仿宋" w:hAnsi="仿宋" w:eastAsia="仿宋" w:cs="仿宋"/>
              <w:color w:val="auto"/>
              <w:sz w:val="32"/>
              <w:szCs w:val="32"/>
              <w:highlight w:val="none"/>
            </w:rPr>
            <w:tab/>
          </w:r>
          <w:r>
            <w:rPr>
              <w:rFonts w:hint="eastAsia" w:ascii="仿宋" w:hAnsi="仿宋" w:eastAsia="仿宋" w:cs="仿宋"/>
              <w:color w:val="auto"/>
              <w:sz w:val="32"/>
              <w:szCs w:val="32"/>
              <w:highlight w:val="none"/>
            </w:rPr>
            <w:fldChar w:fldCharType="begin"/>
          </w:r>
          <w:r>
            <w:rPr>
              <w:rFonts w:hint="eastAsia" w:ascii="仿宋" w:hAnsi="仿宋" w:eastAsia="仿宋" w:cs="仿宋"/>
              <w:color w:val="auto"/>
              <w:sz w:val="32"/>
              <w:szCs w:val="32"/>
              <w:highlight w:val="none"/>
            </w:rPr>
            <w:instrText xml:space="preserve"> PAGEREF _Toc12142 \h </w:instrText>
          </w:r>
          <w:r>
            <w:rPr>
              <w:rFonts w:hint="eastAsia" w:ascii="仿宋" w:hAnsi="仿宋" w:eastAsia="仿宋" w:cs="仿宋"/>
              <w:color w:val="auto"/>
              <w:sz w:val="32"/>
              <w:szCs w:val="32"/>
              <w:highlight w:val="none"/>
            </w:rPr>
            <w:fldChar w:fldCharType="separate"/>
          </w:r>
          <w:r>
            <w:rPr>
              <w:rFonts w:hint="eastAsia" w:ascii="仿宋" w:hAnsi="仿宋" w:eastAsia="仿宋" w:cs="仿宋"/>
              <w:color w:val="auto"/>
              <w:sz w:val="32"/>
              <w:szCs w:val="32"/>
              <w:highlight w:val="none"/>
            </w:rPr>
            <w:t>5</w:t>
          </w:r>
          <w:r>
            <w:rPr>
              <w:rFonts w:hint="eastAsia" w:ascii="仿宋" w:hAnsi="仿宋" w:eastAsia="仿宋" w:cs="仿宋"/>
              <w:color w:val="auto"/>
              <w:sz w:val="32"/>
              <w:szCs w:val="32"/>
              <w:highlight w:val="none"/>
            </w:rPr>
            <w:fldChar w:fldCharType="end"/>
          </w:r>
          <w:r>
            <w:rPr>
              <w:rFonts w:hint="eastAsia" w:ascii="仿宋" w:hAnsi="仿宋" w:eastAsia="仿宋" w:cs="仿宋"/>
              <w:color w:val="auto"/>
              <w:sz w:val="32"/>
              <w:szCs w:val="32"/>
              <w:highlight w:val="none"/>
            </w:rPr>
            <w:fldChar w:fldCharType="end"/>
          </w:r>
        </w:p>
        <w:p>
          <w:pPr>
            <w:pStyle w:val="10"/>
            <w:tabs>
              <w:tab w:val="right" w:leader="dot" w:pos="8306"/>
            </w:tabs>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fldChar w:fldCharType="begin"/>
          </w:r>
          <w:r>
            <w:rPr>
              <w:rFonts w:hint="eastAsia" w:ascii="仿宋" w:hAnsi="仿宋" w:eastAsia="仿宋" w:cs="仿宋"/>
              <w:color w:val="auto"/>
              <w:sz w:val="32"/>
              <w:szCs w:val="32"/>
              <w:highlight w:val="none"/>
            </w:rPr>
            <w:instrText xml:space="preserve"> HYPERLINK \l _Toc579 </w:instrText>
          </w:r>
          <w:r>
            <w:rPr>
              <w:rFonts w:hint="eastAsia" w:ascii="仿宋" w:hAnsi="仿宋" w:eastAsia="仿宋" w:cs="仿宋"/>
              <w:color w:val="auto"/>
              <w:sz w:val="32"/>
              <w:szCs w:val="32"/>
              <w:highlight w:val="none"/>
            </w:rPr>
            <w:fldChar w:fldCharType="separate"/>
          </w:r>
          <w:r>
            <w:rPr>
              <w:rFonts w:hint="eastAsia" w:ascii="仿宋" w:hAnsi="仿宋" w:eastAsia="仿宋" w:cs="仿宋"/>
              <w:color w:val="auto"/>
              <w:kern w:val="2"/>
              <w:sz w:val="32"/>
              <w:szCs w:val="32"/>
              <w:highlight w:val="none"/>
              <w:lang w:val="en-US" w:eastAsia="zh-CN" w:bidi="ar-SA"/>
            </w:rPr>
            <w:t>（二）绩效评价原则、绩效评价指标体系、评价方法和评价标准</w:t>
          </w:r>
          <w:r>
            <w:rPr>
              <w:rFonts w:hint="eastAsia" w:ascii="仿宋" w:hAnsi="仿宋" w:eastAsia="仿宋" w:cs="仿宋"/>
              <w:color w:val="auto"/>
              <w:sz w:val="32"/>
              <w:szCs w:val="32"/>
              <w:highlight w:val="none"/>
            </w:rPr>
            <w:tab/>
          </w:r>
          <w:r>
            <w:rPr>
              <w:rFonts w:hint="eastAsia" w:ascii="仿宋" w:hAnsi="仿宋" w:eastAsia="仿宋" w:cs="仿宋"/>
              <w:color w:val="auto"/>
              <w:sz w:val="32"/>
              <w:szCs w:val="32"/>
              <w:highlight w:val="none"/>
            </w:rPr>
            <w:fldChar w:fldCharType="begin"/>
          </w:r>
          <w:r>
            <w:rPr>
              <w:rFonts w:hint="eastAsia" w:ascii="仿宋" w:hAnsi="仿宋" w:eastAsia="仿宋" w:cs="仿宋"/>
              <w:color w:val="auto"/>
              <w:sz w:val="32"/>
              <w:szCs w:val="32"/>
              <w:highlight w:val="none"/>
            </w:rPr>
            <w:instrText xml:space="preserve"> PAGEREF _Toc579 \h </w:instrText>
          </w:r>
          <w:r>
            <w:rPr>
              <w:rFonts w:hint="eastAsia" w:ascii="仿宋" w:hAnsi="仿宋" w:eastAsia="仿宋" w:cs="仿宋"/>
              <w:color w:val="auto"/>
              <w:sz w:val="32"/>
              <w:szCs w:val="32"/>
              <w:highlight w:val="none"/>
            </w:rPr>
            <w:fldChar w:fldCharType="separate"/>
          </w:r>
          <w:r>
            <w:rPr>
              <w:rFonts w:hint="eastAsia" w:ascii="仿宋" w:hAnsi="仿宋" w:eastAsia="仿宋" w:cs="仿宋"/>
              <w:color w:val="auto"/>
              <w:sz w:val="32"/>
              <w:szCs w:val="32"/>
              <w:highlight w:val="none"/>
            </w:rPr>
            <w:t>6</w:t>
          </w:r>
          <w:r>
            <w:rPr>
              <w:rFonts w:hint="eastAsia" w:ascii="仿宋" w:hAnsi="仿宋" w:eastAsia="仿宋" w:cs="仿宋"/>
              <w:color w:val="auto"/>
              <w:sz w:val="32"/>
              <w:szCs w:val="32"/>
              <w:highlight w:val="none"/>
            </w:rPr>
            <w:fldChar w:fldCharType="end"/>
          </w:r>
          <w:r>
            <w:rPr>
              <w:rFonts w:hint="eastAsia" w:ascii="仿宋" w:hAnsi="仿宋" w:eastAsia="仿宋" w:cs="仿宋"/>
              <w:color w:val="auto"/>
              <w:sz w:val="32"/>
              <w:szCs w:val="32"/>
              <w:highlight w:val="none"/>
            </w:rPr>
            <w:fldChar w:fldCharType="end"/>
          </w:r>
        </w:p>
        <w:p>
          <w:pPr>
            <w:pStyle w:val="10"/>
            <w:tabs>
              <w:tab w:val="right" w:leader="dot" w:pos="8306"/>
            </w:tabs>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fldChar w:fldCharType="begin"/>
          </w:r>
          <w:r>
            <w:rPr>
              <w:rFonts w:hint="eastAsia" w:ascii="仿宋" w:hAnsi="仿宋" w:eastAsia="仿宋" w:cs="仿宋"/>
              <w:color w:val="auto"/>
              <w:sz w:val="32"/>
              <w:szCs w:val="32"/>
              <w:highlight w:val="none"/>
            </w:rPr>
            <w:instrText xml:space="preserve"> HYPERLINK \l _Toc1029 </w:instrText>
          </w:r>
          <w:r>
            <w:rPr>
              <w:rFonts w:hint="eastAsia" w:ascii="仿宋" w:hAnsi="仿宋" w:eastAsia="仿宋" w:cs="仿宋"/>
              <w:color w:val="auto"/>
              <w:sz w:val="32"/>
              <w:szCs w:val="32"/>
              <w:highlight w:val="none"/>
            </w:rPr>
            <w:fldChar w:fldCharType="separate"/>
          </w:r>
          <w:r>
            <w:rPr>
              <w:rFonts w:hint="eastAsia" w:ascii="仿宋" w:hAnsi="仿宋" w:eastAsia="仿宋" w:cs="仿宋"/>
              <w:color w:val="auto"/>
              <w:kern w:val="2"/>
              <w:sz w:val="32"/>
              <w:szCs w:val="32"/>
              <w:highlight w:val="none"/>
              <w:lang w:val="en-US" w:eastAsia="zh-CN" w:bidi="ar-SA"/>
            </w:rPr>
            <w:t>（三）绩效评价工作过程</w:t>
          </w:r>
          <w:r>
            <w:rPr>
              <w:rFonts w:hint="eastAsia" w:ascii="仿宋" w:hAnsi="仿宋" w:eastAsia="仿宋" w:cs="仿宋"/>
              <w:color w:val="auto"/>
              <w:sz w:val="32"/>
              <w:szCs w:val="32"/>
              <w:highlight w:val="none"/>
            </w:rPr>
            <w:tab/>
          </w:r>
          <w:r>
            <w:rPr>
              <w:rFonts w:hint="eastAsia" w:ascii="仿宋" w:hAnsi="仿宋" w:eastAsia="仿宋" w:cs="仿宋"/>
              <w:color w:val="auto"/>
              <w:sz w:val="32"/>
              <w:szCs w:val="32"/>
              <w:highlight w:val="none"/>
            </w:rPr>
            <w:fldChar w:fldCharType="begin"/>
          </w:r>
          <w:r>
            <w:rPr>
              <w:rFonts w:hint="eastAsia" w:ascii="仿宋" w:hAnsi="仿宋" w:eastAsia="仿宋" w:cs="仿宋"/>
              <w:color w:val="auto"/>
              <w:sz w:val="32"/>
              <w:szCs w:val="32"/>
              <w:highlight w:val="none"/>
            </w:rPr>
            <w:instrText xml:space="preserve"> PAGEREF _Toc1029 \h </w:instrText>
          </w:r>
          <w:r>
            <w:rPr>
              <w:rFonts w:hint="eastAsia" w:ascii="仿宋" w:hAnsi="仿宋" w:eastAsia="仿宋" w:cs="仿宋"/>
              <w:color w:val="auto"/>
              <w:sz w:val="32"/>
              <w:szCs w:val="32"/>
              <w:highlight w:val="none"/>
            </w:rPr>
            <w:fldChar w:fldCharType="separate"/>
          </w:r>
          <w:r>
            <w:rPr>
              <w:rFonts w:hint="eastAsia" w:ascii="仿宋" w:hAnsi="仿宋" w:eastAsia="仿宋" w:cs="仿宋"/>
              <w:color w:val="auto"/>
              <w:sz w:val="32"/>
              <w:szCs w:val="32"/>
              <w:highlight w:val="none"/>
            </w:rPr>
            <w:t>10</w:t>
          </w:r>
          <w:r>
            <w:rPr>
              <w:rFonts w:hint="eastAsia" w:ascii="仿宋" w:hAnsi="仿宋" w:eastAsia="仿宋" w:cs="仿宋"/>
              <w:color w:val="auto"/>
              <w:sz w:val="32"/>
              <w:szCs w:val="32"/>
              <w:highlight w:val="none"/>
            </w:rPr>
            <w:fldChar w:fldCharType="end"/>
          </w:r>
          <w:r>
            <w:rPr>
              <w:rFonts w:hint="eastAsia" w:ascii="仿宋" w:hAnsi="仿宋" w:eastAsia="仿宋" w:cs="仿宋"/>
              <w:color w:val="auto"/>
              <w:sz w:val="32"/>
              <w:szCs w:val="32"/>
              <w:highlight w:val="none"/>
            </w:rPr>
            <w:fldChar w:fldCharType="end"/>
          </w:r>
        </w:p>
        <w:p>
          <w:pPr>
            <w:pStyle w:val="9"/>
            <w:tabs>
              <w:tab w:val="right" w:leader="dot" w:pos="8306"/>
            </w:tabs>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fldChar w:fldCharType="begin"/>
          </w:r>
          <w:r>
            <w:rPr>
              <w:rFonts w:hint="eastAsia" w:ascii="仿宋" w:hAnsi="仿宋" w:eastAsia="仿宋" w:cs="仿宋"/>
              <w:color w:val="auto"/>
              <w:sz w:val="32"/>
              <w:szCs w:val="32"/>
              <w:highlight w:val="none"/>
            </w:rPr>
            <w:instrText xml:space="preserve"> HYPERLINK \l _Toc17513 </w:instrText>
          </w:r>
          <w:r>
            <w:rPr>
              <w:rFonts w:hint="eastAsia" w:ascii="仿宋" w:hAnsi="仿宋" w:eastAsia="仿宋" w:cs="仿宋"/>
              <w:color w:val="auto"/>
              <w:sz w:val="32"/>
              <w:szCs w:val="32"/>
              <w:highlight w:val="none"/>
            </w:rPr>
            <w:fldChar w:fldCharType="separate"/>
          </w:r>
          <w:r>
            <w:rPr>
              <w:rFonts w:hint="eastAsia" w:ascii="仿宋" w:hAnsi="仿宋" w:eastAsia="仿宋" w:cs="仿宋"/>
              <w:bCs/>
              <w:color w:val="auto"/>
              <w:sz w:val="32"/>
              <w:szCs w:val="32"/>
              <w:highlight w:val="none"/>
              <w:lang w:val="en-US" w:eastAsia="zh-CN"/>
            </w:rPr>
            <w:t>三、 综合评价情况及评价结论</w:t>
          </w:r>
          <w:r>
            <w:rPr>
              <w:rFonts w:hint="eastAsia" w:ascii="仿宋" w:hAnsi="仿宋" w:eastAsia="仿宋" w:cs="仿宋"/>
              <w:color w:val="auto"/>
              <w:sz w:val="32"/>
              <w:szCs w:val="32"/>
              <w:highlight w:val="none"/>
            </w:rPr>
            <w:tab/>
          </w:r>
          <w:r>
            <w:rPr>
              <w:rFonts w:hint="eastAsia" w:ascii="仿宋" w:hAnsi="仿宋" w:eastAsia="仿宋" w:cs="仿宋"/>
              <w:color w:val="auto"/>
              <w:sz w:val="32"/>
              <w:szCs w:val="32"/>
              <w:highlight w:val="none"/>
            </w:rPr>
            <w:fldChar w:fldCharType="begin"/>
          </w:r>
          <w:r>
            <w:rPr>
              <w:rFonts w:hint="eastAsia" w:ascii="仿宋" w:hAnsi="仿宋" w:eastAsia="仿宋" w:cs="仿宋"/>
              <w:color w:val="auto"/>
              <w:sz w:val="32"/>
              <w:szCs w:val="32"/>
              <w:highlight w:val="none"/>
            </w:rPr>
            <w:instrText xml:space="preserve"> PAGEREF _Toc17513 \h </w:instrText>
          </w:r>
          <w:r>
            <w:rPr>
              <w:rFonts w:hint="eastAsia" w:ascii="仿宋" w:hAnsi="仿宋" w:eastAsia="仿宋" w:cs="仿宋"/>
              <w:color w:val="auto"/>
              <w:sz w:val="32"/>
              <w:szCs w:val="32"/>
              <w:highlight w:val="none"/>
            </w:rPr>
            <w:fldChar w:fldCharType="separate"/>
          </w:r>
          <w:r>
            <w:rPr>
              <w:rFonts w:hint="eastAsia" w:ascii="仿宋" w:hAnsi="仿宋" w:eastAsia="仿宋" w:cs="仿宋"/>
              <w:color w:val="auto"/>
              <w:sz w:val="32"/>
              <w:szCs w:val="32"/>
              <w:highlight w:val="none"/>
            </w:rPr>
            <w:t>12</w:t>
          </w:r>
          <w:r>
            <w:rPr>
              <w:rFonts w:hint="eastAsia" w:ascii="仿宋" w:hAnsi="仿宋" w:eastAsia="仿宋" w:cs="仿宋"/>
              <w:color w:val="auto"/>
              <w:sz w:val="32"/>
              <w:szCs w:val="32"/>
              <w:highlight w:val="none"/>
            </w:rPr>
            <w:fldChar w:fldCharType="end"/>
          </w:r>
          <w:r>
            <w:rPr>
              <w:rFonts w:hint="eastAsia" w:ascii="仿宋" w:hAnsi="仿宋" w:eastAsia="仿宋" w:cs="仿宋"/>
              <w:color w:val="auto"/>
              <w:sz w:val="32"/>
              <w:szCs w:val="32"/>
              <w:highlight w:val="none"/>
            </w:rPr>
            <w:fldChar w:fldCharType="end"/>
          </w:r>
        </w:p>
        <w:p>
          <w:pPr>
            <w:pStyle w:val="10"/>
            <w:tabs>
              <w:tab w:val="right" w:leader="dot" w:pos="8306"/>
            </w:tabs>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fldChar w:fldCharType="begin"/>
          </w:r>
          <w:r>
            <w:rPr>
              <w:rFonts w:hint="eastAsia" w:ascii="仿宋" w:hAnsi="仿宋" w:eastAsia="仿宋" w:cs="仿宋"/>
              <w:color w:val="auto"/>
              <w:sz w:val="32"/>
              <w:szCs w:val="32"/>
              <w:highlight w:val="none"/>
            </w:rPr>
            <w:instrText xml:space="preserve"> HYPERLINK \l _Toc21746 </w:instrText>
          </w:r>
          <w:r>
            <w:rPr>
              <w:rFonts w:hint="eastAsia" w:ascii="仿宋" w:hAnsi="仿宋" w:eastAsia="仿宋" w:cs="仿宋"/>
              <w:color w:val="auto"/>
              <w:sz w:val="32"/>
              <w:szCs w:val="32"/>
              <w:highlight w:val="none"/>
            </w:rPr>
            <w:fldChar w:fldCharType="separate"/>
          </w:r>
          <w:r>
            <w:rPr>
              <w:rFonts w:hint="eastAsia" w:ascii="仿宋" w:hAnsi="仿宋" w:eastAsia="仿宋" w:cs="仿宋"/>
              <w:color w:val="auto"/>
              <w:kern w:val="2"/>
              <w:sz w:val="32"/>
              <w:szCs w:val="32"/>
              <w:highlight w:val="none"/>
              <w:lang w:val="en-US" w:eastAsia="zh-CN" w:bidi="ar-SA"/>
            </w:rPr>
            <w:t>（一）评价得分情况</w:t>
          </w:r>
          <w:r>
            <w:rPr>
              <w:rFonts w:hint="eastAsia" w:ascii="仿宋" w:hAnsi="仿宋" w:eastAsia="仿宋" w:cs="仿宋"/>
              <w:color w:val="auto"/>
              <w:sz w:val="32"/>
              <w:szCs w:val="32"/>
              <w:highlight w:val="none"/>
            </w:rPr>
            <w:tab/>
          </w:r>
          <w:r>
            <w:rPr>
              <w:rFonts w:hint="eastAsia" w:ascii="仿宋" w:hAnsi="仿宋" w:eastAsia="仿宋" w:cs="仿宋"/>
              <w:color w:val="auto"/>
              <w:sz w:val="32"/>
              <w:szCs w:val="32"/>
              <w:highlight w:val="none"/>
            </w:rPr>
            <w:fldChar w:fldCharType="begin"/>
          </w:r>
          <w:r>
            <w:rPr>
              <w:rFonts w:hint="eastAsia" w:ascii="仿宋" w:hAnsi="仿宋" w:eastAsia="仿宋" w:cs="仿宋"/>
              <w:color w:val="auto"/>
              <w:sz w:val="32"/>
              <w:szCs w:val="32"/>
              <w:highlight w:val="none"/>
            </w:rPr>
            <w:instrText xml:space="preserve"> PAGEREF _Toc21746 \h </w:instrText>
          </w:r>
          <w:r>
            <w:rPr>
              <w:rFonts w:hint="eastAsia" w:ascii="仿宋" w:hAnsi="仿宋" w:eastAsia="仿宋" w:cs="仿宋"/>
              <w:color w:val="auto"/>
              <w:sz w:val="32"/>
              <w:szCs w:val="32"/>
              <w:highlight w:val="none"/>
            </w:rPr>
            <w:fldChar w:fldCharType="separate"/>
          </w:r>
          <w:r>
            <w:rPr>
              <w:rFonts w:hint="eastAsia" w:ascii="仿宋" w:hAnsi="仿宋" w:eastAsia="仿宋" w:cs="仿宋"/>
              <w:color w:val="auto"/>
              <w:sz w:val="32"/>
              <w:szCs w:val="32"/>
              <w:highlight w:val="none"/>
            </w:rPr>
            <w:t>12</w:t>
          </w:r>
          <w:r>
            <w:rPr>
              <w:rFonts w:hint="eastAsia" w:ascii="仿宋" w:hAnsi="仿宋" w:eastAsia="仿宋" w:cs="仿宋"/>
              <w:color w:val="auto"/>
              <w:sz w:val="32"/>
              <w:szCs w:val="32"/>
              <w:highlight w:val="none"/>
            </w:rPr>
            <w:fldChar w:fldCharType="end"/>
          </w:r>
          <w:r>
            <w:rPr>
              <w:rFonts w:hint="eastAsia" w:ascii="仿宋" w:hAnsi="仿宋" w:eastAsia="仿宋" w:cs="仿宋"/>
              <w:color w:val="auto"/>
              <w:sz w:val="32"/>
              <w:szCs w:val="32"/>
              <w:highlight w:val="none"/>
            </w:rPr>
            <w:fldChar w:fldCharType="end"/>
          </w:r>
        </w:p>
        <w:p>
          <w:pPr>
            <w:pStyle w:val="10"/>
            <w:tabs>
              <w:tab w:val="right" w:leader="dot" w:pos="8306"/>
            </w:tabs>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fldChar w:fldCharType="begin"/>
          </w:r>
          <w:r>
            <w:rPr>
              <w:rFonts w:hint="eastAsia" w:ascii="仿宋" w:hAnsi="仿宋" w:eastAsia="仿宋" w:cs="仿宋"/>
              <w:color w:val="auto"/>
              <w:sz w:val="32"/>
              <w:szCs w:val="32"/>
              <w:highlight w:val="none"/>
            </w:rPr>
            <w:instrText xml:space="preserve"> HYPERLINK \l _Toc1575 </w:instrText>
          </w:r>
          <w:r>
            <w:rPr>
              <w:rFonts w:hint="eastAsia" w:ascii="仿宋" w:hAnsi="仿宋" w:eastAsia="仿宋" w:cs="仿宋"/>
              <w:color w:val="auto"/>
              <w:sz w:val="32"/>
              <w:szCs w:val="32"/>
              <w:highlight w:val="none"/>
            </w:rPr>
            <w:fldChar w:fldCharType="separate"/>
          </w:r>
          <w:r>
            <w:rPr>
              <w:rFonts w:hint="eastAsia" w:ascii="仿宋" w:hAnsi="仿宋" w:eastAsia="仿宋" w:cs="仿宋"/>
              <w:color w:val="auto"/>
              <w:kern w:val="2"/>
              <w:sz w:val="32"/>
              <w:szCs w:val="32"/>
              <w:highlight w:val="none"/>
              <w:lang w:val="en-US" w:eastAsia="zh-CN" w:bidi="ar-SA"/>
            </w:rPr>
            <w:t>（二）项目所实现的主要绩效</w:t>
          </w:r>
          <w:r>
            <w:rPr>
              <w:rFonts w:hint="eastAsia" w:ascii="仿宋" w:hAnsi="仿宋" w:eastAsia="仿宋" w:cs="仿宋"/>
              <w:color w:val="auto"/>
              <w:sz w:val="32"/>
              <w:szCs w:val="32"/>
              <w:highlight w:val="none"/>
            </w:rPr>
            <w:tab/>
          </w:r>
          <w:r>
            <w:rPr>
              <w:rFonts w:hint="eastAsia" w:ascii="仿宋" w:hAnsi="仿宋" w:eastAsia="仿宋" w:cs="仿宋"/>
              <w:color w:val="auto"/>
              <w:sz w:val="32"/>
              <w:szCs w:val="32"/>
              <w:highlight w:val="none"/>
            </w:rPr>
            <w:fldChar w:fldCharType="begin"/>
          </w:r>
          <w:r>
            <w:rPr>
              <w:rFonts w:hint="eastAsia" w:ascii="仿宋" w:hAnsi="仿宋" w:eastAsia="仿宋" w:cs="仿宋"/>
              <w:color w:val="auto"/>
              <w:sz w:val="32"/>
              <w:szCs w:val="32"/>
              <w:highlight w:val="none"/>
            </w:rPr>
            <w:instrText xml:space="preserve"> PAGEREF _Toc1575 \h </w:instrText>
          </w:r>
          <w:r>
            <w:rPr>
              <w:rFonts w:hint="eastAsia" w:ascii="仿宋" w:hAnsi="仿宋" w:eastAsia="仿宋" w:cs="仿宋"/>
              <w:color w:val="auto"/>
              <w:sz w:val="32"/>
              <w:szCs w:val="32"/>
              <w:highlight w:val="none"/>
            </w:rPr>
            <w:fldChar w:fldCharType="separate"/>
          </w:r>
          <w:r>
            <w:rPr>
              <w:rFonts w:hint="eastAsia" w:ascii="仿宋" w:hAnsi="仿宋" w:eastAsia="仿宋" w:cs="仿宋"/>
              <w:color w:val="auto"/>
              <w:sz w:val="32"/>
              <w:szCs w:val="32"/>
              <w:highlight w:val="none"/>
            </w:rPr>
            <w:t>13</w:t>
          </w:r>
          <w:r>
            <w:rPr>
              <w:rFonts w:hint="eastAsia" w:ascii="仿宋" w:hAnsi="仿宋" w:eastAsia="仿宋" w:cs="仿宋"/>
              <w:color w:val="auto"/>
              <w:sz w:val="32"/>
              <w:szCs w:val="32"/>
              <w:highlight w:val="none"/>
            </w:rPr>
            <w:fldChar w:fldCharType="end"/>
          </w:r>
          <w:r>
            <w:rPr>
              <w:rFonts w:hint="eastAsia" w:ascii="仿宋" w:hAnsi="仿宋" w:eastAsia="仿宋" w:cs="仿宋"/>
              <w:color w:val="auto"/>
              <w:sz w:val="32"/>
              <w:szCs w:val="32"/>
              <w:highlight w:val="none"/>
            </w:rPr>
            <w:fldChar w:fldCharType="end"/>
          </w:r>
        </w:p>
        <w:p>
          <w:pPr>
            <w:pStyle w:val="9"/>
            <w:tabs>
              <w:tab w:val="right" w:leader="dot" w:pos="8306"/>
            </w:tabs>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fldChar w:fldCharType="begin"/>
          </w:r>
          <w:r>
            <w:rPr>
              <w:rFonts w:hint="eastAsia" w:ascii="仿宋" w:hAnsi="仿宋" w:eastAsia="仿宋" w:cs="仿宋"/>
              <w:color w:val="auto"/>
              <w:sz w:val="32"/>
              <w:szCs w:val="32"/>
              <w:highlight w:val="none"/>
            </w:rPr>
            <w:instrText xml:space="preserve"> HYPERLINK \l _Toc583 </w:instrText>
          </w:r>
          <w:r>
            <w:rPr>
              <w:rFonts w:hint="eastAsia" w:ascii="仿宋" w:hAnsi="仿宋" w:eastAsia="仿宋" w:cs="仿宋"/>
              <w:color w:val="auto"/>
              <w:sz w:val="32"/>
              <w:szCs w:val="32"/>
              <w:highlight w:val="none"/>
            </w:rPr>
            <w:fldChar w:fldCharType="separate"/>
          </w:r>
          <w:r>
            <w:rPr>
              <w:rFonts w:hint="eastAsia" w:ascii="仿宋" w:hAnsi="仿宋" w:eastAsia="仿宋" w:cs="仿宋"/>
              <w:bCs/>
              <w:color w:val="auto"/>
              <w:sz w:val="32"/>
              <w:szCs w:val="32"/>
              <w:highlight w:val="none"/>
            </w:rPr>
            <w:t>四、 绩效评价指标分析</w:t>
          </w:r>
          <w:r>
            <w:rPr>
              <w:rFonts w:hint="eastAsia" w:ascii="仿宋" w:hAnsi="仿宋" w:eastAsia="仿宋" w:cs="仿宋"/>
              <w:color w:val="auto"/>
              <w:sz w:val="32"/>
              <w:szCs w:val="32"/>
              <w:highlight w:val="none"/>
            </w:rPr>
            <w:tab/>
          </w:r>
          <w:r>
            <w:rPr>
              <w:rFonts w:hint="eastAsia" w:ascii="仿宋" w:hAnsi="仿宋" w:eastAsia="仿宋" w:cs="仿宋"/>
              <w:color w:val="auto"/>
              <w:sz w:val="32"/>
              <w:szCs w:val="32"/>
              <w:highlight w:val="none"/>
            </w:rPr>
            <w:fldChar w:fldCharType="begin"/>
          </w:r>
          <w:r>
            <w:rPr>
              <w:rFonts w:hint="eastAsia" w:ascii="仿宋" w:hAnsi="仿宋" w:eastAsia="仿宋" w:cs="仿宋"/>
              <w:color w:val="auto"/>
              <w:sz w:val="32"/>
              <w:szCs w:val="32"/>
              <w:highlight w:val="none"/>
            </w:rPr>
            <w:instrText xml:space="preserve"> PAGEREF _Toc583 \h </w:instrText>
          </w:r>
          <w:r>
            <w:rPr>
              <w:rFonts w:hint="eastAsia" w:ascii="仿宋" w:hAnsi="仿宋" w:eastAsia="仿宋" w:cs="仿宋"/>
              <w:color w:val="auto"/>
              <w:sz w:val="32"/>
              <w:szCs w:val="32"/>
              <w:highlight w:val="none"/>
            </w:rPr>
            <w:fldChar w:fldCharType="separate"/>
          </w:r>
          <w:r>
            <w:rPr>
              <w:rFonts w:hint="eastAsia" w:ascii="仿宋" w:hAnsi="仿宋" w:eastAsia="仿宋" w:cs="仿宋"/>
              <w:color w:val="auto"/>
              <w:sz w:val="32"/>
              <w:szCs w:val="32"/>
              <w:highlight w:val="none"/>
            </w:rPr>
            <w:t>13</w:t>
          </w:r>
          <w:r>
            <w:rPr>
              <w:rFonts w:hint="eastAsia" w:ascii="仿宋" w:hAnsi="仿宋" w:eastAsia="仿宋" w:cs="仿宋"/>
              <w:color w:val="auto"/>
              <w:sz w:val="32"/>
              <w:szCs w:val="32"/>
              <w:highlight w:val="none"/>
            </w:rPr>
            <w:fldChar w:fldCharType="end"/>
          </w:r>
          <w:r>
            <w:rPr>
              <w:rFonts w:hint="eastAsia" w:ascii="仿宋" w:hAnsi="仿宋" w:eastAsia="仿宋" w:cs="仿宋"/>
              <w:color w:val="auto"/>
              <w:sz w:val="32"/>
              <w:szCs w:val="32"/>
              <w:highlight w:val="none"/>
            </w:rPr>
            <w:fldChar w:fldCharType="end"/>
          </w:r>
        </w:p>
        <w:p>
          <w:pPr>
            <w:pStyle w:val="10"/>
            <w:tabs>
              <w:tab w:val="right" w:leader="dot" w:pos="8306"/>
            </w:tabs>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fldChar w:fldCharType="begin"/>
          </w:r>
          <w:r>
            <w:rPr>
              <w:rFonts w:hint="eastAsia" w:ascii="仿宋" w:hAnsi="仿宋" w:eastAsia="仿宋" w:cs="仿宋"/>
              <w:color w:val="auto"/>
              <w:sz w:val="32"/>
              <w:szCs w:val="32"/>
              <w:highlight w:val="none"/>
            </w:rPr>
            <w:instrText xml:space="preserve"> HYPERLINK \l _Toc30236 </w:instrText>
          </w:r>
          <w:r>
            <w:rPr>
              <w:rFonts w:hint="eastAsia" w:ascii="仿宋" w:hAnsi="仿宋" w:eastAsia="仿宋" w:cs="仿宋"/>
              <w:color w:val="auto"/>
              <w:sz w:val="32"/>
              <w:szCs w:val="32"/>
              <w:highlight w:val="none"/>
            </w:rPr>
            <w:fldChar w:fldCharType="separate"/>
          </w:r>
          <w:r>
            <w:rPr>
              <w:rFonts w:hint="eastAsia" w:ascii="仿宋" w:hAnsi="仿宋" w:eastAsia="仿宋" w:cs="仿宋"/>
              <w:color w:val="auto"/>
              <w:kern w:val="2"/>
              <w:sz w:val="32"/>
              <w:szCs w:val="32"/>
              <w:highlight w:val="none"/>
              <w:lang w:val="en-US" w:eastAsia="zh-CN" w:bidi="ar-SA"/>
            </w:rPr>
            <w:t>（一）项目决策情况</w:t>
          </w:r>
          <w:r>
            <w:rPr>
              <w:rFonts w:hint="eastAsia" w:ascii="仿宋" w:hAnsi="仿宋" w:eastAsia="仿宋" w:cs="仿宋"/>
              <w:color w:val="auto"/>
              <w:sz w:val="32"/>
              <w:szCs w:val="32"/>
              <w:highlight w:val="none"/>
            </w:rPr>
            <w:tab/>
          </w:r>
          <w:r>
            <w:rPr>
              <w:rFonts w:hint="eastAsia" w:ascii="仿宋" w:hAnsi="仿宋" w:eastAsia="仿宋" w:cs="仿宋"/>
              <w:color w:val="auto"/>
              <w:sz w:val="32"/>
              <w:szCs w:val="32"/>
              <w:highlight w:val="none"/>
            </w:rPr>
            <w:fldChar w:fldCharType="begin"/>
          </w:r>
          <w:r>
            <w:rPr>
              <w:rFonts w:hint="eastAsia" w:ascii="仿宋" w:hAnsi="仿宋" w:eastAsia="仿宋" w:cs="仿宋"/>
              <w:color w:val="auto"/>
              <w:sz w:val="32"/>
              <w:szCs w:val="32"/>
              <w:highlight w:val="none"/>
            </w:rPr>
            <w:instrText xml:space="preserve"> PAGEREF _Toc30236 \h </w:instrText>
          </w:r>
          <w:r>
            <w:rPr>
              <w:rFonts w:hint="eastAsia" w:ascii="仿宋" w:hAnsi="仿宋" w:eastAsia="仿宋" w:cs="仿宋"/>
              <w:color w:val="auto"/>
              <w:sz w:val="32"/>
              <w:szCs w:val="32"/>
              <w:highlight w:val="none"/>
            </w:rPr>
            <w:fldChar w:fldCharType="separate"/>
          </w:r>
          <w:r>
            <w:rPr>
              <w:rFonts w:hint="eastAsia" w:ascii="仿宋" w:hAnsi="仿宋" w:eastAsia="仿宋" w:cs="仿宋"/>
              <w:color w:val="auto"/>
              <w:sz w:val="32"/>
              <w:szCs w:val="32"/>
              <w:highlight w:val="none"/>
            </w:rPr>
            <w:t>13</w:t>
          </w:r>
          <w:r>
            <w:rPr>
              <w:rFonts w:hint="eastAsia" w:ascii="仿宋" w:hAnsi="仿宋" w:eastAsia="仿宋" w:cs="仿宋"/>
              <w:color w:val="auto"/>
              <w:sz w:val="32"/>
              <w:szCs w:val="32"/>
              <w:highlight w:val="none"/>
            </w:rPr>
            <w:fldChar w:fldCharType="end"/>
          </w:r>
          <w:r>
            <w:rPr>
              <w:rFonts w:hint="eastAsia" w:ascii="仿宋" w:hAnsi="仿宋" w:eastAsia="仿宋" w:cs="仿宋"/>
              <w:color w:val="auto"/>
              <w:sz w:val="32"/>
              <w:szCs w:val="32"/>
              <w:highlight w:val="none"/>
            </w:rPr>
            <w:fldChar w:fldCharType="end"/>
          </w:r>
        </w:p>
        <w:p>
          <w:pPr>
            <w:pStyle w:val="10"/>
            <w:tabs>
              <w:tab w:val="right" w:leader="dot" w:pos="8306"/>
            </w:tabs>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fldChar w:fldCharType="begin"/>
          </w:r>
          <w:r>
            <w:rPr>
              <w:rFonts w:hint="eastAsia" w:ascii="仿宋" w:hAnsi="仿宋" w:eastAsia="仿宋" w:cs="仿宋"/>
              <w:color w:val="auto"/>
              <w:sz w:val="32"/>
              <w:szCs w:val="32"/>
              <w:highlight w:val="none"/>
            </w:rPr>
            <w:instrText xml:space="preserve"> HYPERLINK \l _Toc23477 </w:instrText>
          </w:r>
          <w:r>
            <w:rPr>
              <w:rFonts w:hint="eastAsia" w:ascii="仿宋" w:hAnsi="仿宋" w:eastAsia="仿宋" w:cs="仿宋"/>
              <w:color w:val="auto"/>
              <w:sz w:val="32"/>
              <w:szCs w:val="32"/>
              <w:highlight w:val="none"/>
            </w:rPr>
            <w:fldChar w:fldCharType="separate"/>
          </w:r>
          <w:r>
            <w:rPr>
              <w:rFonts w:hint="eastAsia" w:ascii="仿宋" w:hAnsi="仿宋" w:eastAsia="仿宋" w:cs="仿宋"/>
              <w:color w:val="auto"/>
              <w:kern w:val="2"/>
              <w:sz w:val="32"/>
              <w:szCs w:val="32"/>
              <w:highlight w:val="none"/>
              <w:lang w:val="en-US" w:eastAsia="zh-CN" w:bidi="ar-SA"/>
            </w:rPr>
            <w:t>（二）项目过程情况</w:t>
          </w:r>
          <w:r>
            <w:rPr>
              <w:rFonts w:hint="eastAsia" w:ascii="仿宋" w:hAnsi="仿宋" w:eastAsia="仿宋" w:cs="仿宋"/>
              <w:color w:val="auto"/>
              <w:sz w:val="32"/>
              <w:szCs w:val="32"/>
              <w:highlight w:val="none"/>
            </w:rPr>
            <w:tab/>
          </w:r>
          <w:r>
            <w:rPr>
              <w:rFonts w:hint="eastAsia" w:ascii="仿宋" w:hAnsi="仿宋" w:eastAsia="仿宋" w:cs="仿宋"/>
              <w:color w:val="auto"/>
              <w:sz w:val="32"/>
              <w:szCs w:val="32"/>
              <w:highlight w:val="none"/>
            </w:rPr>
            <w:fldChar w:fldCharType="begin"/>
          </w:r>
          <w:r>
            <w:rPr>
              <w:rFonts w:hint="eastAsia" w:ascii="仿宋" w:hAnsi="仿宋" w:eastAsia="仿宋" w:cs="仿宋"/>
              <w:color w:val="auto"/>
              <w:sz w:val="32"/>
              <w:szCs w:val="32"/>
              <w:highlight w:val="none"/>
            </w:rPr>
            <w:instrText xml:space="preserve"> PAGEREF _Toc23477 \h </w:instrText>
          </w:r>
          <w:r>
            <w:rPr>
              <w:rFonts w:hint="eastAsia" w:ascii="仿宋" w:hAnsi="仿宋" w:eastAsia="仿宋" w:cs="仿宋"/>
              <w:color w:val="auto"/>
              <w:sz w:val="32"/>
              <w:szCs w:val="32"/>
              <w:highlight w:val="none"/>
            </w:rPr>
            <w:fldChar w:fldCharType="separate"/>
          </w:r>
          <w:r>
            <w:rPr>
              <w:rFonts w:hint="eastAsia" w:ascii="仿宋" w:hAnsi="仿宋" w:eastAsia="仿宋" w:cs="仿宋"/>
              <w:color w:val="auto"/>
              <w:sz w:val="32"/>
              <w:szCs w:val="32"/>
              <w:highlight w:val="none"/>
            </w:rPr>
            <w:t>15</w:t>
          </w:r>
          <w:r>
            <w:rPr>
              <w:rFonts w:hint="eastAsia" w:ascii="仿宋" w:hAnsi="仿宋" w:eastAsia="仿宋" w:cs="仿宋"/>
              <w:color w:val="auto"/>
              <w:sz w:val="32"/>
              <w:szCs w:val="32"/>
              <w:highlight w:val="none"/>
            </w:rPr>
            <w:fldChar w:fldCharType="end"/>
          </w:r>
          <w:r>
            <w:rPr>
              <w:rFonts w:hint="eastAsia" w:ascii="仿宋" w:hAnsi="仿宋" w:eastAsia="仿宋" w:cs="仿宋"/>
              <w:color w:val="auto"/>
              <w:sz w:val="32"/>
              <w:szCs w:val="32"/>
              <w:highlight w:val="none"/>
            </w:rPr>
            <w:fldChar w:fldCharType="end"/>
          </w:r>
        </w:p>
        <w:p>
          <w:pPr>
            <w:pStyle w:val="10"/>
            <w:tabs>
              <w:tab w:val="right" w:leader="dot" w:pos="8306"/>
            </w:tabs>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fldChar w:fldCharType="begin"/>
          </w:r>
          <w:r>
            <w:rPr>
              <w:rFonts w:hint="eastAsia" w:ascii="仿宋" w:hAnsi="仿宋" w:eastAsia="仿宋" w:cs="仿宋"/>
              <w:color w:val="auto"/>
              <w:sz w:val="32"/>
              <w:szCs w:val="32"/>
              <w:highlight w:val="none"/>
            </w:rPr>
            <w:instrText xml:space="preserve"> HYPERLINK \l _Toc14994 </w:instrText>
          </w:r>
          <w:r>
            <w:rPr>
              <w:rFonts w:hint="eastAsia" w:ascii="仿宋" w:hAnsi="仿宋" w:eastAsia="仿宋" w:cs="仿宋"/>
              <w:color w:val="auto"/>
              <w:sz w:val="32"/>
              <w:szCs w:val="32"/>
              <w:highlight w:val="none"/>
            </w:rPr>
            <w:fldChar w:fldCharType="separate"/>
          </w:r>
          <w:r>
            <w:rPr>
              <w:rFonts w:hint="eastAsia" w:ascii="仿宋" w:hAnsi="仿宋" w:eastAsia="仿宋" w:cs="仿宋"/>
              <w:color w:val="auto"/>
              <w:kern w:val="2"/>
              <w:sz w:val="32"/>
              <w:szCs w:val="32"/>
              <w:highlight w:val="none"/>
              <w:lang w:val="en-US" w:eastAsia="zh-CN" w:bidi="ar-SA"/>
            </w:rPr>
            <w:t>（三）项目产出情况</w:t>
          </w:r>
          <w:r>
            <w:rPr>
              <w:rFonts w:hint="eastAsia" w:ascii="仿宋" w:hAnsi="仿宋" w:eastAsia="仿宋" w:cs="仿宋"/>
              <w:color w:val="auto"/>
              <w:sz w:val="32"/>
              <w:szCs w:val="32"/>
              <w:highlight w:val="none"/>
            </w:rPr>
            <w:tab/>
          </w:r>
          <w:r>
            <w:rPr>
              <w:rFonts w:hint="eastAsia" w:ascii="仿宋" w:hAnsi="仿宋" w:eastAsia="仿宋" w:cs="仿宋"/>
              <w:color w:val="auto"/>
              <w:sz w:val="32"/>
              <w:szCs w:val="32"/>
              <w:highlight w:val="none"/>
            </w:rPr>
            <w:fldChar w:fldCharType="begin"/>
          </w:r>
          <w:r>
            <w:rPr>
              <w:rFonts w:hint="eastAsia" w:ascii="仿宋" w:hAnsi="仿宋" w:eastAsia="仿宋" w:cs="仿宋"/>
              <w:color w:val="auto"/>
              <w:sz w:val="32"/>
              <w:szCs w:val="32"/>
              <w:highlight w:val="none"/>
            </w:rPr>
            <w:instrText xml:space="preserve"> PAGEREF _Toc14994 \h </w:instrText>
          </w:r>
          <w:r>
            <w:rPr>
              <w:rFonts w:hint="eastAsia" w:ascii="仿宋" w:hAnsi="仿宋" w:eastAsia="仿宋" w:cs="仿宋"/>
              <w:color w:val="auto"/>
              <w:sz w:val="32"/>
              <w:szCs w:val="32"/>
              <w:highlight w:val="none"/>
            </w:rPr>
            <w:fldChar w:fldCharType="separate"/>
          </w:r>
          <w:r>
            <w:rPr>
              <w:rFonts w:hint="eastAsia" w:ascii="仿宋" w:hAnsi="仿宋" w:eastAsia="仿宋" w:cs="仿宋"/>
              <w:color w:val="auto"/>
              <w:sz w:val="32"/>
              <w:szCs w:val="32"/>
              <w:highlight w:val="none"/>
            </w:rPr>
            <w:t>16</w:t>
          </w:r>
          <w:r>
            <w:rPr>
              <w:rFonts w:hint="eastAsia" w:ascii="仿宋" w:hAnsi="仿宋" w:eastAsia="仿宋" w:cs="仿宋"/>
              <w:color w:val="auto"/>
              <w:sz w:val="32"/>
              <w:szCs w:val="32"/>
              <w:highlight w:val="none"/>
            </w:rPr>
            <w:fldChar w:fldCharType="end"/>
          </w:r>
          <w:r>
            <w:rPr>
              <w:rFonts w:hint="eastAsia" w:ascii="仿宋" w:hAnsi="仿宋" w:eastAsia="仿宋" w:cs="仿宋"/>
              <w:color w:val="auto"/>
              <w:sz w:val="32"/>
              <w:szCs w:val="32"/>
              <w:highlight w:val="none"/>
            </w:rPr>
            <w:fldChar w:fldCharType="end"/>
          </w:r>
        </w:p>
        <w:p>
          <w:pPr>
            <w:pStyle w:val="10"/>
            <w:tabs>
              <w:tab w:val="right" w:leader="dot" w:pos="8306"/>
            </w:tabs>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fldChar w:fldCharType="begin"/>
          </w:r>
          <w:r>
            <w:rPr>
              <w:rFonts w:hint="eastAsia" w:ascii="仿宋" w:hAnsi="仿宋" w:eastAsia="仿宋" w:cs="仿宋"/>
              <w:color w:val="auto"/>
              <w:sz w:val="32"/>
              <w:szCs w:val="32"/>
              <w:highlight w:val="none"/>
            </w:rPr>
            <w:instrText xml:space="preserve"> HYPERLINK \l _Toc13873 </w:instrText>
          </w:r>
          <w:r>
            <w:rPr>
              <w:rFonts w:hint="eastAsia" w:ascii="仿宋" w:hAnsi="仿宋" w:eastAsia="仿宋" w:cs="仿宋"/>
              <w:color w:val="auto"/>
              <w:sz w:val="32"/>
              <w:szCs w:val="32"/>
              <w:highlight w:val="none"/>
            </w:rPr>
            <w:fldChar w:fldCharType="separate"/>
          </w:r>
          <w:r>
            <w:rPr>
              <w:rFonts w:hint="eastAsia" w:ascii="仿宋" w:hAnsi="仿宋" w:eastAsia="仿宋" w:cs="仿宋"/>
              <w:color w:val="auto"/>
              <w:kern w:val="2"/>
              <w:sz w:val="32"/>
              <w:szCs w:val="32"/>
              <w:highlight w:val="none"/>
              <w:lang w:val="en-US" w:eastAsia="zh-CN" w:bidi="ar-SA"/>
            </w:rPr>
            <w:t>（四）项目绩效情况</w:t>
          </w:r>
          <w:r>
            <w:rPr>
              <w:rFonts w:hint="eastAsia" w:ascii="仿宋" w:hAnsi="仿宋" w:eastAsia="仿宋" w:cs="仿宋"/>
              <w:color w:val="auto"/>
              <w:sz w:val="32"/>
              <w:szCs w:val="32"/>
              <w:highlight w:val="none"/>
            </w:rPr>
            <w:tab/>
          </w:r>
          <w:r>
            <w:rPr>
              <w:rFonts w:hint="eastAsia" w:ascii="仿宋" w:hAnsi="仿宋" w:eastAsia="仿宋" w:cs="仿宋"/>
              <w:color w:val="auto"/>
              <w:sz w:val="32"/>
              <w:szCs w:val="32"/>
              <w:highlight w:val="none"/>
            </w:rPr>
            <w:fldChar w:fldCharType="begin"/>
          </w:r>
          <w:r>
            <w:rPr>
              <w:rFonts w:hint="eastAsia" w:ascii="仿宋" w:hAnsi="仿宋" w:eastAsia="仿宋" w:cs="仿宋"/>
              <w:color w:val="auto"/>
              <w:sz w:val="32"/>
              <w:szCs w:val="32"/>
              <w:highlight w:val="none"/>
            </w:rPr>
            <w:instrText xml:space="preserve"> PAGEREF _Toc13873 \h </w:instrText>
          </w:r>
          <w:r>
            <w:rPr>
              <w:rFonts w:hint="eastAsia" w:ascii="仿宋" w:hAnsi="仿宋" w:eastAsia="仿宋" w:cs="仿宋"/>
              <w:color w:val="auto"/>
              <w:sz w:val="32"/>
              <w:szCs w:val="32"/>
              <w:highlight w:val="none"/>
            </w:rPr>
            <w:fldChar w:fldCharType="separate"/>
          </w:r>
          <w:r>
            <w:rPr>
              <w:rFonts w:hint="eastAsia" w:ascii="仿宋" w:hAnsi="仿宋" w:eastAsia="仿宋" w:cs="仿宋"/>
              <w:color w:val="auto"/>
              <w:sz w:val="32"/>
              <w:szCs w:val="32"/>
              <w:highlight w:val="none"/>
            </w:rPr>
            <w:t>17</w:t>
          </w:r>
          <w:r>
            <w:rPr>
              <w:rFonts w:hint="eastAsia" w:ascii="仿宋" w:hAnsi="仿宋" w:eastAsia="仿宋" w:cs="仿宋"/>
              <w:color w:val="auto"/>
              <w:sz w:val="32"/>
              <w:szCs w:val="32"/>
              <w:highlight w:val="none"/>
            </w:rPr>
            <w:fldChar w:fldCharType="end"/>
          </w:r>
          <w:r>
            <w:rPr>
              <w:rFonts w:hint="eastAsia" w:ascii="仿宋" w:hAnsi="仿宋" w:eastAsia="仿宋" w:cs="仿宋"/>
              <w:color w:val="auto"/>
              <w:sz w:val="32"/>
              <w:szCs w:val="32"/>
              <w:highlight w:val="none"/>
            </w:rPr>
            <w:fldChar w:fldCharType="end"/>
          </w:r>
        </w:p>
        <w:p>
          <w:pPr>
            <w:pStyle w:val="9"/>
            <w:tabs>
              <w:tab w:val="right" w:leader="dot" w:pos="8306"/>
            </w:tabs>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fldChar w:fldCharType="begin"/>
          </w:r>
          <w:r>
            <w:rPr>
              <w:rFonts w:hint="eastAsia" w:ascii="仿宋" w:hAnsi="仿宋" w:eastAsia="仿宋" w:cs="仿宋"/>
              <w:color w:val="auto"/>
              <w:sz w:val="32"/>
              <w:szCs w:val="32"/>
              <w:highlight w:val="none"/>
            </w:rPr>
            <w:instrText xml:space="preserve"> HYPERLINK \l _Toc25884 </w:instrText>
          </w:r>
          <w:r>
            <w:rPr>
              <w:rFonts w:hint="eastAsia" w:ascii="仿宋" w:hAnsi="仿宋" w:eastAsia="仿宋" w:cs="仿宋"/>
              <w:color w:val="auto"/>
              <w:sz w:val="32"/>
              <w:szCs w:val="32"/>
              <w:highlight w:val="none"/>
            </w:rPr>
            <w:fldChar w:fldCharType="separate"/>
          </w:r>
          <w:r>
            <w:rPr>
              <w:rFonts w:hint="eastAsia" w:ascii="仿宋" w:hAnsi="仿宋" w:eastAsia="仿宋" w:cs="仿宋"/>
              <w:bCs/>
              <w:color w:val="auto"/>
              <w:sz w:val="32"/>
              <w:szCs w:val="32"/>
              <w:highlight w:val="none"/>
            </w:rPr>
            <w:t>五、 存在问题</w:t>
          </w:r>
          <w:r>
            <w:rPr>
              <w:rFonts w:hint="eastAsia" w:ascii="仿宋" w:hAnsi="仿宋" w:eastAsia="仿宋" w:cs="仿宋"/>
              <w:color w:val="auto"/>
              <w:sz w:val="32"/>
              <w:szCs w:val="32"/>
              <w:highlight w:val="none"/>
            </w:rPr>
            <w:tab/>
          </w:r>
          <w:bookmarkStart w:id="37" w:name="_GoBack"/>
          <w:bookmarkEnd w:id="37"/>
          <w:r>
            <w:rPr>
              <w:rFonts w:hint="eastAsia" w:ascii="仿宋" w:hAnsi="仿宋" w:eastAsia="仿宋" w:cs="仿宋"/>
              <w:color w:val="auto"/>
              <w:sz w:val="32"/>
              <w:szCs w:val="32"/>
              <w:highlight w:val="none"/>
            </w:rPr>
            <w:fldChar w:fldCharType="begin"/>
          </w:r>
          <w:r>
            <w:rPr>
              <w:rFonts w:hint="eastAsia" w:ascii="仿宋" w:hAnsi="仿宋" w:eastAsia="仿宋" w:cs="仿宋"/>
              <w:color w:val="auto"/>
              <w:sz w:val="32"/>
              <w:szCs w:val="32"/>
              <w:highlight w:val="none"/>
            </w:rPr>
            <w:instrText xml:space="preserve"> PAGEREF _Toc25884 \h </w:instrText>
          </w:r>
          <w:r>
            <w:rPr>
              <w:rFonts w:hint="eastAsia" w:ascii="仿宋" w:hAnsi="仿宋" w:eastAsia="仿宋" w:cs="仿宋"/>
              <w:color w:val="auto"/>
              <w:sz w:val="32"/>
              <w:szCs w:val="32"/>
              <w:highlight w:val="none"/>
            </w:rPr>
            <w:fldChar w:fldCharType="separate"/>
          </w:r>
          <w:r>
            <w:rPr>
              <w:rFonts w:hint="eastAsia" w:ascii="仿宋" w:hAnsi="仿宋" w:eastAsia="仿宋" w:cs="仿宋"/>
              <w:color w:val="auto"/>
              <w:sz w:val="32"/>
              <w:szCs w:val="32"/>
              <w:highlight w:val="none"/>
            </w:rPr>
            <w:t>18</w:t>
          </w:r>
          <w:r>
            <w:rPr>
              <w:rFonts w:hint="eastAsia" w:ascii="仿宋" w:hAnsi="仿宋" w:eastAsia="仿宋" w:cs="仿宋"/>
              <w:color w:val="auto"/>
              <w:sz w:val="32"/>
              <w:szCs w:val="32"/>
              <w:highlight w:val="none"/>
            </w:rPr>
            <w:fldChar w:fldCharType="end"/>
          </w:r>
          <w:r>
            <w:rPr>
              <w:rFonts w:hint="eastAsia" w:ascii="仿宋" w:hAnsi="仿宋" w:eastAsia="仿宋" w:cs="仿宋"/>
              <w:color w:val="auto"/>
              <w:sz w:val="32"/>
              <w:szCs w:val="32"/>
              <w:highlight w:val="none"/>
            </w:rPr>
            <w:fldChar w:fldCharType="end"/>
          </w:r>
        </w:p>
        <w:p>
          <w:pPr>
            <w:pStyle w:val="10"/>
            <w:tabs>
              <w:tab w:val="right" w:leader="dot" w:pos="8306"/>
            </w:tabs>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fldChar w:fldCharType="begin"/>
          </w:r>
          <w:r>
            <w:rPr>
              <w:rFonts w:hint="eastAsia" w:ascii="仿宋" w:hAnsi="仿宋" w:eastAsia="仿宋" w:cs="仿宋"/>
              <w:color w:val="auto"/>
              <w:sz w:val="32"/>
              <w:szCs w:val="32"/>
              <w:highlight w:val="none"/>
            </w:rPr>
            <w:instrText xml:space="preserve"> HYPERLINK \l _Toc29618 </w:instrText>
          </w:r>
          <w:r>
            <w:rPr>
              <w:rFonts w:hint="eastAsia" w:ascii="仿宋" w:hAnsi="仿宋" w:eastAsia="仿宋" w:cs="仿宋"/>
              <w:color w:val="auto"/>
              <w:sz w:val="32"/>
              <w:szCs w:val="32"/>
              <w:highlight w:val="none"/>
            </w:rPr>
            <w:fldChar w:fldCharType="separate"/>
          </w:r>
          <w:r>
            <w:rPr>
              <w:rFonts w:hint="eastAsia" w:ascii="仿宋" w:hAnsi="仿宋" w:eastAsia="仿宋" w:cs="仿宋"/>
              <w:color w:val="auto"/>
              <w:kern w:val="2"/>
              <w:sz w:val="32"/>
              <w:szCs w:val="32"/>
              <w:highlight w:val="none"/>
              <w:lang w:val="en-US" w:eastAsia="zh-CN" w:bidi="ar-SA"/>
            </w:rPr>
            <w:t>（一）绩效指标设置不够合理</w:t>
          </w:r>
          <w:r>
            <w:rPr>
              <w:rFonts w:hint="eastAsia" w:ascii="仿宋" w:hAnsi="仿宋" w:eastAsia="仿宋" w:cs="仿宋"/>
              <w:color w:val="auto"/>
              <w:sz w:val="32"/>
              <w:szCs w:val="32"/>
              <w:highlight w:val="none"/>
            </w:rPr>
            <w:tab/>
          </w:r>
          <w:r>
            <w:rPr>
              <w:rFonts w:hint="eastAsia" w:ascii="仿宋" w:hAnsi="仿宋" w:eastAsia="仿宋" w:cs="仿宋"/>
              <w:color w:val="auto"/>
              <w:sz w:val="32"/>
              <w:szCs w:val="32"/>
              <w:highlight w:val="none"/>
            </w:rPr>
            <w:fldChar w:fldCharType="begin"/>
          </w:r>
          <w:r>
            <w:rPr>
              <w:rFonts w:hint="eastAsia" w:ascii="仿宋" w:hAnsi="仿宋" w:eastAsia="仿宋" w:cs="仿宋"/>
              <w:color w:val="auto"/>
              <w:sz w:val="32"/>
              <w:szCs w:val="32"/>
              <w:highlight w:val="none"/>
            </w:rPr>
            <w:instrText xml:space="preserve"> PAGEREF _Toc29618 \h </w:instrText>
          </w:r>
          <w:r>
            <w:rPr>
              <w:rFonts w:hint="eastAsia" w:ascii="仿宋" w:hAnsi="仿宋" w:eastAsia="仿宋" w:cs="仿宋"/>
              <w:color w:val="auto"/>
              <w:sz w:val="32"/>
              <w:szCs w:val="32"/>
              <w:highlight w:val="none"/>
            </w:rPr>
            <w:fldChar w:fldCharType="separate"/>
          </w:r>
          <w:r>
            <w:rPr>
              <w:rFonts w:hint="eastAsia" w:ascii="仿宋" w:hAnsi="仿宋" w:eastAsia="仿宋" w:cs="仿宋"/>
              <w:color w:val="auto"/>
              <w:sz w:val="32"/>
              <w:szCs w:val="32"/>
              <w:highlight w:val="none"/>
            </w:rPr>
            <w:t>18</w:t>
          </w:r>
          <w:r>
            <w:rPr>
              <w:rFonts w:hint="eastAsia" w:ascii="仿宋" w:hAnsi="仿宋" w:eastAsia="仿宋" w:cs="仿宋"/>
              <w:color w:val="auto"/>
              <w:sz w:val="32"/>
              <w:szCs w:val="32"/>
              <w:highlight w:val="none"/>
            </w:rPr>
            <w:fldChar w:fldCharType="end"/>
          </w:r>
          <w:r>
            <w:rPr>
              <w:rFonts w:hint="eastAsia" w:ascii="仿宋" w:hAnsi="仿宋" w:eastAsia="仿宋" w:cs="仿宋"/>
              <w:color w:val="auto"/>
              <w:sz w:val="32"/>
              <w:szCs w:val="32"/>
              <w:highlight w:val="none"/>
            </w:rPr>
            <w:fldChar w:fldCharType="end"/>
          </w:r>
        </w:p>
        <w:p>
          <w:pPr>
            <w:pStyle w:val="10"/>
            <w:tabs>
              <w:tab w:val="right" w:leader="dot" w:pos="8306"/>
            </w:tabs>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fldChar w:fldCharType="begin"/>
          </w:r>
          <w:r>
            <w:rPr>
              <w:rFonts w:hint="eastAsia" w:ascii="仿宋" w:hAnsi="仿宋" w:eastAsia="仿宋" w:cs="仿宋"/>
              <w:color w:val="auto"/>
              <w:sz w:val="32"/>
              <w:szCs w:val="32"/>
              <w:highlight w:val="none"/>
            </w:rPr>
            <w:instrText xml:space="preserve"> HYPERLINK \l _Toc13277 </w:instrText>
          </w:r>
          <w:r>
            <w:rPr>
              <w:rFonts w:hint="eastAsia" w:ascii="仿宋" w:hAnsi="仿宋" w:eastAsia="仿宋" w:cs="仿宋"/>
              <w:color w:val="auto"/>
              <w:sz w:val="32"/>
              <w:szCs w:val="32"/>
              <w:highlight w:val="none"/>
            </w:rPr>
            <w:fldChar w:fldCharType="separate"/>
          </w:r>
          <w:r>
            <w:rPr>
              <w:rFonts w:hint="eastAsia" w:ascii="仿宋" w:hAnsi="仿宋" w:eastAsia="仿宋" w:cs="仿宋"/>
              <w:color w:val="auto"/>
              <w:kern w:val="2"/>
              <w:sz w:val="32"/>
              <w:szCs w:val="32"/>
              <w:highlight w:val="none"/>
              <w:lang w:val="en-US" w:eastAsia="zh-CN" w:bidi="ar-SA"/>
            </w:rPr>
            <w:t>（二）未针对服务情况进行及时监督、记录</w:t>
          </w:r>
          <w:r>
            <w:rPr>
              <w:rFonts w:hint="eastAsia" w:ascii="仿宋" w:hAnsi="仿宋" w:eastAsia="仿宋" w:cs="仿宋"/>
              <w:color w:val="auto"/>
              <w:sz w:val="32"/>
              <w:szCs w:val="32"/>
              <w:highlight w:val="none"/>
            </w:rPr>
            <w:tab/>
          </w:r>
          <w:r>
            <w:rPr>
              <w:rFonts w:hint="eastAsia" w:ascii="仿宋" w:hAnsi="仿宋" w:eastAsia="仿宋" w:cs="仿宋"/>
              <w:color w:val="auto"/>
              <w:sz w:val="32"/>
              <w:szCs w:val="32"/>
              <w:highlight w:val="none"/>
            </w:rPr>
            <w:fldChar w:fldCharType="begin"/>
          </w:r>
          <w:r>
            <w:rPr>
              <w:rFonts w:hint="eastAsia" w:ascii="仿宋" w:hAnsi="仿宋" w:eastAsia="仿宋" w:cs="仿宋"/>
              <w:color w:val="auto"/>
              <w:sz w:val="32"/>
              <w:szCs w:val="32"/>
              <w:highlight w:val="none"/>
            </w:rPr>
            <w:instrText xml:space="preserve"> PAGEREF _Toc13277 \h </w:instrText>
          </w:r>
          <w:r>
            <w:rPr>
              <w:rFonts w:hint="eastAsia" w:ascii="仿宋" w:hAnsi="仿宋" w:eastAsia="仿宋" w:cs="仿宋"/>
              <w:color w:val="auto"/>
              <w:sz w:val="32"/>
              <w:szCs w:val="32"/>
              <w:highlight w:val="none"/>
            </w:rPr>
            <w:fldChar w:fldCharType="separate"/>
          </w:r>
          <w:r>
            <w:rPr>
              <w:rFonts w:hint="eastAsia" w:ascii="仿宋" w:hAnsi="仿宋" w:eastAsia="仿宋" w:cs="仿宋"/>
              <w:color w:val="auto"/>
              <w:sz w:val="32"/>
              <w:szCs w:val="32"/>
              <w:highlight w:val="none"/>
            </w:rPr>
            <w:t>18</w:t>
          </w:r>
          <w:r>
            <w:rPr>
              <w:rFonts w:hint="eastAsia" w:ascii="仿宋" w:hAnsi="仿宋" w:eastAsia="仿宋" w:cs="仿宋"/>
              <w:color w:val="auto"/>
              <w:sz w:val="32"/>
              <w:szCs w:val="32"/>
              <w:highlight w:val="none"/>
            </w:rPr>
            <w:fldChar w:fldCharType="end"/>
          </w:r>
          <w:r>
            <w:rPr>
              <w:rFonts w:hint="eastAsia" w:ascii="仿宋" w:hAnsi="仿宋" w:eastAsia="仿宋" w:cs="仿宋"/>
              <w:color w:val="auto"/>
              <w:sz w:val="32"/>
              <w:szCs w:val="32"/>
              <w:highlight w:val="none"/>
            </w:rPr>
            <w:fldChar w:fldCharType="end"/>
          </w:r>
        </w:p>
        <w:p>
          <w:pPr>
            <w:pStyle w:val="9"/>
            <w:tabs>
              <w:tab w:val="right" w:leader="dot" w:pos="8306"/>
            </w:tabs>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fldChar w:fldCharType="begin"/>
          </w:r>
          <w:r>
            <w:rPr>
              <w:rFonts w:hint="eastAsia" w:ascii="仿宋" w:hAnsi="仿宋" w:eastAsia="仿宋" w:cs="仿宋"/>
              <w:color w:val="auto"/>
              <w:sz w:val="32"/>
              <w:szCs w:val="32"/>
              <w:highlight w:val="none"/>
            </w:rPr>
            <w:instrText xml:space="preserve"> HYPERLINK \l _Toc13768 </w:instrText>
          </w:r>
          <w:r>
            <w:rPr>
              <w:rFonts w:hint="eastAsia" w:ascii="仿宋" w:hAnsi="仿宋" w:eastAsia="仿宋" w:cs="仿宋"/>
              <w:color w:val="auto"/>
              <w:sz w:val="32"/>
              <w:szCs w:val="32"/>
              <w:highlight w:val="none"/>
            </w:rPr>
            <w:fldChar w:fldCharType="separate"/>
          </w:r>
          <w:r>
            <w:rPr>
              <w:rFonts w:hint="eastAsia" w:ascii="仿宋" w:hAnsi="仿宋" w:eastAsia="仿宋" w:cs="仿宋"/>
              <w:bCs/>
              <w:color w:val="auto"/>
              <w:sz w:val="32"/>
              <w:szCs w:val="32"/>
              <w:highlight w:val="none"/>
            </w:rPr>
            <w:t>六、 相关建议</w:t>
          </w:r>
          <w:r>
            <w:rPr>
              <w:rFonts w:hint="eastAsia" w:ascii="仿宋" w:hAnsi="仿宋" w:eastAsia="仿宋" w:cs="仿宋"/>
              <w:color w:val="auto"/>
              <w:sz w:val="32"/>
              <w:szCs w:val="32"/>
              <w:highlight w:val="none"/>
            </w:rPr>
            <w:tab/>
          </w:r>
          <w:r>
            <w:rPr>
              <w:rFonts w:hint="eastAsia" w:ascii="仿宋" w:hAnsi="仿宋" w:eastAsia="仿宋" w:cs="仿宋"/>
              <w:color w:val="auto"/>
              <w:sz w:val="32"/>
              <w:szCs w:val="32"/>
              <w:highlight w:val="none"/>
            </w:rPr>
            <w:fldChar w:fldCharType="begin"/>
          </w:r>
          <w:r>
            <w:rPr>
              <w:rFonts w:hint="eastAsia" w:ascii="仿宋" w:hAnsi="仿宋" w:eastAsia="仿宋" w:cs="仿宋"/>
              <w:color w:val="auto"/>
              <w:sz w:val="32"/>
              <w:szCs w:val="32"/>
              <w:highlight w:val="none"/>
            </w:rPr>
            <w:instrText xml:space="preserve"> PAGEREF _Toc13768 \h </w:instrText>
          </w:r>
          <w:r>
            <w:rPr>
              <w:rFonts w:hint="eastAsia" w:ascii="仿宋" w:hAnsi="仿宋" w:eastAsia="仿宋" w:cs="仿宋"/>
              <w:color w:val="auto"/>
              <w:sz w:val="32"/>
              <w:szCs w:val="32"/>
              <w:highlight w:val="none"/>
            </w:rPr>
            <w:fldChar w:fldCharType="separate"/>
          </w:r>
          <w:r>
            <w:rPr>
              <w:rFonts w:hint="eastAsia" w:ascii="仿宋" w:hAnsi="仿宋" w:eastAsia="仿宋" w:cs="仿宋"/>
              <w:color w:val="auto"/>
              <w:sz w:val="32"/>
              <w:szCs w:val="32"/>
              <w:highlight w:val="none"/>
            </w:rPr>
            <w:t>19</w:t>
          </w:r>
          <w:r>
            <w:rPr>
              <w:rFonts w:hint="eastAsia" w:ascii="仿宋" w:hAnsi="仿宋" w:eastAsia="仿宋" w:cs="仿宋"/>
              <w:color w:val="auto"/>
              <w:sz w:val="32"/>
              <w:szCs w:val="32"/>
              <w:highlight w:val="none"/>
            </w:rPr>
            <w:fldChar w:fldCharType="end"/>
          </w:r>
          <w:r>
            <w:rPr>
              <w:rFonts w:hint="eastAsia" w:ascii="仿宋" w:hAnsi="仿宋" w:eastAsia="仿宋" w:cs="仿宋"/>
              <w:color w:val="auto"/>
              <w:sz w:val="32"/>
              <w:szCs w:val="32"/>
              <w:highlight w:val="none"/>
            </w:rPr>
            <w:fldChar w:fldCharType="end"/>
          </w:r>
        </w:p>
        <w:p>
          <w:pPr>
            <w:pStyle w:val="10"/>
            <w:tabs>
              <w:tab w:val="right" w:leader="dot" w:pos="8306"/>
            </w:tabs>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fldChar w:fldCharType="begin"/>
          </w:r>
          <w:r>
            <w:rPr>
              <w:rFonts w:hint="eastAsia" w:ascii="仿宋" w:hAnsi="仿宋" w:eastAsia="仿宋" w:cs="仿宋"/>
              <w:color w:val="auto"/>
              <w:sz w:val="32"/>
              <w:szCs w:val="32"/>
              <w:highlight w:val="none"/>
            </w:rPr>
            <w:instrText xml:space="preserve"> HYPERLINK \l _Toc5681 </w:instrText>
          </w:r>
          <w:r>
            <w:rPr>
              <w:rFonts w:hint="eastAsia" w:ascii="仿宋" w:hAnsi="仿宋" w:eastAsia="仿宋" w:cs="仿宋"/>
              <w:color w:val="auto"/>
              <w:sz w:val="32"/>
              <w:szCs w:val="32"/>
              <w:highlight w:val="none"/>
            </w:rPr>
            <w:fldChar w:fldCharType="separate"/>
          </w:r>
          <w:r>
            <w:rPr>
              <w:rFonts w:hint="eastAsia" w:ascii="仿宋" w:hAnsi="仿宋" w:eastAsia="仿宋" w:cs="仿宋"/>
              <w:color w:val="auto"/>
              <w:kern w:val="2"/>
              <w:sz w:val="32"/>
              <w:szCs w:val="32"/>
              <w:highlight w:val="none"/>
              <w:lang w:val="en-US" w:eastAsia="zh-CN" w:bidi="ar-SA"/>
            </w:rPr>
            <w:t>（一）进一步完善绩效目标表</w:t>
          </w:r>
          <w:r>
            <w:rPr>
              <w:rFonts w:hint="eastAsia" w:ascii="仿宋" w:hAnsi="仿宋" w:eastAsia="仿宋" w:cs="仿宋"/>
              <w:color w:val="auto"/>
              <w:sz w:val="32"/>
              <w:szCs w:val="32"/>
              <w:highlight w:val="none"/>
            </w:rPr>
            <w:tab/>
          </w:r>
          <w:r>
            <w:rPr>
              <w:rFonts w:hint="eastAsia" w:ascii="仿宋" w:hAnsi="仿宋" w:eastAsia="仿宋" w:cs="仿宋"/>
              <w:color w:val="auto"/>
              <w:sz w:val="32"/>
              <w:szCs w:val="32"/>
              <w:highlight w:val="none"/>
            </w:rPr>
            <w:fldChar w:fldCharType="begin"/>
          </w:r>
          <w:r>
            <w:rPr>
              <w:rFonts w:hint="eastAsia" w:ascii="仿宋" w:hAnsi="仿宋" w:eastAsia="仿宋" w:cs="仿宋"/>
              <w:color w:val="auto"/>
              <w:sz w:val="32"/>
              <w:szCs w:val="32"/>
              <w:highlight w:val="none"/>
            </w:rPr>
            <w:instrText xml:space="preserve"> PAGEREF _Toc5681 \h </w:instrText>
          </w:r>
          <w:r>
            <w:rPr>
              <w:rFonts w:hint="eastAsia" w:ascii="仿宋" w:hAnsi="仿宋" w:eastAsia="仿宋" w:cs="仿宋"/>
              <w:color w:val="auto"/>
              <w:sz w:val="32"/>
              <w:szCs w:val="32"/>
              <w:highlight w:val="none"/>
            </w:rPr>
            <w:fldChar w:fldCharType="separate"/>
          </w:r>
          <w:r>
            <w:rPr>
              <w:rFonts w:hint="eastAsia" w:ascii="仿宋" w:hAnsi="仿宋" w:eastAsia="仿宋" w:cs="仿宋"/>
              <w:color w:val="auto"/>
              <w:sz w:val="32"/>
              <w:szCs w:val="32"/>
              <w:highlight w:val="none"/>
            </w:rPr>
            <w:t>19</w:t>
          </w:r>
          <w:r>
            <w:rPr>
              <w:rFonts w:hint="eastAsia" w:ascii="仿宋" w:hAnsi="仿宋" w:eastAsia="仿宋" w:cs="仿宋"/>
              <w:color w:val="auto"/>
              <w:sz w:val="32"/>
              <w:szCs w:val="32"/>
              <w:highlight w:val="none"/>
            </w:rPr>
            <w:fldChar w:fldCharType="end"/>
          </w:r>
          <w:r>
            <w:rPr>
              <w:rFonts w:hint="eastAsia" w:ascii="仿宋" w:hAnsi="仿宋" w:eastAsia="仿宋" w:cs="仿宋"/>
              <w:color w:val="auto"/>
              <w:sz w:val="32"/>
              <w:szCs w:val="32"/>
              <w:highlight w:val="none"/>
            </w:rPr>
            <w:fldChar w:fldCharType="end"/>
          </w:r>
        </w:p>
        <w:p>
          <w:pPr>
            <w:pStyle w:val="10"/>
            <w:tabs>
              <w:tab w:val="right" w:leader="dot" w:pos="8306"/>
            </w:tabs>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fldChar w:fldCharType="begin"/>
          </w:r>
          <w:r>
            <w:rPr>
              <w:rFonts w:hint="eastAsia" w:ascii="仿宋" w:hAnsi="仿宋" w:eastAsia="仿宋" w:cs="仿宋"/>
              <w:color w:val="auto"/>
              <w:sz w:val="32"/>
              <w:szCs w:val="32"/>
              <w:highlight w:val="none"/>
            </w:rPr>
            <w:instrText xml:space="preserve"> HYPERLINK \l _Toc31273 </w:instrText>
          </w:r>
          <w:r>
            <w:rPr>
              <w:rFonts w:hint="eastAsia" w:ascii="仿宋" w:hAnsi="仿宋" w:eastAsia="仿宋" w:cs="仿宋"/>
              <w:color w:val="auto"/>
              <w:sz w:val="32"/>
              <w:szCs w:val="32"/>
              <w:highlight w:val="none"/>
            </w:rPr>
            <w:fldChar w:fldCharType="separate"/>
          </w:r>
          <w:r>
            <w:rPr>
              <w:rFonts w:hint="eastAsia" w:ascii="仿宋" w:hAnsi="仿宋" w:eastAsia="仿宋" w:cs="仿宋"/>
              <w:color w:val="auto"/>
              <w:kern w:val="2"/>
              <w:sz w:val="32"/>
              <w:szCs w:val="32"/>
              <w:highlight w:val="none"/>
              <w:lang w:val="en-US" w:eastAsia="zh-CN" w:bidi="ar-SA"/>
            </w:rPr>
            <w:t>（二）重视对绩效成果支撑资料的收集</w:t>
          </w:r>
          <w:r>
            <w:rPr>
              <w:rFonts w:hint="eastAsia" w:ascii="仿宋" w:hAnsi="仿宋" w:eastAsia="仿宋" w:cs="仿宋"/>
              <w:color w:val="auto"/>
              <w:sz w:val="32"/>
              <w:szCs w:val="32"/>
              <w:highlight w:val="none"/>
            </w:rPr>
            <w:tab/>
          </w:r>
          <w:r>
            <w:rPr>
              <w:rFonts w:hint="eastAsia" w:ascii="仿宋" w:hAnsi="仿宋" w:eastAsia="仿宋" w:cs="仿宋"/>
              <w:color w:val="auto"/>
              <w:sz w:val="32"/>
              <w:szCs w:val="32"/>
              <w:highlight w:val="none"/>
            </w:rPr>
            <w:fldChar w:fldCharType="begin"/>
          </w:r>
          <w:r>
            <w:rPr>
              <w:rFonts w:hint="eastAsia" w:ascii="仿宋" w:hAnsi="仿宋" w:eastAsia="仿宋" w:cs="仿宋"/>
              <w:color w:val="auto"/>
              <w:sz w:val="32"/>
              <w:szCs w:val="32"/>
              <w:highlight w:val="none"/>
            </w:rPr>
            <w:instrText xml:space="preserve"> PAGEREF _Toc31273 \h </w:instrText>
          </w:r>
          <w:r>
            <w:rPr>
              <w:rFonts w:hint="eastAsia" w:ascii="仿宋" w:hAnsi="仿宋" w:eastAsia="仿宋" w:cs="仿宋"/>
              <w:color w:val="auto"/>
              <w:sz w:val="32"/>
              <w:szCs w:val="32"/>
              <w:highlight w:val="none"/>
            </w:rPr>
            <w:fldChar w:fldCharType="separate"/>
          </w:r>
          <w:r>
            <w:rPr>
              <w:rFonts w:hint="eastAsia" w:ascii="仿宋" w:hAnsi="仿宋" w:eastAsia="仿宋" w:cs="仿宋"/>
              <w:color w:val="auto"/>
              <w:sz w:val="32"/>
              <w:szCs w:val="32"/>
              <w:highlight w:val="none"/>
            </w:rPr>
            <w:t>19</w:t>
          </w:r>
          <w:r>
            <w:rPr>
              <w:rFonts w:hint="eastAsia" w:ascii="仿宋" w:hAnsi="仿宋" w:eastAsia="仿宋" w:cs="仿宋"/>
              <w:color w:val="auto"/>
              <w:sz w:val="32"/>
              <w:szCs w:val="32"/>
              <w:highlight w:val="none"/>
            </w:rPr>
            <w:fldChar w:fldCharType="end"/>
          </w:r>
          <w:r>
            <w:rPr>
              <w:rFonts w:hint="eastAsia" w:ascii="仿宋" w:hAnsi="仿宋" w:eastAsia="仿宋" w:cs="仿宋"/>
              <w:color w:val="auto"/>
              <w:sz w:val="32"/>
              <w:szCs w:val="32"/>
              <w:highlight w:val="none"/>
            </w:rPr>
            <w:fldChar w:fldCharType="end"/>
          </w:r>
        </w:p>
        <w:p>
          <w:pPr>
            <w:pStyle w:val="9"/>
            <w:keepNext w:val="0"/>
            <w:keepLines w:val="0"/>
            <w:pageBreakBefore w:val="0"/>
            <w:widowControl w:val="0"/>
            <w:tabs>
              <w:tab w:val="right" w:leader="dot" w:pos="8306"/>
            </w:tabs>
            <w:kinsoku/>
            <w:wordWrap/>
            <w:overflowPunct/>
            <w:topLinePunct w:val="0"/>
            <w:autoSpaceDE/>
            <w:autoSpaceDN/>
            <w:bidi w:val="0"/>
            <w:adjustRightInd/>
            <w:snapToGrid/>
            <w:spacing w:line="600" w:lineRule="exact"/>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fldChar w:fldCharType="end"/>
          </w:r>
        </w:p>
        <w:p>
          <w:pPr>
            <w:rPr>
              <w:rFonts w:hint="eastAsia" w:ascii="仿宋" w:hAnsi="仿宋" w:eastAsia="仿宋" w:cs="仿宋"/>
              <w:b/>
              <w:color w:val="auto"/>
              <w:sz w:val="32"/>
              <w:szCs w:val="32"/>
              <w:highlight w:val="none"/>
            </w:rPr>
          </w:pPr>
          <w:r>
            <w:rPr>
              <w:rFonts w:hint="eastAsia" w:ascii="仿宋" w:hAnsi="仿宋" w:eastAsia="仿宋" w:cs="仿宋"/>
              <w:b/>
              <w:color w:val="auto"/>
              <w:sz w:val="32"/>
              <w:szCs w:val="32"/>
              <w:highlight w:val="none"/>
            </w:rPr>
            <w:br w:type="page"/>
          </w:r>
        </w:p>
        <w:p>
          <w:pPr>
            <w:pStyle w:val="9"/>
            <w:keepNext w:val="0"/>
            <w:keepLines w:val="0"/>
            <w:pageBreakBefore w:val="0"/>
            <w:widowControl w:val="0"/>
            <w:tabs>
              <w:tab w:val="right" w:leader="dot" w:pos="8306"/>
            </w:tabs>
            <w:kinsoku/>
            <w:wordWrap/>
            <w:overflowPunct/>
            <w:topLinePunct w:val="0"/>
            <w:autoSpaceDE/>
            <w:autoSpaceDN/>
            <w:bidi w:val="0"/>
            <w:adjustRightInd/>
            <w:snapToGrid/>
            <w:spacing w:line="600" w:lineRule="exact"/>
            <w:textAlignment w:val="auto"/>
            <w:rPr>
              <w:rFonts w:hint="eastAsia" w:ascii="仿宋" w:hAnsi="仿宋" w:eastAsia="仿宋" w:cs="仿宋"/>
              <w:b/>
              <w:color w:val="auto"/>
              <w:sz w:val="32"/>
              <w:szCs w:val="32"/>
              <w:highlight w:val="none"/>
            </w:rPr>
          </w:pPr>
        </w:p>
      </w:sdtContent>
    </w:sdt>
    <w:p>
      <w:pPr>
        <w:spacing w:line="360" w:lineRule="auto"/>
        <w:jc w:val="center"/>
        <w:rPr>
          <w:rFonts w:hint="eastAsia" w:ascii="微软雅黑" w:hAnsi="微软雅黑" w:eastAsia="微软雅黑" w:cs="微软雅黑"/>
          <w:color w:val="auto"/>
          <w:w w:val="105"/>
          <w:kern w:val="0"/>
          <w:sz w:val="44"/>
          <w:szCs w:val="44"/>
          <w:highlight w:val="none"/>
          <w:lang w:eastAsia="zh-CN"/>
        </w:rPr>
      </w:pPr>
      <w:bookmarkStart w:id="0" w:name="_Toc4506"/>
      <w:bookmarkStart w:id="1" w:name="_Toc20096"/>
      <w:r>
        <w:rPr>
          <w:rFonts w:hint="eastAsia" w:ascii="微软雅黑" w:hAnsi="微软雅黑" w:eastAsia="微软雅黑" w:cs="微软雅黑"/>
          <w:color w:val="auto"/>
          <w:w w:val="105"/>
          <w:kern w:val="0"/>
          <w:sz w:val="44"/>
          <w:szCs w:val="44"/>
          <w:highlight w:val="none"/>
          <w:lang w:eastAsia="zh-CN"/>
        </w:rPr>
        <w:t>治超卸载点土地租赁及运营服务项目</w:t>
      </w:r>
    </w:p>
    <w:p>
      <w:pPr>
        <w:spacing w:line="360" w:lineRule="auto"/>
        <w:jc w:val="center"/>
        <w:rPr>
          <w:rFonts w:hint="eastAsia" w:ascii="微软雅黑" w:hAnsi="微软雅黑" w:eastAsia="微软雅黑" w:cs="微软雅黑"/>
          <w:color w:val="auto"/>
          <w:w w:val="105"/>
          <w:kern w:val="0"/>
          <w:sz w:val="44"/>
          <w:szCs w:val="44"/>
          <w:highlight w:val="none"/>
          <w:lang w:eastAsia="zh-CN"/>
        </w:rPr>
      </w:pPr>
      <w:r>
        <w:rPr>
          <w:rFonts w:hint="eastAsia" w:ascii="微软雅黑" w:hAnsi="微软雅黑" w:eastAsia="微软雅黑" w:cs="微软雅黑"/>
          <w:color w:val="auto"/>
          <w:w w:val="105"/>
          <w:kern w:val="0"/>
          <w:sz w:val="44"/>
          <w:szCs w:val="44"/>
          <w:highlight w:val="none"/>
          <w:lang w:eastAsia="zh-CN"/>
        </w:rPr>
        <w:t>绩效评价报告</w:t>
      </w:r>
      <w:bookmarkEnd w:id="0"/>
      <w:bookmarkEnd w:id="1"/>
    </w:p>
    <w:p>
      <w:pPr>
        <w:spacing w:line="400" w:lineRule="exact"/>
        <w:ind w:firstLine="643" w:firstLineChars="200"/>
        <w:jc w:val="center"/>
        <w:rPr>
          <w:rFonts w:ascii="宋体" w:hAnsi="宋体" w:cs="宋体"/>
          <w:b/>
          <w:color w:val="auto"/>
          <w:sz w:val="32"/>
          <w:szCs w:val="32"/>
          <w:highlight w:val="none"/>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highlight w:val="none"/>
        </w:rPr>
      </w:pPr>
      <w:bookmarkStart w:id="2" w:name="_Hlk57149210"/>
      <w:bookmarkStart w:id="3" w:name="_Hlk54797039"/>
      <w:r>
        <w:rPr>
          <w:rFonts w:hint="eastAsia" w:ascii="仿宋_GB2312" w:hAnsi="仿宋_GB2312" w:eastAsia="仿宋_GB2312" w:cs="仿宋_GB2312"/>
          <w:color w:val="auto"/>
          <w:sz w:val="32"/>
          <w:szCs w:val="32"/>
          <w:highlight w:val="none"/>
        </w:rPr>
        <w:t>为进一步规范</w:t>
      </w:r>
      <w:r>
        <w:rPr>
          <w:rFonts w:hint="eastAsia" w:ascii="仿宋_GB2312" w:hAnsi="仿宋_GB2312" w:eastAsia="仿宋_GB2312" w:cs="仿宋_GB2312"/>
          <w:color w:val="auto"/>
          <w:sz w:val="32"/>
          <w:szCs w:val="32"/>
          <w:highlight w:val="none"/>
          <w:lang w:eastAsia="zh-CN"/>
        </w:rPr>
        <w:t>天津市北辰区交通运输管理局</w:t>
      </w:r>
      <w:r>
        <w:rPr>
          <w:rFonts w:hint="eastAsia" w:ascii="仿宋_GB2312" w:hAnsi="仿宋_GB2312" w:eastAsia="仿宋_GB2312" w:cs="仿宋_GB2312"/>
          <w:color w:val="auto"/>
          <w:sz w:val="32"/>
          <w:szCs w:val="32"/>
          <w:highlight w:val="none"/>
        </w:rPr>
        <w:t>（以下简称“</w:t>
      </w:r>
      <w:r>
        <w:rPr>
          <w:rFonts w:hint="eastAsia" w:ascii="仿宋_GB2312" w:hAnsi="仿宋_GB2312" w:eastAsia="仿宋_GB2312" w:cs="仿宋_GB2312"/>
          <w:color w:val="auto"/>
          <w:sz w:val="32"/>
          <w:szCs w:val="32"/>
          <w:highlight w:val="none"/>
          <w:lang w:eastAsia="zh-CN"/>
        </w:rPr>
        <w:t>区</w:t>
      </w:r>
      <w:r>
        <w:rPr>
          <w:rFonts w:hint="eastAsia" w:ascii="仿宋_GB2312" w:hAnsi="仿宋_GB2312" w:eastAsia="仿宋_GB2312" w:cs="仿宋_GB2312"/>
          <w:color w:val="auto"/>
          <w:sz w:val="32"/>
          <w:szCs w:val="32"/>
          <w:highlight w:val="none"/>
          <w:lang w:val="en-US" w:eastAsia="zh-CN"/>
        </w:rPr>
        <w:t>运管局</w:t>
      </w:r>
      <w:r>
        <w:rPr>
          <w:rFonts w:hint="eastAsia" w:ascii="仿宋_GB2312" w:hAnsi="仿宋_GB2312" w:eastAsia="仿宋_GB2312" w:cs="仿宋_GB2312"/>
          <w:color w:val="auto"/>
          <w:sz w:val="32"/>
          <w:szCs w:val="32"/>
          <w:highlight w:val="none"/>
        </w:rPr>
        <w:t>”）关于</w:t>
      </w:r>
      <w:r>
        <w:rPr>
          <w:rFonts w:hint="eastAsia" w:ascii="仿宋_GB2312" w:hAnsi="仿宋_GB2312" w:eastAsia="仿宋_GB2312" w:cs="仿宋_GB2312"/>
          <w:color w:val="auto"/>
          <w:sz w:val="32"/>
          <w:szCs w:val="32"/>
          <w:highlight w:val="none"/>
          <w:lang w:eastAsia="zh-CN"/>
        </w:rPr>
        <w:t>北辰区治超卸载点土地租赁及运营服务项目</w:t>
      </w:r>
      <w:r>
        <w:rPr>
          <w:rFonts w:hint="eastAsia" w:ascii="仿宋_GB2312" w:hAnsi="仿宋_GB2312" w:eastAsia="仿宋_GB2312" w:cs="仿宋_GB2312"/>
          <w:color w:val="auto"/>
          <w:sz w:val="32"/>
          <w:szCs w:val="32"/>
          <w:highlight w:val="none"/>
        </w:rPr>
        <w:t>专项资金管理和使用，我们接受</w:t>
      </w:r>
      <w:r>
        <w:rPr>
          <w:rFonts w:hint="eastAsia" w:ascii="仿宋_GB2312" w:hAnsi="仿宋_GB2312" w:eastAsia="仿宋_GB2312" w:cs="仿宋_GB2312"/>
          <w:color w:val="auto"/>
          <w:sz w:val="32"/>
          <w:szCs w:val="32"/>
          <w:highlight w:val="none"/>
          <w:lang w:eastAsia="zh-CN"/>
        </w:rPr>
        <w:t>天津市北辰区财政局</w:t>
      </w:r>
      <w:r>
        <w:rPr>
          <w:rFonts w:hint="eastAsia" w:ascii="仿宋_GB2312" w:hAnsi="仿宋_GB2312" w:eastAsia="仿宋_GB2312" w:cs="仿宋_GB2312"/>
          <w:color w:val="auto"/>
          <w:sz w:val="32"/>
          <w:szCs w:val="32"/>
          <w:highlight w:val="none"/>
        </w:rPr>
        <w:t>的委托，通过对项目执行与完成情况的全面了解和分析，对项目立项、项目决策、项目管理、项目绩效等情况进行评价，在核实、收集、整理、汇总、分析绩效相关资料的基础上，形成了项目绩效评价报告。现将绩效评价情况报告如下：</w:t>
      </w:r>
      <w:bookmarkEnd w:id="2"/>
    </w:p>
    <w:bookmarkEnd w:id="3"/>
    <w:p>
      <w:pPr>
        <w:pStyle w:val="3"/>
        <w:pageBreakBefore w:val="0"/>
        <w:widowControl w:val="0"/>
        <w:numPr>
          <w:ilvl w:val="0"/>
          <w:numId w:val="2"/>
        </w:numPr>
        <w:kinsoku/>
        <w:wordWrap/>
        <w:overflowPunct/>
        <w:topLinePunct w:val="0"/>
        <w:autoSpaceDE/>
        <w:autoSpaceDN/>
        <w:bidi w:val="0"/>
        <w:adjustRightInd/>
        <w:snapToGrid/>
        <w:spacing w:before="0" w:after="0" w:line="600" w:lineRule="exact"/>
        <w:ind w:firstLine="640" w:firstLineChars="200"/>
        <w:textAlignment w:val="auto"/>
        <w:rPr>
          <w:rFonts w:hint="eastAsia" w:ascii="黑体" w:hAnsi="黑体" w:eastAsia="黑体" w:cs="黑体"/>
          <w:b w:val="0"/>
          <w:bCs/>
          <w:color w:val="auto"/>
          <w:sz w:val="32"/>
          <w:szCs w:val="32"/>
          <w:highlight w:val="none"/>
        </w:rPr>
      </w:pPr>
      <w:bookmarkStart w:id="4" w:name="_Toc29689"/>
      <w:r>
        <w:rPr>
          <w:rFonts w:hint="eastAsia" w:ascii="黑体" w:hAnsi="黑体" w:eastAsia="黑体" w:cs="黑体"/>
          <w:b w:val="0"/>
          <w:bCs/>
          <w:color w:val="auto"/>
          <w:sz w:val="32"/>
          <w:szCs w:val="32"/>
          <w:highlight w:val="none"/>
        </w:rPr>
        <w:t>基本</w:t>
      </w:r>
      <w:r>
        <w:rPr>
          <w:rFonts w:hint="eastAsia" w:ascii="黑体" w:hAnsi="黑体" w:eastAsia="黑体" w:cs="黑体"/>
          <w:b w:val="0"/>
          <w:bCs/>
          <w:color w:val="auto"/>
          <w:sz w:val="32"/>
          <w:szCs w:val="32"/>
          <w:highlight w:val="none"/>
          <w:lang w:val="en-US" w:eastAsia="zh-CN"/>
        </w:rPr>
        <w:t>情况</w:t>
      </w:r>
      <w:bookmarkEnd w:id="4"/>
    </w:p>
    <w:p>
      <w:pPr>
        <w:pStyle w:val="4"/>
        <w:pageBreakBefore w:val="0"/>
        <w:widowControl w:val="0"/>
        <w:kinsoku/>
        <w:wordWrap/>
        <w:overflowPunct/>
        <w:topLinePunct w:val="0"/>
        <w:autoSpaceDE/>
        <w:autoSpaceDN/>
        <w:bidi w:val="0"/>
        <w:adjustRightInd/>
        <w:snapToGrid/>
        <w:spacing w:before="0" w:after="0" w:line="600" w:lineRule="exact"/>
        <w:ind w:left="0" w:firstLine="640" w:firstLineChars="200"/>
        <w:textAlignment w:val="auto"/>
        <w:rPr>
          <w:rFonts w:hint="eastAsia" w:ascii="仿宋_GB2312" w:hAnsi="仿宋_GB2312" w:eastAsia="仿宋_GB2312" w:cs="仿宋_GB2312"/>
          <w:color w:val="auto"/>
          <w:kern w:val="2"/>
          <w:sz w:val="32"/>
          <w:szCs w:val="32"/>
          <w:highlight w:val="none"/>
          <w:lang w:val="en-US" w:eastAsia="zh-CN" w:bidi="ar-SA"/>
        </w:rPr>
      </w:pPr>
      <w:bookmarkStart w:id="5" w:name="_Toc31010"/>
      <w:r>
        <w:rPr>
          <w:rFonts w:hint="eastAsia" w:ascii="仿宋_GB2312" w:hAnsi="仿宋_GB2312" w:eastAsia="仿宋_GB2312" w:cs="仿宋_GB2312"/>
          <w:color w:val="auto"/>
          <w:kern w:val="2"/>
          <w:sz w:val="32"/>
          <w:szCs w:val="32"/>
          <w:highlight w:val="none"/>
          <w:lang w:val="en-US" w:eastAsia="zh-CN" w:bidi="ar-SA"/>
        </w:rPr>
        <w:t>项目概况</w:t>
      </w:r>
      <w:bookmarkEnd w:id="5"/>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color w:val="auto"/>
          <w:sz w:val="32"/>
          <w:szCs w:val="32"/>
          <w:highlight w:val="none"/>
          <w:lang w:val="en-US"/>
        </w:rPr>
      </w:pPr>
      <w:r>
        <w:rPr>
          <w:rFonts w:hint="eastAsia" w:ascii="仿宋_GB2312" w:hAnsi="仿宋_GB2312" w:eastAsia="仿宋_GB2312" w:cs="仿宋_GB2312"/>
          <w:color w:val="auto"/>
          <w:sz w:val="32"/>
          <w:szCs w:val="32"/>
          <w:highlight w:val="none"/>
          <w:lang w:val="en-US" w:eastAsia="zh-CN"/>
        </w:rPr>
        <w:t>1、项目背景及主要内容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根据《交通运输部公安部关于治理车辆超限超载联合执法常态化制度化工作的实施意见（试行）》（</w:t>
      </w:r>
      <w:r>
        <w:rPr>
          <w:rFonts w:hint="eastAsia" w:ascii="仿宋_GB2312" w:hAnsi="仿宋_GB2312" w:eastAsia="仿宋_GB2312" w:cs="仿宋_GB2312"/>
          <w:color w:val="auto"/>
          <w:sz w:val="32"/>
          <w:szCs w:val="32"/>
          <w:highlight w:val="none"/>
          <w:lang w:val="en-US" w:eastAsia="zh-CN"/>
        </w:rPr>
        <w:t>交</w:t>
      </w:r>
      <w:r>
        <w:rPr>
          <w:rFonts w:hint="eastAsia" w:ascii="仿宋_GB2312" w:hAnsi="仿宋_GB2312" w:eastAsia="仿宋_GB2312" w:cs="仿宋_GB2312"/>
          <w:color w:val="auto"/>
          <w:sz w:val="32"/>
          <w:szCs w:val="32"/>
          <w:highlight w:val="none"/>
        </w:rPr>
        <w:t>公</w:t>
      </w:r>
      <w:r>
        <w:rPr>
          <w:rFonts w:hint="eastAsia" w:ascii="仿宋_GB2312" w:hAnsi="仿宋_GB2312" w:eastAsia="仿宋_GB2312" w:cs="仿宋_GB2312"/>
          <w:color w:val="auto"/>
          <w:sz w:val="32"/>
          <w:szCs w:val="32"/>
          <w:highlight w:val="none"/>
          <w:lang w:val="en-US" w:eastAsia="zh-CN"/>
        </w:rPr>
        <w:t>路</w:t>
      </w:r>
      <w:r>
        <w:rPr>
          <w:rFonts w:hint="eastAsia" w:ascii="仿宋_GB2312" w:hAnsi="仿宋_GB2312" w:eastAsia="仿宋_GB2312" w:cs="仿宋_GB2312"/>
          <w:color w:val="auto"/>
          <w:sz w:val="32"/>
          <w:szCs w:val="32"/>
          <w:highlight w:val="none"/>
        </w:rPr>
        <w:t>发[20</w:t>
      </w:r>
      <w:r>
        <w:rPr>
          <w:rFonts w:hint="eastAsia" w:ascii="仿宋_GB2312" w:hAnsi="仿宋_GB2312" w:eastAsia="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rPr>
        <w:t>7]173号）和《超限运输车辆行驶公路管理规定》（交通运输部令2016年第62号）要求，</w:t>
      </w:r>
      <w:r>
        <w:rPr>
          <w:rFonts w:hint="eastAsia" w:ascii="仿宋_GB2312" w:hAnsi="仿宋_GB2312" w:eastAsia="仿宋_GB2312" w:cs="仿宋_GB2312"/>
          <w:color w:val="auto"/>
          <w:sz w:val="32"/>
          <w:szCs w:val="32"/>
          <w:highlight w:val="none"/>
          <w:lang w:val="en-US" w:eastAsia="zh-CN"/>
        </w:rPr>
        <w:t>区运管局</w:t>
      </w:r>
      <w:r>
        <w:rPr>
          <w:rFonts w:hint="eastAsia" w:ascii="仿宋_GB2312" w:hAnsi="仿宋_GB2312" w:eastAsia="仿宋_GB2312" w:cs="仿宋_GB2312"/>
          <w:color w:val="auto"/>
          <w:sz w:val="32"/>
          <w:szCs w:val="32"/>
          <w:highlight w:val="none"/>
        </w:rPr>
        <w:t>组织开展治超卸载点土地租赁及运营服务工作。</w:t>
      </w:r>
      <w:r>
        <w:rPr>
          <w:rFonts w:hint="eastAsia" w:ascii="仿宋_GB2312" w:hAnsi="仿宋_GB2312" w:eastAsia="仿宋_GB2312" w:cs="仿宋_GB2312"/>
          <w:color w:val="auto"/>
          <w:sz w:val="32"/>
          <w:szCs w:val="32"/>
          <w:highlight w:val="none"/>
          <w:lang w:eastAsia="zh-CN"/>
        </w:rPr>
        <w:t>北辰区治超卸载点土地租赁及运营服务项目</w:t>
      </w:r>
      <w:r>
        <w:rPr>
          <w:rFonts w:hint="eastAsia" w:ascii="仿宋_GB2312" w:hAnsi="仿宋_GB2312" w:eastAsia="仿宋_GB2312" w:cs="仿宋_GB2312"/>
          <w:color w:val="auto"/>
          <w:sz w:val="32"/>
          <w:szCs w:val="32"/>
          <w:highlight w:val="none"/>
        </w:rPr>
        <w:t>内容包括：租赁南麻瘩临时场站位置，用于更好的治超工作。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2、</w:t>
      </w:r>
      <w:r>
        <w:rPr>
          <w:rFonts w:hint="eastAsia" w:ascii="仿宋_GB2312" w:hAnsi="仿宋_GB2312" w:eastAsia="仿宋_GB2312" w:cs="仿宋_GB2312"/>
          <w:color w:val="auto"/>
          <w:sz w:val="32"/>
          <w:szCs w:val="32"/>
          <w:highlight w:val="none"/>
        </w:rPr>
        <w:t>项目组织实施概况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eastAsia="zh-CN"/>
        </w:rPr>
        <w:t>北辰区治超卸载点土地租赁及运营服务项目</w:t>
      </w:r>
      <w:r>
        <w:rPr>
          <w:rFonts w:hint="eastAsia" w:ascii="仿宋_GB2312" w:hAnsi="仿宋_GB2312" w:eastAsia="仿宋_GB2312" w:cs="仿宋_GB2312"/>
          <w:color w:val="auto"/>
          <w:sz w:val="32"/>
          <w:szCs w:val="32"/>
          <w:highlight w:val="none"/>
        </w:rPr>
        <w:t>由</w:t>
      </w:r>
      <w:r>
        <w:rPr>
          <w:rFonts w:hint="eastAsia" w:ascii="仿宋_GB2312" w:hAnsi="仿宋_GB2312" w:eastAsia="仿宋_GB2312" w:cs="仿宋_GB2312"/>
          <w:color w:val="auto"/>
          <w:sz w:val="32"/>
          <w:szCs w:val="32"/>
          <w:highlight w:val="none"/>
          <w:lang w:eastAsia="zh-CN"/>
        </w:rPr>
        <w:t>区</w:t>
      </w:r>
      <w:r>
        <w:rPr>
          <w:rFonts w:hint="eastAsia" w:ascii="仿宋_GB2312" w:hAnsi="仿宋_GB2312" w:eastAsia="仿宋_GB2312" w:cs="仿宋_GB2312"/>
          <w:color w:val="auto"/>
          <w:sz w:val="32"/>
          <w:szCs w:val="32"/>
          <w:highlight w:val="none"/>
          <w:lang w:val="en-US" w:eastAsia="zh-CN"/>
        </w:rPr>
        <w:t>运管局</w:t>
      </w:r>
      <w:r>
        <w:rPr>
          <w:rFonts w:hint="eastAsia" w:ascii="仿宋_GB2312" w:hAnsi="仿宋_GB2312" w:eastAsia="仿宋_GB2312" w:cs="仿宋_GB2312"/>
          <w:color w:val="auto"/>
          <w:sz w:val="32"/>
          <w:szCs w:val="32"/>
          <w:highlight w:val="none"/>
        </w:rPr>
        <w:t>组织实施，</w:t>
      </w:r>
      <w:r>
        <w:rPr>
          <w:rFonts w:hint="eastAsia" w:ascii="仿宋_GB2312" w:hAnsi="仿宋_GB2312" w:eastAsia="仿宋_GB2312" w:cs="仿宋_GB2312"/>
          <w:color w:val="auto"/>
          <w:sz w:val="32"/>
          <w:szCs w:val="32"/>
          <w:highlight w:val="none"/>
          <w:lang w:val="en-US" w:eastAsia="zh-CN"/>
        </w:rPr>
        <w:t>结合天津市治理车辆超限超载工作领导小组办公室关于印发《关于路面治超流动稽查工作的指导意见》的</w:t>
      </w:r>
      <w:r>
        <w:rPr>
          <w:rFonts w:hint="eastAsia" w:ascii="仿宋_GB2312" w:hAnsi="仿宋_GB2312" w:eastAsia="仿宋_GB2312" w:cs="仿宋_GB2312"/>
          <w:color w:val="auto"/>
          <w:sz w:val="32"/>
          <w:szCs w:val="32"/>
          <w:highlight w:val="none"/>
          <w:lang w:val="en-US" w:eastAsia="zh-CN"/>
        </w:rPr>
        <w:t>通知（津治超</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2018</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val="en-US" w:eastAsia="zh-CN"/>
        </w:rPr>
        <w:t>4号）要求，</w:t>
      </w:r>
      <w:r>
        <w:rPr>
          <w:rFonts w:hint="eastAsia" w:ascii="仿宋_GB2312" w:hAnsi="仿宋_GB2312" w:eastAsia="仿宋_GB2312" w:cs="仿宋_GB2312"/>
          <w:color w:val="auto"/>
          <w:sz w:val="32"/>
          <w:szCs w:val="32"/>
          <w:highlight w:val="none"/>
        </w:rPr>
        <w:t>在项目开展实施过程中，通过公开招标方式，最终由天津市北辰区明忆鑫劳务服务中心具体实施</w:t>
      </w:r>
      <w:r>
        <w:rPr>
          <w:rFonts w:hint="eastAsia" w:ascii="仿宋_GB2312" w:hAnsi="仿宋_GB2312" w:eastAsia="仿宋_GB2312" w:cs="仿宋_GB2312"/>
          <w:color w:val="auto"/>
          <w:sz w:val="32"/>
          <w:szCs w:val="32"/>
          <w:highlight w:val="none"/>
          <w:lang w:eastAsia="zh-CN"/>
        </w:rPr>
        <w:t>北辰区治超卸载点土地租赁及运营服务项目</w:t>
      </w:r>
      <w:r>
        <w:rPr>
          <w:rFonts w:hint="eastAsia" w:ascii="仿宋_GB2312" w:hAnsi="仿宋_GB2312" w:eastAsia="仿宋_GB2312" w:cs="仿宋_GB2312"/>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3、年度资金投入和使用情况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eastAsia="zh-CN"/>
        </w:rPr>
        <w:t>北辰区治超卸载点土地租赁及运营服务项目</w:t>
      </w:r>
      <w:r>
        <w:rPr>
          <w:rFonts w:hint="eastAsia" w:ascii="仿宋_GB2312" w:hAnsi="仿宋_GB2312" w:eastAsia="仿宋_GB2312" w:cs="仿宋_GB2312"/>
          <w:color w:val="auto"/>
          <w:sz w:val="32"/>
          <w:szCs w:val="32"/>
          <w:highlight w:val="none"/>
        </w:rPr>
        <w:t>年初预算金额为1</w:t>
      </w:r>
      <w:r>
        <w:rPr>
          <w:rFonts w:hint="eastAsia" w:ascii="仿宋_GB2312" w:hAnsi="仿宋_GB2312" w:eastAsia="仿宋_GB2312" w:cs="仿宋_GB2312"/>
          <w:color w:val="auto"/>
          <w:sz w:val="32"/>
          <w:szCs w:val="32"/>
          <w:highlight w:val="none"/>
          <w:lang w:val="en-US" w:eastAsia="zh-CN"/>
        </w:rPr>
        <w:t>00</w:t>
      </w:r>
      <w:r>
        <w:rPr>
          <w:rFonts w:hint="eastAsia" w:ascii="仿宋_GB2312" w:hAnsi="仿宋_GB2312" w:eastAsia="仿宋_GB2312" w:cs="仿宋_GB2312"/>
          <w:color w:val="auto"/>
          <w:sz w:val="32"/>
          <w:szCs w:val="32"/>
          <w:highlight w:val="none"/>
        </w:rPr>
        <w:t>.00万元。项目开展过程中，履行公开招投标程序签署合同服务金额为</w:t>
      </w:r>
      <w:r>
        <w:rPr>
          <w:rFonts w:hint="eastAsia" w:ascii="仿宋_GB2312" w:hAnsi="仿宋_GB2312" w:eastAsia="仿宋_GB2312" w:cs="仿宋_GB2312"/>
          <w:color w:val="auto"/>
          <w:sz w:val="32"/>
          <w:szCs w:val="32"/>
          <w:highlight w:val="none"/>
          <w:lang w:val="en-US" w:eastAsia="zh-CN"/>
        </w:rPr>
        <w:t>99</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val="en-US" w:eastAsia="zh-CN"/>
        </w:rPr>
        <w:t>8</w:t>
      </w:r>
      <w:r>
        <w:rPr>
          <w:rFonts w:hint="eastAsia" w:ascii="仿宋_GB2312" w:hAnsi="仿宋_GB2312" w:eastAsia="仿宋_GB2312" w:cs="仿宋_GB2312"/>
          <w:color w:val="auto"/>
          <w:sz w:val="32"/>
          <w:szCs w:val="32"/>
          <w:highlight w:val="none"/>
        </w:rPr>
        <w:t>0万元</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其中涉及2021年</w:t>
      </w:r>
      <w:r>
        <w:rPr>
          <w:rFonts w:hint="eastAsia" w:ascii="仿宋_GB2312" w:hAnsi="仿宋_GB2312" w:eastAsia="仿宋_GB2312" w:cs="仿宋_GB2312"/>
          <w:color w:val="auto"/>
          <w:sz w:val="32"/>
          <w:szCs w:val="32"/>
          <w:highlight w:val="none"/>
          <w:lang w:eastAsia="zh-CN"/>
        </w:rPr>
        <w:t>北辰区治超卸载点土地租赁及运营服务项目</w:t>
      </w:r>
      <w:r>
        <w:rPr>
          <w:rFonts w:hint="eastAsia" w:ascii="仿宋_GB2312" w:hAnsi="仿宋_GB2312" w:eastAsia="仿宋_GB2312" w:cs="仿宋_GB2312"/>
          <w:color w:val="auto"/>
          <w:sz w:val="32"/>
          <w:szCs w:val="32"/>
          <w:highlight w:val="none"/>
          <w:lang w:val="en-US" w:eastAsia="zh-CN"/>
        </w:rPr>
        <w:t>费用金额99.55万元</w:t>
      </w:r>
      <w:r>
        <w:rPr>
          <w:rFonts w:hint="eastAsia" w:ascii="仿宋_GB2312" w:hAnsi="仿宋_GB2312" w:eastAsia="仿宋_GB2312" w:cs="仿宋_GB2312"/>
          <w:color w:val="auto"/>
          <w:sz w:val="32"/>
          <w:szCs w:val="32"/>
          <w:highlight w:val="none"/>
        </w:rPr>
        <w:t>。截至202</w:t>
      </w:r>
      <w:r>
        <w:rPr>
          <w:rFonts w:hint="eastAsia" w:ascii="仿宋_GB2312" w:hAnsi="仿宋_GB2312" w:eastAsia="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rPr>
        <w:t>年12月底资金到位金额</w:t>
      </w:r>
      <w:r>
        <w:rPr>
          <w:rFonts w:hint="eastAsia" w:ascii="仿宋_GB2312" w:hAnsi="仿宋_GB2312" w:eastAsia="仿宋_GB2312" w:cs="仿宋_GB2312"/>
          <w:color w:val="auto"/>
          <w:sz w:val="32"/>
          <w:szCs w:val="32"/>
          <w:highlight w:val="none"/>
          <w:lang w:val="en-US" w:eastAsia="zh-CN"/>
        </w:rPr>
        <w:t>99.55</w:t>
      </w:r>
      <w:r>
        <w:rPr>
          <w:rFonts w:hint="eastAsia" w:ascii="仿宋_GB2312" w:hAnsi="仿宋_GB2312" w:eastAsia="仿宋_GB2312" w:cs="仿宋_GB2312"/>
          <w:color w:val="auto"/>
          <w:sz w:val="32"/>
          <w:szCs w:val="32"/>
          <w:highlight w:val="none"/>
        </w:rPr>
        <w:t>万元，资金到位率</w:t>
      </w:r>
      <w:r>
        <w:rPr>
          <w:rFonts w:hint="eastAsia" w:ascii="仿宋_GB2312" w:hAnsi="仿宋_GB2312" w:eastAsia="仿宋_GB2312" w:cs="仿宋_GB2312"/>
          <w:color w:val="auto"/>
          <w:sz w:val="32"/>
          <w:szCs w:val="32"/>
          <w:highlight w:val="none"/>
          <w:lang w:val="en-US" w:eastAsia="zh-CN"/>
        </w:rPr>
        <w:t>99.55%</w:t>
      </w:r>
      <w:r>
        <w:rPr>
          <w:rFonts w:hint="eastAsia" w:ascii="仿宋_GB2312" w:hAnsi="仿宋_GB2312" w:eastAsia="仿宋_GB2312" w:cs="仿宋_GB2312"/>
          <w:color w:val="auto"/>
          <w:sz w:val="32"/>
          <w:szCs w:val="32"/>
          <w:highlight w:val="none"/>
        </w:rPr>
        <w:t>；预算执行金额为</w:t>
      </w:r>
      <w:r>
        <w:rPr>
          <w:rFonts w:hint="eastAsia" w:ascii="仿宋_GB2312" w:hAnsi="仿宋_GB2312" w:eastAsia="仿宋_GB2312" w:cs="仿宋_GB2312"/>
          <w:color w:val="auto"/>
          <w:sz w:val="32"/>
          <w:szCs w:val="32"/>
          <w:highlight w:val="none"/>
          <w:lang w:val="en-US" w:eastAsia="zh-CN"/>
        </w:rPr>
        <w:t>99.55</w:t>
      </w:r>
      <w:r>
        <w:rPr>
          <w:rFonts w:hint="eastAsia" w:ascii="仿宋_GB2312" w:hAnsi="仿宋_GB2312" w:eastAsia="仿宋_GB2312" w:cs="仿宋_GB2312"/>
          <w:color w:val="auto"/>
          <w:sz w:val="32"/>
          <w:szCs w:val="32"/>
          <w:highlight w:val="none"/>
        </w:rPr>
        <w:t>万元，预算执行率为100%。</w:t>
      </w:r>
      <w:r>
        <w:rPr>
          <w:rFonts w:hint="eastAsia" w:ascii="仿宋_GB2312" w:hAnsi="仿宋_GB2312" w:eastAsia="仿宋_GB2312" w:cs="仿宋_GB2312"/>
          <w:color w:val="auto"/>
          <w:sz w:val="32"/>
          <w:szCs w:val="32"/>
          <w:highlight w:val="none"/>
          <w:lang w:eastAsia="zh-CN"/>
        </w:rPr>
        <w:t>北辰区治超卸载点土地租赁及运营服务项目</w:t>
      </w:r>
      <w:r>
        <w:rPr>
          <w:rFonts w:hint="eastAsia" w:ascii="仿宋_GB2312" w:hAnsi="仿宋_GB2312" w:eastAsia="仿宋_GB2312" w:cs="仿宋_GB2312"/>
          <w:color w:val="auto"/>
          <w:sz w:val="32"/>
          <w:szCs w:val="32"/>
          <w:highlight w:val="none"/>
        </w:rPr>
        <w:t>202</w:t>
      </w:r>
      <w:r>
        <w:rPr>
          <w:rFonts w:hint="eastAsia" w:ascii="仿宋_GB2312" w:hAnsi="仿宋_GB2312" w:eastAsia="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rPr>
        <w:t>年度项目预算及执行情况详见下表：</w:t>
      </w:r>
    </w:p>
    <w:p>
      <w:pPr>
        <w:pStyle w:val="2"/>
        <w:keepNext w:val="0"/>
        <w:keepLines w:val="0"/>
        <w:pageBreakBefore w:val="0"/>
        <w:widowControl w:val="0"/>
        <w:kinsoku/>
        <w:wordWrap/>
        <w:overflowPunct/>
        <w:topLinePunct w:val="0"/>
        <w:autoSpaceDE/>
        <w:autoSpaceDN/>
        <w:bidi w:val="0"/>
        <w:adjustRightInd/>
        <w:snapToGrid/>
        <w:spacing w:line="600" w:lineRule="exact"/>
        <w:ind w:firstLine="640" w:firstLineChars="200"/>
        <w:jc w:val="center"/>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表1：202</w:t>
      </w:r>
      <w:r>
        <w:rPr>
          <w:rFonts w:hint="eastAsia" w:ascii="仿宋_GB2312" w:hAnsi="仿宋_GB2312" w:eastAsia="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rPr>
        <w:t>年度项目预算及执行情况</w:t>
      </w:r>
    </w:p>
    <w:tbl>
      <w:tblPr>
        <w:tblStyle w:val="11"/>
        <w:tblW w:w="5008" w:type="pct"/>
        <w:tblInd w:w="0" w:type="dxa"/>
        <w:tblLayout w:type="autofit"/>
        <w:tblCellMar>
          <w:top w:w="0" w:type="dxa"/>
          <w:left w:w="108" w:type="dxa"/>
          <w:bottom w:w="0" w:type="dxa"/>
          <w:right w:w="108" w:type="dxa"/>
        </w:tblCellMar>
      </w:tblPr>
      <w:tblGrid>
        <w:gridCol w:w="627"/>
        <w:gridCol w:w="1546"/>
        <w:gridCol w:w="1888"/>
        <w:gridCol w:w="1837"/>
        <w:gridCol w:w="1500"/>
        <w:gridCol w:w="1138"/>
      </w:tblGrid>
      <w:tr>
        <w:tblPrEx>
          <w:tblCellMar>
            <w:top w:w="0" w:type="dxa"/>
            <w:left w:w="108" w:type="dxa"/>
            <w:bottom w:w="0" w:type="dxa"/>
            <w:right w:w="108" w:type="dxa"/>
          </w:tblCellMar>
        </w:tblPrEx>
        <w:trPr>
          <w:trHeight w:val="501" w:hRule="atLeast"/>
        </w:trPr>
        <w:tc>
          <w:tcPr>
            <w:tcW w:w="6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hint="eastAsia" w:ascii="黑体" w:hAnsi="黑体" w:eastAsia="黑体" w:cs="黑体"/>
                <w:color w:val="auto"/>
                <w:kern w:val="0"/>
                <w:sz w:val="18"/>
                <w:szCs w:val="18"/>
                <w:highlight w:val="none"/>
                <w:lang w:bidi="ar"/>
              </w:rPr>
            </w:pPr>
            <w:r>
              <w:rPr>
                <w:rFonts w:hint="eastAsia" w:ascii="黑体" w:hAnsi="黑体" w:eastAsia="黑体" w:cs="黑体"/>
                <w:color w:val="auto"/>
                <w:kern w:val="0"/>
                <w:sz w:val="18"/>
                <w:szCs w:val="18"/>
                <w:highlight w:val="none"/>
                <w:lang w:bidi="ar"/>
              </w:rPr>
              <w:t>序号</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hint="eastAsia" w:ascii="黑体" w:hAnsi="黑体" w:eastAsia="黑体" w:cs="黑体"/>
                <w:color w:val="auto"/>
                <w:kern w:val="0"/>
                <w:sz w:val="18"/>
                <w:szCs w:val="18"/>
                <w:highlight w:val="none"/>
                <w:lang w:bidi="ar"/>
              </w:rPr>
            </w:pPr>
            <w:r>
              <w:rPr>
                <w:rFonts w:hint="eastAsia" w:ascii="黑体" w:hAnsi="黑体" w:eastAsia="黑体" w:cs="黑体"/>
                <w:color w:val="auto"/>
                <w:kern w:val="0"/>
                <w:sz w:val="18"/>
                <w:szCs w:val="18"/>
                <w:highlight w:val="none"/>
                <w:lang w:bidi="ar"/>
              </w:rPr>
              <w:t>预算内容</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hint="eastAsia" w:ascii="黑体" w:hAnsi="黑体" w:eastAsia="黑体" w:cs="黑体"/>
                <w:color w:val="auto"/>
                <w:kern w:val="0"/>
                <w:sz w:val="18"/>
                <w:szCs w:val="18"/>
                <w:highlight w:val="none"/>
                <w:lang w:bidi="ar"/>
              </w:rPr>
            </w:pPr>
            <w:r>
              <w:rPr>
                <w:rFonts w:hint="eastAsia" w:ascii="黑体" w:hAnsi="黑体" w:eastAsia="黑体" w:cs="黑体"/>
                <w:color w:val="auto"/>
                <w:kern w:val="0"/>
                <w:sz w:val="18"/>
                <w:szCs w:val="18"/>
                <w:highlight w:val="none"/>
                <w:lang w:bidi="ar"/>
              </w:rPr>
              <w:t>预算安排金额</w:t>
            </w:r>
            <w:r>
              <w:rPr>
                <w:rFonts w:hint="eastAsia" w:ascii="黑体" w:hAnsi="黑体" w:eastAsia="黑体" w:cs="黑体"/>
                <w:color w:val="auto"/>
                <w:kern w:val="0"/>
                <w:sz w:val="18"/>
                <w:szCs w:val="18"/>
                <w:highlight w:val="none"/>
                <w:lang w:eastAsia="zh-CN" w:bidi="ar"/>
              </w:rPr>
              <w:t>（</w:t>
            </w:r>
            <w:r>
              <w:rPr>
                <w:rFonts w:hint="eastAsia" w:ascii="黑体" w:hAnsi="黑体" w:eastAsia="黑体" w:cs="黑体"/>
                <w:color w:val="auto"/>
                <w:kern w:val="0"/>
                <w:sz w:val="18"/>
                <w:szCs w:val="18"/>
                <w:highlight w:val="none"/>
                <w:lang w:val="en-US" w:eastAsia="zh-CN" w:bidi="ar"/>
              </w:rPr>
              <w:t>万</w:t>
            </w:r>
            <w:r>
              <w:rPr>
                <w:rFonts w:hint="eastAsia" w:ascii="黑体" w:hAnsi="黑体" w:eastAsia="黑体" w:cs="黑体"/>
                <w:color w:val="auto"/>
                <w:kern w:val="0"/>
                <w:sz w:val="18"/>
                <w:szCs w:val="18"/>
                <w:highlight w:val="none"/>
                <w:lang w:bidi="ar"/>
              </w:rPr>
              <w:t>元</w:t>
            </w:r>
            <w:r>
              <w:rPr>
                <w:rFonts w:hint="eastAsia" w:ascii="黑体" w:hAnsi="黑体" w:eastAsia="黑体" w:cs="黑体"/>
                <w:color w:val="auto"/>
                <w:kern w:val="0"/>
                <w:sz w:val="18"/>
                <w:szCs w:val="18"/>
                <w:highlight w:val="none"/>
                <w:lang w:eastAsia="zh-CN" w:bidi="ar"/>
              </w:rPr>
              <w:t>）</w:t>
            </w:r>
          </w:p>
        </w:tc>
        <w:tc>
          <w:tcPr>
            <w:tcW w:w="18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hint="eastAsia" w:ascii="黑体" w:hAnsi="黑体" w:eastAsia="黑体" w:cs="黑体"/>
                <w:color w:val="auto"/>
                <w:kern w:val="0"/>
                <w:sz w:val="18"/>
                <w:szCs w:val="18"/>
                <w:highlight w:val="none"/>
                <w:lang w:bidi="ar"/>
              </w:rPr>
            </w:pPr>
            <w:r>
              <w:rPr>
                <w:rFonts w:hint="eastAsia" w:ascii="黑体" w:hAnsi="黑体" w:eastAsia="黑体" w:cs="黑体"/>
                <w:color w:val="auto"/>
                <w:kern w:val="0"/>
                <w:sz w:val="18"/>
                <w:szCs w:val="18"/>
                <w:highlight w:val="none"/>
                <w:lang w:val="en-US" w:eastAsia="zh-CN" w:bidi="ar"/>
              </w:rPr>
              <w:t>预算到位金额（万元）</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hint="eastAsia" w:ascii="黑体" w:hAnsi="黑体" w:eastAsia="黑体" w:cs="黑体"/>
                <w:color w:val="auto"/>
                <w:kern w:val="0"/>
                <w:sz w:val="18"/>
                <w:szCs w:val="18"/>
                <w:highlight w:val="none"/>
                <w:lang w:bidi="ar"/>
              </w:rPr>
            </w:pPr>
            <w:r>
              <w:rPr>
                <w:rFonts w:hint="eastAsia" w:ascii="黑体" w:hAnsi="黑体" w:eastAsia="黑体" w:cs="黑体"/>
                <w:color w:val="auto"/>
                <w:kern w:val="0"/>
                <w:sz w:val="18"/>
                <w:szCs w:val="18"/>
                <w:highlight w:val="none"/>
                <w:lang w:bidi="ar"/>
              </w:rPr>
              <w:t>执行金额</w:t>
            </w:r>
            <w:r>
              <w:rPr>
                <w:rFonts w:hint="eastAsia" w:ascii="黑体" w:hAnsi="黑体" w:eastAsia="黑体" w:cs="黑体"/>
                <w:color w:val="auto"/>
                <w:kern w:val="0"/>
                <w:sz w:val="18"/>
                <w:szCs w:val="18"/>
                <w:highlight w:val="none"/>
                <w:lang w:eastAsia="zh-CN" w:bidi="ar"/>
              </w:rPr>
              <w:t>（</w:t>
            </w:r>
            <w:r>
              <w:rPr>
                <w:rFonts w:hint="eastAsia" w:ascii="黑体" w:hAnsi="黑体" w:eastAsia="黑体" w:cs="黑体"/>
                <w:color w:val="auto"/>
                <w:kern w:val="0"/>
                <w:sz w:val="18"/>
                <w:szCs w:val="18"/>
                <w:highlight w:val="none"/>
                <w:lang w:val="en-US" w:eastAsia="zh-CN" w:bidi="ar"/>
              </w:rPr>
              <w:t>万</w:t>
            </w:r>
            <w:r>
              <w:rPr>
                <w:rFonts w:hint="eastAsia" w:ascii="黑体" w:hAnsi="黑体" w:eastAsia="黑体" w:cs="黑体"/>
                <w:color w:val="auto"/>
                <w:kern w:val="0"/>
                <w:sz w:val="18"/>
                <w:szCs w:val="18"/>
                <w:highlight w:val="none"/>
                <w:lang w:bidi="ar"/>
              </w:rPr>
              <w:t>元</w:t>
            </w:r>
            <w:r>
              <w:rPr>
                <w:rFonts w:hint="eastAsia" w:ascii="黑体" w:hAnsi="黑体" w:eastAsia="黑体" w:cs="黑体"/>
                <w:color w:val="auto"/>
                <w:kern w:val="0"/>
                <w:sz w:val="18"/>
                <w:szCs w:val="18"/>
                <w:highlight w:val="none"/>
                <w:lang w:eastAsia="zh-CN" w:bidi="ar"/>
              </w:rPr>
              <w:t>）</w:t>
            </w:r>
          </w:p>
        </w:tc>
        <w:tc>
          <w:tcPr>
            <w:tcW w:w="1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hint="eastAsia" w:ascii="黑体" w:hAnsi="黑体" w:eastAsia="黑体" w:cs="黑体"/>
                <w:color w:val="auto"/>
                <w:kern w:val="0"/>
                <w:sz w:val="18"/>
                <w:szCs w:val="18"/>
                <w:highlight w:val="none"/>
                <w:lang w:bidi="ar"/>
              </w:rPr>
            </w:pPr>
            <w:r>
              <w:rPr>
                <w:rFonts w:hint="eastAsia" w:ascii="黑体" w:hAnsi="黑体" w:eastAsia="黑体" w:cs="黑体"/>
                <w:color w:val="auto"/>
                <w:kern w:val="0"/>
                <w:sz w:val="18"/>
                <w:szCs w:val="18"/>
                <w:highlight w:val="none"/>
                <w:lang w:bidi="ar"/>
              </w:rPr>
              <w:t>预算执行率</w:t>
            </w:r>
          </w:p>
        </w:tc>
      </w:tr>
      <w:tr>
        <w:tblPrEx>
          <w:tblCellMar>
            <w:top w:w="0" w:type="dxa"/>
            <w:left w:w="108" w:type="dxa"/>
            <w:bottom w:w="0" w:type="dxa"/>
            <w:right w:w="108" w:type="dxa"/>
          </w:tblCellMar>
        </w:tblPrEx>
        <w:trPr>
          <w:trHeight w:val="992" w:hRule="atLeast"/>
        </w:trPr>
        <w:tc>
          <w:tcPr>
            <w:tcW w:w="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color w:val="auto"/>
                <w:kern w:val="0"/>
                <w:sz w:val="18"/>
                <w:szCs w:val="18"/>
                <w:highlight w:val="none"/>
                <w:lang w:bidi="ar"/>
              </w:rPr>
            </w:pPr>
            <w:r>
              <w:rPr>
                <w:rFonts w:hint="default" w:ascii="Times New Roman" w:hAnsi="Times New Roman" w:eastAsia="宋体" w:cs="Times New Roman"/>
                <w:color w:val="auto"/>
                <w:kern w:val="0"/>
                <w:sz w:val="18"/>
                <w:szCs w:val="18"/>
                <w:highlight w:val="none"/>
                <w:lang w:bidi="ar"/>
              </w:rPr>
              <w:t>1</w:t>
            </w:r>
          </w:p>
        </w:tc>
        <w:tc>
          <w:tcPr>
            <w:tcW w:w="1546" w:type="dxa"/>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color w:val="auto"/>
                <w:kern w:val="0"/>
                <w:sz w:val="18"/>
                <w:szCs w:val="18"/>
                <w:highlight w:val="none"/>
                <w:lang w:bidi="ar"/>
              </w:rPr>
            </w:pPr>
            <w:r>
              <w:rPr>
                <w:rFonts w:hint="default" w:ascii="Times New Roman" w:hAnsi="Times New Roman" w:eastAsia="宋体" w:cs="Times New Roman"/>
                <w:color w:val="auto"/>
                <w:kern w:val="0"/>
                <w:sz w:val="18"/>
                <w:szCs w:val="18"/>
                <w:highlight w:val="none"/>
                <w:lang w:eastAsia="zh-CN" w:bidi="ar"/>
              </w:rPr>
              <w:t>治超卸载点土地租赁及运营服务</w:t>
            </w:r>
          </w:p>
        </w:tc>
        <w:tc>
          <w:tcPr>
            <w:tcW w:w="1888" w:type="dxa"/>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right"/>
              <w:textAlignment w:val="center"/>
              <w:rPr>
                <w:rFonts w:hint="default" w:ascii="Times New Roman" w:hAnsi="Times New Roman" w:eastAsia="宋体" w:cs="Times New Roman"/>
                <w:color w:val="auto"/>
                <w:kern w:val="0"/>
                <w:sz w:val="18"/>
                <w:szCs w:val="18"/>
                <w:highlight w:val="none"/>
                <w:lang w:bidi="ar"/>
              </w:rPr>
            </w:pPr>
            <w:r>
              <w:rPr>
                <w:rFonts w:hint="eastAsia" w:ascii="Times New Roman" w:hAnsi="Times New Roman" w:cs="Times New Roman"/>
                <w:color w:val="auto"/>
                <w:kern w:val="0"/>
                <w:sz w:val="18"/>
                <w:szCs w:val="18"/>
                <w:highlight w:val="none"/>
                <w:lang w:val="en-US" w:eastAsia="zh-CN" w:bidi="ar"/>
              </w:rPr>
              <w:t>100.00</w:t>
            </w:r>
          </w:p>
        </w:tc>
        <w:tc>
          <w:tcPr>
            <w:tcW w:w="1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right"/>
              <w:textAlignment w:val="center"/>
              <w:rPr>
                <w:rFonts w:hint="default" w:ascii="Times New Roman" w:hAnsi="Times New Roman" w:eastAsia="宋体" w:cs="Times New Roman"/>
                <w:color w:val="auto"/>
                <w:kern w:val="0"/>
                <w:sz w:val="18"/>
                <w:szCs w:val="18"/>
                <w:highlight w:val="none"/>
                <w:lang w:val="en-US" w:eastAsia="zh-CN" w:bidi="ar"/>
              </w:rPr>
            </w:pPr>
            <w:r>
              <w:rPr>
                <w:rFonts w:hint="default" w:ascii="Times New Roman" w:hAnsi="Times New Roman" w:eastAsia="宋体" w:cs="Times New Roman"/>
                <w:color w:val="auto"/>
                <w:kern w:val="0"/>
                <w:sz w:val="18"/>
                <w:szCs w:val="18"/>
                <w:highlight w:val="none"/>
                <w:lang w:val="en-US" w:eastAsia="zh-CN" w:bidi="ar"/>
              </w:rPr>
              <w:t>99.55</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right"/>
              <w:textAlignment w:val="center"/>
              <w:rPr>
                <w:rFonts w:hint="default" w:ascii="Times New Roman" w:hAnsi="Times New Roman" w:eastAsia="宋体" w:cs="Times New Roman"/>
                <w:color w:val="auto"/>
                <w:kern w:val="0"/>
                <w:sz w:val="18"/>
                <w:szCs w:val="18"/>
                <w:highlight w:val="none"/>
                <w:lang w:bidi="ar"/>
              </w:rPr>
            </w:pPr>
            <w:r>
              <w:rPr>
                <w:rFonts w:hint="default" w:ascii="Times New Roman" w:hAnsi="Times New Roman" w:eastAsia="宋体" w:cs="Times New Roman"/>
                <w:color w:val="auto"/>
                <w:kern w:val="0"/>
                <w:sz w:val="18"/>
                <w:szCs w:val="18"/>
                <w:highlight w:val="none"/>
                <w:lang w:val="en-US" w:eastAsia="zh-CN" w:bidi="ar"/>
              </w:rPr>
              <w:t>99.55</w:t>
            </w:r>
          </w:p>
        </w:tc>
        <w:tc>
          <w:tcPr>
            <w:tcW w:w="11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color w:val="auto"/>
                <w:kern w:val="0"/>
                <w:sz w:val="18"/>
                <w:szCs w:val="18"/>
                <w:highlight w:val="none"/>
                <w:lang w:bidi="ar"/>
              </w:rPr>
            </w:pPr>
            <w:r>
              <w:rPr>
                <w:rFonts w:hint="default" w:ascii="Times New Roman" w:hAnsi="Times New Roman" w:eastAsia="宋体" w:cs="Times New Roman"/>
                <w:color w:val="auto"/>
                <w:kern w:val="0"/>
                <w:sz w:val="18"/>
                <w:szCs w:val="18"/>
                <w:highlight w:val="none"/>
                <w:lang w:bidi="ar"/>
              </w:rPr>
              <w:t>100%</w:t>
            </w:r>
          </w:p>
        </w:tc>
      </w:tr>
      <w:tr>
        <w:tblPrEx>
          <w:tblCellMar>
            <w:top w:w="0" w:type="dxa"/>
            <w:left w:w="108" w:type="dxa"/>
            <w:bottom w:w="0" w:type="dxa"/>
            <w:right w:w="108" w:type="dxa"/>
          </w:tblCellMar>
        </w:tblPrEx>
        <w:trPr>
          <w:trHeight w:val="511" w:hRule="atLeast"/>
        </w:trPr>
        <w:tc>
          <w:tcPr>
            <w:tcW w:w="217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color w:val="auto"/>
                <w:kern w:val="0"/>
                <w:sz w:val="18"/>
                <w:szCs w:val="18"/>
                <w:highlight w:val="none"/>
                <w:lang w:bidi="ar"/>
              </w:rPr>
            </w:pPr>
            <w:r>
              <w:rPr>
                <w:rFonts w:hint="default" w:ascii="Times New Roman" w:hAnsi="Times New Roman" w:eastAsia="宋体" w:cs="Times New Roman"/>
                <w:color w:val="auto"/>
                <w:kern w:val="0"/>
                <w:sz w:val="18"/>
                <w:szCs w:val="18"/>
                <w:highlight w:val="none"/>
                <w:lang w:bidi="ar"/>
              </w:rPr>
              <w:t>合计</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right"/>
              <w:textAlignment w:val="center"/>
              <w:rPr>
                <w:rFonts w:hint="default" w:ascii="Times New Roman" w:hAnsi="Times New Roman" w:eastAsia="宋体" w:cs="Times New Roman"/>
                <w:color w:val="auto"/>
                <w:kern w:val="0"/>
                <w:sz w:val="18"/>
                <w:szCs w:val="18"/>
                <w:highlight w:val="none"/>
                <w:lang w:bidi="ar"/>
              </w:rPr>
            </w:pPr>
            <w:r>
              <w:rPr>
                <w:rFonts w:hint="eastAsia" w:ascii="Times New Roman" w:hAnsi="Times New Roman" w:cs="Times New Roman"/>
                <w:color w:val="auto"/>
                <w:kern w:val="0"/>
                <w:sz w:val="18"/>
                <w:szCs w:val="18"/>
                <w:highlight w:val="none"/>
                <w:lang w:val="en-US" w:eastAsia="zh-CN" w:bidi="ar"/>
              </w:rPr>
              <w:t>100.00</w:t>
            </w:r>
          </w:p>
        </w:tc>
        <w:tc>
          <w:tcPr>
            <w:tcW w:w="1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right"/>
              <w:textAlignment w:val="center"/>
              <w:rPr>
                <w:rFonts w:hint="default" w:ascii="Times New Roman" w:hAnsi="Times New Roman" w:eastAsia="宋体" w:cs="Times New Roman"/>
                <w:color w:val="auto"/>
                <w:kern w:val="0"/>
                <w:sz w:val="18"/>
                <w:szCs w:val="18"/>
                <w:highlight w:val="none"/>
                <w:lang w:val="en-US" w:eastAsia="zh-CN" w:bidi="ar"/>
              </w:rPr>
            </w:pPr>
            <w:r>
              <w:rPr>
                <w:rFonts w:hint="default" w:ascii="Times New Roman" w:hAnsi="Times New Roman" w:eastAsia="宋体" w:cs="Times New Roman"/>
                <w:color w:val="auto"/>
                <w:kern w:val="0"/>
                <w:sz w:val="18"/>
                <w:szCs w:val="18"/>
                <w:highlight w:val="none"/>
                <w:lang w:val="en-US" w:eastAsia="zh-CN" w:bidi="ar"/>
              </w:rPr>
              <w:t>99.55</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right"/>
              <w:textAlignment w:val="center"/>
              <w:rPr>
                <w:rFonts w:hint="default" w:ascii="Times New Roman" w:hAnsi="Times New Roman" w:eastAsia="宋体" w:cs="Times New Roman"/>
                <w:color w:val="auto"/>
                <w:kern w:val="0"/>
                <w:sz w:val="18"/>
                <w:szCs w:val="18"/>
                <w:highlight w:val="none"/>
                <w:lang w:bidi="ar"/>
              </w:rPr>
            </w:pPr>
            <w:r>
              <w:rPr>
                <w:rFonts w:hint="default" w:ascii="Times New Roman" w:hAnsi="Times New Roman" w:eastAsia="宋体" w:cs="Times New Roman"/>
                <w:color w:val="auto"/>
                <w:kern w:val="0"/>
                <w:sz w:val="18"/>
                <w:szCs w:val="18"/>
                <w:highlight w:val="none"/>
                <w:lang w:val="en-US" w:eastAsia="zh-CN" w:bidi="ar"/>
              </w:rPr>
              <w:t>99.55</w:t>
            </w:r>
          </w:p>
        </w:tc>
        <w:tc>
          <w:tcPr>
            <w:tcW w:w="11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color w:val="auto"/>
                <w:kern w:val="0"/>
                <w:sz w:val="18"/>
                <w:szCs w:val="18"/>
                <w:highlight w:val="none"/>
                <w:lang w:bidi="ar"/>
              </w:rPr>
            </w:pPr>
            <w:r>
              <w:rPr>
                <w:rFonts w:hint="default" w:ascii="Times New Roman" w:hAnsi="Times New Roman" w:eastAsia="宋体" w:cs="Times New Roman"/>
                <w:color w:val="auto"/>
                <w:kern w:val="0"/>
                <w:sz w:val="18"/>
                <w:szCs w:val="18"/>
                <w:highlight w:val="none"/>
                <w:lang w:bidi="ar"/>
              </w:rPr>
              <w:t>100%</w:t>
            </w:r>
          </w:p>
        </w:tc>
      </w:tr>
    </w:tbl>
    <w:p>
      <w:pPr>
        <w:pStyle w:val="4"/>
        <w:pageBreakBefore w:val="0"/>
        <w:widowControl w:val="0"/>
        <w:kinsoku/>
        <w:wordWrap/>
        <w:overflowPunct/>
        <w:topLinePunct w:val="0"/>
        <w:autoSpaceDE/>
        <w:autoSpaceDN/>
        <w:bidi w:val="0"/>
        <w:adjustRightInd/>
        <w:snapToGrid/>
        <w:spacing w:before="0" w:after="0" w:line="600" w:lineRule="exact"/>
        <w:ind w:left="0" w:firstLine="640" w:firstLineChars="200"/>
        <w:textAlignment w:val="auto"/>
        <w:rPr>
          <w:rFonts w:hint="eastAsia" w:ascii="仿宋_GB2312" w:hAnsi="仿宋_GB2312" w:eastAsia="仿宋_GB2312" w:cs="仿宋_GB2312"/>
          <w:color w:val="auto"/>
          <w:kern w:val="2"/>
          <w:sz w:val="32"/>
          <w:szCs w:val="32"/>
          <w:highlight w:val="none"/>
          <w:lang w:val="en-US" w:eastAsia="zh-CN" w:bidi="ar-SA"/>
        </w:rPr>
      </w:pPr>
      <w:bookmarkStart w:id="6" w:name="_Toc28329"/>
      <w:r>
        <w:rPr>
          <w:rFonts w:hint="eastAsia" w:ascii="仿宋_GB2312" w:hAnsi="仿宋_GB2312" w:eastAsia="仿宋_GB2312" w:cs="仿宋_GB2312"/>
          <w:color w:val="auto"/>
          <w:kern w:val="2"/>
          <w:sz w:val="32"/>
          <w:szCs w:val="32"/>
          <w:highlight w:val="none"/>
          <w:lang w:val="en-US" w:eastAsia="zh-CN" w:bidi="ar-SA"/>
        </w:rPr>
        <w:t>项目绩效目标</w:t>
      </w:r>
      <w:bookmarkEnd w:id="6"/>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总目标：租赁南麻瘩临时场站位置，用于更好的治超工作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具体目标：数量指标为</w:t>
      </w:r>
      <w:r>
        <w:rPr>
          <w:rFonts w:hint="eastAsia" w:ascii="仿宋_GB2312" w:hAnsi="仿宋_GB2312" w:eastAsia="仿宋_GB2312" w:cs="仿宋_GB2312"/>
          <w:color w:val="auto"/>
          <w:sz w:val="32"/>
          <w:szCs w:val="32"/>
          <w:highlight w:val="none"/>
          <w:lang w:val="en-US" w:eastAsia="zh-CN"/>
        </w:rPr>
        <w:t>开展检查次数450次</w:t>
      </w:r>
      <w:r>
        <w:rPr>
          <w:rFonts w:hint="eastAsia" w:ascii="仿宋_GB2312" w:hAnsi="仿宋_GB2312" w:eastAsia="仿宋_GB2312" w:cs="仿宋_GB2312"/>
          <w:color w:val="auto"/>
          <w:sz w:val="32"/>
          <w:szCs w:val="32"/>
          <w:highlight w:val="none"/>
        </w:rPr>
        <w:t>；质量为运营服务评审合格率</w:t>
      </w:r>
      <w:r>
        <w:rPr>
          <w:rFonts w:hint="eastAsia" w:ascii="仿宋_GB2312" w:hAnsi="仿宋_GB2312" w:eastAsia="仿宋_GB2312" w:cs="仿宋_GB2312"/>
          <w:color w:val="auto"/>
          <w:sz w:val="32"/>
          <w:szCs w:val="32"/>
          <w:highlight w:val="none"/>
          <w:lang w:val="en-US" w:eastAsia="zh-CN"/>
        </w:rPr>
        <w:t>大于或等于95%</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val="en-US" w:eastAsia="zh-CN"/>
        </w:rPr>
        <w:t>时效指标为工作开展时间12个月内；成本指标执法设备及使用停车场费用小于或等于99.55万元；社会效益指标为有效保障执法工作，可持续影响</w:t>
      </w:r>
      <w:r>
        <w:rPr>
          <w:rFonts w:hint="eastAsia" w:ascii="仿宋_GB2312" w:hAnsi="仿宋_GB2312" w:eastAsia="仿宋_GB2312" w:cs="仿宋_GB2312"/>
          <w:color w:val="auto"/>
          <w:sz w:val="32"/>
          <w:szCs w:val="32"/>
          <w:highlight w:val="none"/>
        </w:rPr>
        <w:t>指标治超专项治理成效</w:t>
      </w:r>
      <w:r>
        <w:rPr>
          <w:rFonts w:hint="eastAsia" w:ascii="仿宋_GB2312" w:hAnsi="仿宋_GB2312" w:eastAsia="仿宋_GB2312" w:cs="仿宋_GB2312"/>
          <w:color w:val="auto"/>
          <w:sz w:val="32"/>
          <w:szCs w:val="32"/>
          <w:highlight w:val="none"/>
          <w:lang w:val="en-US" w:eastAsia="zh-CN"/>
        </w:rPr>
        <w:t>达到效果，服务对象满意度指标达到大于或等于95%。</w:t>
      </w:r>
      <w:bookmarkStart w:id="7" w:name="_Hlk54878842"/>
    </w:p>
    <w:p>
      <w:pPr>
        <w:pStyle w:val="3"/>
        <w:pageBreakBefore w:val="0"/>
        <w:widowControl w:val="0"/>
        <w:numPr>
          <w:ilvl w:val="0"/>
          <w:numId w:val="2"/>
        </w:numPr>
        <w:kinsoku/>
        <w:wordWrap/>
        <w:overflowPunct/>
        <w:topLinePunct w:val="0"/>
        <w:autoSpaceDE/>
        <w:autoSpaceDN/>
        <w:bidi w:val="0"/>
        <w:adjustRightInd/>
        <w:snapToGrid/>
        <w:spacing w:before="0" w:after="0" w:line="600" w:lineRule="exact"/>
        <w:ind w:firstLine="640" w:firstLineChars="200"/>
        <w:textAlignment w:val="auto"/>
        <w:rPr>
          <w:rFonts w:hint="eastAsia" w:ascii="黑体" w:hAnsi="黑体" w:eastAsia="黑体" w:cs="黑体"/>
          <w:b w:val="0"/>
          <w:bCs/>
          <w:color w:val="auto"/>
          <w:sz w:val="32"/>
          <w:szCs w:val="32"/>
          <w:highlight w:val="none"/>
        </w:rPr>
      </w:pPr>
      <w:bookmarkStart w:id="8" w:name="_Toc16510"/>
      <w:r>
        <w:rPr>
          <w:rFonts w:hint="eastAsia" w:ascii="黑体" w:hAnsi="黑体" w:eastAsia="黑体" w:cs="黑体"/>
          <w:b w:val="0"/>
          <w:bCs/>
          <w:color w:val="auto"/>
          <w:sz w:val="32"/>
          <w:szCs w:val="32"/>
          <w:highlight w:val="none"/>
        </w:rPr>
        <w:t>绩效评价</w:t>
      </w:r>
      <w:r>
        <w:rPr>
          <w:rFonts w:hint="eastAsia" w:ascii="黑体" w:hAnsi="黑体" w:eastAsia="黑体" w:cs="黑体"/>
          <w:b w:val="0"/>
          <w:bCs/>
          <w:color w:val="auto"/>
          <w:sz w:val="32"/>
          <w:szCs w:val="32"/>
          <w:highlight w:val="none"/>
          <w:lang w:val="en-US" w:eastAsia="zh-CN"/>
        </w:rPr>
        <w:t>工作开展</w:t>
      </w:r>
      <w:r>
        <w:rPr>
          <w:rFonts w:hint="eastAsia" w:ascii="黑体" w:hAnsi="黑体" w:eastAsia="黑体" w:cs="黑体"/>
          <w:b w:val="0"/>
          <w:bCs/>
          <w:color w:val="auto"/>
          <w:sz w:val="32"/>
          <w:szCs w:val="32"/>
          <w:highlight w:val="none"/>
        </w:rPr>
        <w:t>情况</w:t>
      </w:r>
      <w:bookmarkEnd w:id="8"/>
    </w:p>
    <w:bookmarkEnd w:id="7"/>
    <w:p>
      <w:pPr>
        <w:pStyle w:val="4"/>
        <w:keepNext w:val="0"/>
        <w:keepLines w:val="0"/>
        <w:pageBreakBefore w:val="0"/>
        <w:widowControl w:val="0"/>
        <w:numPr>
          <w:ilvl w:val="1"/>
          <w:numId w:val="0"/>
        </w:numPr>
        <w:kinsoku/>
        <w:wordWrap/>
        <w:overflowPunct/>
        <w:topLinePunct w:val="0"/>
        <w:bidi w:val="0"/>
        <w:adjustRightInd/>
        <w:snapToGrid/>
        <w:spacing w:before="0" w:after="0" w:line="600" w:lineRule="exact"/>
        <w:ind w:firstLine="640" w:firstLineChars="200"/>
        <w:textAlignment w:val="auto"/>
        <w:rPr>
          <w:rFonts w:hint="default" w:ascii="仿宋_GB2312" w:hAnsi="仿宋_GB2312" w:eastAsia="仿宋_GB2312" w:cs="仿宋_GB2312"/>
          <w:color w:val="auto"/>
          <w:kern w:val="2"/>
          <w:sz w:val="32"/>
          <w:szCs w:val="32"/>
          <w:highlight w:val="none"/>
          <w:lang w:val="en-US" w:eastAsia="zh-CN" w:bidi="ar-SA"/>
        </w:rPr>
      </w:pPr>
      <w:bookmarkStart w:id="9" w:name="_Toc12142"/>
      <w:r>
        <w:rPr>
          <w:rFonts w:hint="eastAsia" w:ascii="仿宋_GB2312" w:hAnsi="仿宋_GB2312" w:eastAsia="仿宋_GB2312" w:cs="仿宋_GB2312"/>
          <w:color w:val="auto"/>
          <w:kern w:val="2"/>
          <w:sz w:val="32"/>
          <w:szCs w:val="32"/>
          <w:highlight w:val="none"/>
          <w:lang w:val="en-US" w:eastAsia="zh-CN" w:bidi="ar-SA"/>
        </w:rPr>
        <w:t>（一）绩效评价目的、对象和范围</w:t>
      </w:r>
      <w:bookmarkEnd w:id="9"/>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rPr>
        <w:t>绩效评价</w:t>
      </w:r>
      <w:r>
        <w:rPr>
          <w:rFonts w:hint="eastAsia" w:ascii="仿宋_GB2312" w:hAnsi="仿宋_GB2312" w:eastAsia="仿宋_GB2312" w:cs="仿宋_GB2312"/>
          <w:color w:val="auto"/>
          <w:sz w:val="32"/>
          <w:szCs w:val="32"/>
          <w:highlight w:val="none"/>
          <w:lang w:val="en-US" w:eastAsia="zh-CN"/>
        </w:rPr>
        <w:t>目的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财政支出绩效评价重点评价立项依据和立项程序情况、绩效目标和指标设定情况、预算编制和资金分配情况、资金管理和使用情况、相关制度办法的健全性及执行情况、实现的产出情况、取得的效益情况，制定评价指标体系，形成评价报告，推进全面实施预算绩效管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（1）加强和规范对项目支出财政专项资金的监管，通过对专项资金补助的使用、管理和产出效益等情况的评价，提高财政资金使用效益。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加强预算绩效管理，强化支出责任，建立科学、合理的财政支出绩效评价管理体系，提高财政资金使用效益，同时进一步提高财政支出管理水平，检验财政支出预期目标实现程度，考核财政支出效率和综合效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2.绩效评价对象和范围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本次评价对象为北辰区治超卸载点土地租赁及运营服务项目，该项目预算金额为100.00万元，财政拨款金额为99.55万元，执行金额为99.55万元。</w:t>
      </w:r>
    </w:p>
    <w:p>
      <w:pPr>
        <w:pStyle w:val="4"/>
        <w:keepNext w:val="0"/>
        <w:keepLines w:val="0"/>
        <w:pageBreakBefore w:val="0"/>
        <w:widowControl w:val="0"/>
        <w:numPr>
          <w:ilvl w:val="1"/>
          <w:numId w:val="0"/>
        </w:numPr>
        <w:kinsoku/>
        <w:wordWrap/>
        <w:overflowPunct/>
        <w:topLinePunct w:val="0"/>
        <w:bidi w:val="0"/>
        <w:adjustRightInd/>
        <w:snapToGrid/>
        <w:spacing w:before="0" w:after="0" w:line="600" w:lineRule="exact"/>
        <w:ind w:firstLine="640" w:firstLineChars="200"/>
        <w:textAlignment w:val="auto"/>
        <w:rPr>
          <w:rFonts w:hint="eastAsia" w:ascii="仿宋_GB2312" w:hAnsi="仿宋_GB2312" w:eastAsia="仿宋_GB2312" w:cs="仿宋_GB2312"/>
          <w:color w:val="auto"/>
          <w:kern w:val="2"/>
          <w:sz w:val="32"/>
          <w:szCs w:val="32"/>
          <w:highlight w:val="none"/>
          <w:lang w:val="en-US" w:eastAsia="zh-CN" w:bidi="ar-SA"/>
        </w:rPr>
      </w:pPr>
      <w:bookmarkStart w:id="10" w:name="_Toc579"/>
      <w:r>
        <w:rPr>
          <w:rFonts w:hint="eastAsia" w:ascii="仿宋_GB2312" w:hAnsi="仿宋_GB2312" w:eastAsia="仿宋_GB2312" w:cs="仿宋_GB2312"/>
          <w:color w:val="auto"/>
          <w:kern w:val="2"/>
          <w:sz w:val="32"/>
          <w:szCs w:val="32"/>
          <w:highlight w:val="none"/>
          <w:lang w:val="en-US" w:eastAsia="zh-CN" w:bidi="ar-SA"/>
        </w:rPr>
        <w:t>（二）绩效评价原则、绩效评价指标体系、评价方法和评价标准</w:t>
      </w:r>
      <w:bookmarkEnd w:id="10"/>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 xml:space="preserve"> 1.</w:t>
      </w:r>
      <w:r>
        <w:rPr>
          <w:rFonts w:hint="eastAsia" w:ascii="仿宋_GB2312" w:hAnsi="仿宋_GB2312" w:eastAsia="仿宋_GB2312" w:cs="仿宋_GB2312"/>
          <w:color w:val="auto"/>
          <w:sz w:val="32"/>
          <w:szCs w:val="32"/>
          <w:highlight w:val="none"/>
        </w:rPr>
        <w:t>绩效评价的基本原则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科学规范原则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绩效评价按照规范的程序、科学可行的要求，采用定量与定性分析相结合的方法实施。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2</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公正公开原则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绩效评价符合真实、客观、公平、公正的要求，依法公开并接受监督。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3</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分级分类原则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绩效评价财政部门和各预算单位主管部门根据评价对象的特点分类组织实施。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4</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绩效相关原则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绩效评价针对具体支出及其产出效果进行，评价结果要清晰反映两者之间紧密对应关系。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2.</w:t>
      </w:r>
      <w:r>
        <w:rPr>
          <w:rFonts w:hint="eastAsia" w:ascii="仿宋_GB2312" w:hAnsi="仿宋_GB2312" w:eastAsia="仿宋_GB2312" w:cs="仿宋_GB2312"/>
          <w:color w:val="auto"/>
          <w:sz w:val="32"/>
          <w:szCs w:val="32"/>
          <w:highlight w:val="none"/>
        </w:rPr>
        <w:t>绩效评价的主要依据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《中共中央国务院关于全面实施预算绩效管理的意见》（中发〔2018〕34号）；</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2</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财政部《预算绩效评价共性指标体系框架》（财预〔2013〕53号）；</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3</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 xml:space="preserve">财政部《项目支出绩效评价管理办法》（财预〔2020〕10号）；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4</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《中共天津市委 天津市人民政府</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关于全面推进预算绩效管理的实施方案</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的通知》（津党发〔2019〕25号）；</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5</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市政府办公厅《关于推进我市预算绩效管理工作的指导意见》（津政办发〔2011〕109号）；</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6</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《天津市市级部门（单位）整体支出绩效目标管理办法（试行）》（津财预〔2015〕102号）；</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7</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 xml:space="preserve">《天津市财政项目支出绩效评价共性指标体系》（津财预〔2016〕73号）；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8</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 xml:space="preserve">《天津市市级财政项目支出绩效评价管理办法》（津财绩效〔2020〕12号）；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9</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《天津市市级部门预算绩效管理办法》（津财绩效〔2020〕14号）；</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10</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《天津市市级部门预算绩效目标管理办法》（津财绩效〔2020〕16号）。</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3.</w:t>
      </w:r>
      <w:r>
        <w:rPr>
          <w:rFonts w:hint="eastAsia" w:ascii="仿宋_GB2312" w:hAnsi="仿宋_GB2312" w:eastAsia="仿宋_GB2312" w:cs="仿宋_GB2312"/>
          <w:color w:val="auto"/>
          <w:sz w:val="32"/>
          <w:szCs w:val="32"/>
          <w:highlight w:val="none"/>
        </w:rPr>
        <w:t>指标构建原则及思路</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绩效指标评价体系设计遵循经济性、相关性、重要性、可比性、定量为主原则，结合“</w:t>
      </w:r>
      <w:r>
        <w:rPr>
          <w:rFonts w:hint="eastAsia" w:ascii="仿宋_GB2312" w:hAnsi="仿宋_GB2312" w:eastAsia="仿宋_GB2312" w:cs="仿宋_GB2312"/>
          <w:color w:val="auto"/>
          <w:sz w:val="32"/>
          <w:szCs w:val="32"/>
          <w:highlight w:val="none"/>
          <w:lang w:val="en-US" w:eastAsia="zh-CN"/>
        </w:rPr>
        <w:t>北辰</w:t>
      </w:r>
      <w:r>
        <w:rPr>
          <w:rFonts w:hint="eastAsia" w:ascii="仿宋_GB2312" w:hAnsi="仿宋_GB2312" w:eastAsia="仿宋_GB2312" w:cs="仿宋_GB2312"/>
          <w:color w:val="auto"/>
          <w:sz w:val="32"/>
          <w:szCs w:val="32"/>
          <w:highlight w:val="none"/>
        </w:rPr>
        <w:t>区20</w:t>
      </w:r>
      <w:r>
        <w:rPr>
          <w:rFonts w:hint="eastAsia" w:ascii="仿宋_GB2312" w:hAnsi="仿宋_GB2312" w:eastAsia="仿宋_GB2312" w:cs="仿宋_GB2312"/>
          <w:color w:val="auto"/>
          <w:sz w:val="32"/>
          <w:szCs w:val="32"/>
          <w:highlight w:val="none"/>
          <w:lang w:val="en-US" w:eastAsia="zh-CN"/>
        </w:rPr>
        <w:t>21</w:t>
      </w:r>
      <w:r>
        <w:rPr>
          <w:rFonts w:hint="eastAsia" w:ascii="仿宋_GB2312" w:hAnsi="仿宋_GB2312" w:eastAsia="仿宋_GB2312" w:cs="仿宋_GB2312"/>
          <w:color w:val="auto"/>
          <w:sz w:val="32"/>
          <w:szCs w:val="32"/>
          <w:highlight w:val="none"/>
        </w:rPr>
        <w:t>年度治超卸载点土地租赁及运营服务”项目实施的产出及效果情况，制定绩效指标体系，具体如下：</w:t>
      </w:r>
    </w:p>
    <w:p>
      <w:pPr>
        <w:pStyle w:val="2"/>
        <w:jc w:val="center"/>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表3：绩效指标评价得分体系</w:t>
      </w:r>
    </w:p>
    <w:tbl>
      <w:tblPr>
        <w:tblStyle w:val="11"/>
        <w:tblW w:w="0" w:type="auto"/>
        <w:tblInd w:w="93" w:type="dxa"/>
        <w:tblLayout w:type="fixed"/>
        <w:tblCellMar>
          <w:top w:w="0" w:type="dxa"/>
          <w:left w:w="108" w:type="dxa"/>
          <w:bottom w:w="0" w:type="dxa"/>
          <w:right w:w="108" w:type="dxa"/>
        </w:tblCellMar>
      </w:tblPr>
      <w:tblGrid>
        <w:gridCol w:w="954"/>
        <w:gridCol w:w="932"/>
        <w:gridCol w:w="1125"/>
        <w:gridCol w:w="4571"/>
        <w:gridCol w:w="736"/>
      </w:tblGrid>
      <w:tr>
        <w:tblPrEx>
          <w:tblCellMar>
            <w:top w:w="0" w:type="dxa"/>
            <w:left w:w="108" w:type="dxa"/>
            <w:bottom w:w="0" w:type="dxa"/>
            <w:right w:w="108" w:type="dxa"/>
          </w:tblCellMar>
        </w:tblPrEx>
        <w:trPr>
          <w:trHeight w:val="725" w:hRule="atLeast"/>
          <w:tblHeader/>
        </w:trPr>
        <w:tc>
          <w:tcPr>
            <w:tcW w:w="9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黑体" w:hAnsi="黑体" w:eastAsia="黑体" w:cs="黑体"/>
                <w:b w:val="0"/>
                <w:bCs w:val="0"/>
                <w:color w:val="auto"/>
                <w:kern w:val="0"/>
                <w:sz w:val="21"/>
                <w:szCs w:val="21"/>
                <w:highlight w:val="none"/>
                <w:lang w:bidi="ar"/>
              </w:rPr>
            </w:pPr>
            <w:r>
              <w:rPr>
                <w:rFonts w:hint="eastAsia" w:ascii="黑体" w:hAnsi="黑体" w:eastAsia="黑体" w:cs="黑体"/>
                <w:b w:val="0"/>
                <w:bCs w:val="0"/>
                <w:color w:val="auto"/>
                <w:kern w:val="0"/>
                <w:sz w:val="21"/>
                <w:szCs w:val="21"/>
                <w:highlight w:val="none"/>
                <w:lang w:bidi="ar"/>
              </w:rPr>
              <w:t>一级评分项</w:t>
            </w:r>
          </w:p>
        </w:tc>
        <w:tc>
          <w:tcPr>
            <w:tcW w:w="9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黑体" w:hAnsi="黑体" w:eastAsia="黑体" w:cs="黑体"/>
                <w:b w:val="0"/>
                <w:bCs w:val="0"/>
                <w:color w:val="auto"/>
                <w:kern w:val="0"/>
                <w:sz w:val="21"/>
                <w:szCs w:val="21"/>
                <w:highlight w:val="none"/>
                <w:lang w:bidi="ar"/>
              </w:rPr>
            </w:pPr>
            <w:r>
              <w:rPr>
                <w:rFonts w:hint="eastAsia" w:ascii="黑体" w:hAnsi="黑体" w:eastAsia="黑体" w:cs="黑体"/>
                <w:b w:val="0"/>
                <w:bCs w:val="0"/>
                <w:color w:val="auto"/>
                <w:kern w:val="0"/>
                <w:sz w:val="21"/>
                <w:szCs w:val="21"/>
                <w:highlight w:val="none"/>
                <w:lang w:bidi="ar"/>
              </w:rPr>
              <w:t>二级评分项</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黑体" w:hAnsi="黑体" w:eastAsia="黑体" w:cs="黑体"/>
                <w:b w:val="0"/>
                <w:bCs w:val="0"/>
                <w:color w:val="auto"/>
                <w:kern w:val="0"/>
                <w:sz w:val="21"/>
                <w:szCs w:val="21"/>
                <w:highlight w:val="none"/>
                <w:lang w:bidi="ar"/>
              </w:rPr>
            </w:pPr>
            <w:r>
              <w:rPr>
                <w:rFonts w:hint="eastAsia" w:ascii="黑体" w:hAnsi="黑体" w:eastAsia="黑体" w:cs="黑体"/>
                <w:b w:val="0"/>
                <w:bCs w:val="0"/>
                <w:color w:val="auto"/>
                <w:kern w:val="0"/>
                <w:sz w:val="21"/>
                <w:szCs w:val="21"/>
                <w:highlight w:val="none"/>
                <w:lang w:bidi="ar"/>
              </w:rPr>
              <w:t>三级评分项</w:t>
            </w:r>
          </w:p>
        </w:tc>
        <w:tc>
          <w:tcPr>
            <w:tcW w:w="45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黑体" w:hAnsi="黑体" w:eastAsia="黑体" w:cs="黑体"/>
                <w:b w:val="0"/>
                <w:bCs w:val="0"/>
                <w:color w:val="auto"/>
                <w:kern w:val="0"/>
                <w:sz w:val="21"/>
                <w:szCs w:val="21"/>
                <w:highlight w:val="none"/>
                <w:lang w:bidi="ar"/>
              </w:rPr>
            </w:pPr>
            <w:r>
              <w:rPr>
                <w:rFonts w:hint="eastAsia" w:ascii="黑体" w:hAnsi="黑体" w:eastAsia="黑体" w:cs="黑体"/>
                <w:b w:val="0"/>
                <w:bCs w:val="0"/>
                <w:color w:val="auto"/>
                <w:kern w:val="0"/>
                <w:sz w:val="21"/>
                <w:szCs w:val="21"/>
                <w:highlight w:val="none"/>
                <w:lang w:bidi="ar"/>
              </w:rPr>
              <w:t>评价要点</w:t>
            </w:r>
          </w:p>
        </w:tc>
        <w:tc>
          <w:tcPr>
            <w:tcW w:w="7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黑体" w:hAnsi="黑体" w:eastAsia="黑体" w:cs="黑体"/>
                <w:b w:val="0"/>
                <w:bCs w:val="0"/>
                <w:color w:val="auto"/>
                <w:kern w:val="0"/>
                <w:sz w:val="21"/>
                <w:szCs w:val="21"/>
                <w:highlight w:val="none"/>
                <w:lang w:bidi="ar"/>
              </w:rPr>
            </w:pPr>
            <w:r>
              <w:rPr>
                <w:rFonts w:hint="eastAsia" w:ascii="黑体" w:hAnsi="黑体" w:eastAsia="黑体" w:cs="黑体"/>
                <w:b w:val="0"/>
                <w:bCs w:val="0"/>
                <w:color w:val="auto"/>
                <w:kern w:val="0"/>
                <w:sz w:val="21"/>
                <w:szCs w:val="21"/>
                <w:highlight w:val="none"/>
                <w:lang w:bidi="ar"/>
              </w:rPr>
              <w:t>分值</w:t>
            </w:r>
          </w:p>
        </w:tc>
      </w:tr>
      <w:tr>
        <w:tblPrEx>
          <w:tblCellMar>
            <w:top w:w="0" w:type="dxa"/>
            <w:left w:w="108" w:type="dxa"/>
            <w:bottom w:w="0" w:type="dxa"/>
            <w:right w:w="108" w:type="dxa"/>
          </w:tblCellMar>
        </w:tblPrEx>
        <w:trPr>
          <w:trHeight w:val="2798" w:hRule="atLeast"/>
        </w:trPr>
        <w:tc>
          <w:tcPr>
            <w:tcW w:w="95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决策（20分）</w:t>
            </w:r>
          </w:p>
        </w:tc>
        <w:tc>
          <w:tcPr>
            <w:tcW w:w="93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项目立项</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立项依据</w:t>
            </w:r>
            <w:r>
              <w:rPr>
                <w:rFonts w:hint="default" w:ascii="Times New Roman" w:hAnsi="Times New Roman" w:eastAsia="宋体" w:cs="Times New Roman"/>
                <w:color w:val="auto"/>
                <w:sz w:val="21"/>
                <w:szCs w:val="21"/>
                <w:highlight w:val="none"/>
              </w:rPr>
              <w:br w:type="textWrapping"/>
            </w:r>
            <w:r>
              <w:rPr>
                <w:rFonts w:hint="default" w:ascii="Times New Roman" w:hAnsi="Times New Roman" w:eastAsia="宋体" w:cs="Times New Roman"/>
                <w:color w:val="auto"/>
                <w:sz w:val="21"/>
                <w:szCs w:val="21"/>
                <w:highlight w:val="none"/>
              </w:rPr>
              <w:t>充分性</w:t>
            </w:r>
          </w:p>
        </w:tc>
        <w:tc>
          <w:tcPr>
            <w:tcW w:w="4571" w:type="dxa"/>
            <w:tcBorders>
              <w:top w:val="single" w:color="000000" w:sz="4" w:space="0"/>
              <w:left w:val="single" w:color="000000" w:sz="4" w:space="0"/>
              <w:bottom w:val="single" w:color="000000" w:sz="4" w:space="0"/>
              <w:right w:val="single" w:color="000000" w:sz="4" w:space="0"/>
            </w:tcBorders>
            <w:shd w:val="clear" w:color="auto" w:fill="auto"/>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①项目立项是否符合国家法律法规、国民经济发展规划和相关政策；</w:t>
            </w:r>
          </w:p>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②项目立项是否符合行业发展规划和政策要求；</w:t>
            </w:r>
          </w:p>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③项目立项是否与部门职责范围相符，属于部门履职所需；</w:t>
            </w:r>
          </w:p>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④项目是否属于公共财政支持范围，是否符合中央、地方事权支出责任划分原则；</w:t>
            </w:r>
          </w:p>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⑤项目是否与相关部门同类项目或部门内部相关项目重复。</w:t>
            </w:r>
          </w:p>
        </w:tc>
        <w:tc>
          <w:tcPr>
            <w:tcW w:w="7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4</w:t>
            </w:r>
          </w:p>
        </w:tc>
      </w:tr>
      <w:tr>
        <w:tblPrEx>
          <w:tblCellMar>
            <w:top w:w="0" w:type="dxa"/>
            <w:left w:w="108" w:type="dxa"/>
            <w:bottom w:w="0" w:type="dxa"/>
            <w:right w:w="108" w:type="dxa"/>
          </w:tblCellMar>
        </w:tblPrEx>
        <w:trPr>
          <w:trHeight w:val="1250" w:hRule="atLeast"/>
        </w:trPr>
        <w:tc>
          <w:tcPr>
            <w:tcW w:w="9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color w:val="auto"/>
                <w:sz w:val="21"/>
                <w:szCs w:val="21"/>
                <w:highlight w:val="none"/>
              </w:rPr>
            </w:pPr>
          </w:p>
        </w:tc>
        <w:tc>
          <w:tcPr>
            <w:tcW w:w="9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color w:val="auto"/>
                <w:sz w:val="21"/>
                <w:szCs w:val="21"/>
                <w:highlight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立项程序</w:t>
            </w:r>
            <w:r>
              <w:rPr>
                <w:rFonts w:hint="default" w:ascii="Times New Roman" w:hAnsi="Times New Roman" w:eastAsia="宋体" w:cs="Times New Roman"/>
                <w:color w:val="auto"/>
                <w:sz w:val="21"/>
                <w:szCs w:val="21"/>
                <w:highlight w:val="none"/>
              </w:rPr>
              <w:br w:type="textWrapping"/>
            </w:r>
            <w:r>
              <w:rPr>
                <w:rFonts w:hint="default" w:ascii="Times New Roman" w:hAnsi="Times New Roman" w:eastAsia="宋体" w:cs="Times New Roman"/>
                <w:color w:val="auto"/>
                <w:sz w:val="21"/>
                <w:szCs w:val="21"/>
                <w:highlight w:val="none"/>
              </w:rPr>
              <w:t>规范性</w:t>
            </w:r>
          </w:p>
        </w:tc>
        <w:tc>
          <w:tcPr>
            <w:tcW w:w="4571" w:type="dxa"/>
            <w:tcBorders>
              <w:top w:val="single" w:color="000000" w:sz="4" w:space="0"/>
              <w:left w:val="single" w:color="000000" w:sz="4" w:space="0"/>
              <w:bottom w:val="single" w:color="000000" w:sz="4" w:space="0"/>
              <w:right w:val="single" w:color="000000" w:sz="4" w:space="0"/>
            </w:tcBorders>
            <w:shd w:val="clear" w:color="auto" w:fill="auto"/>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①项目是否按照规定的程序申请设立；</w:t>
            </w:r>
          </w:p>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②审批文件、材料是否符合相关要求；</w:t>
            </w:r>
          </w:p>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③事前是否已经过必要的可行性研究、专家论证、风险评估、绩效评估、集体决策。</w:t>
            </w:r>
          </w:p>
        </w:tc>
        <w:tc>
          <w:tcPr>
            <w:tcW w:w="7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4</w:t>
            </w:r>
          </w:p>
        </w:tc>
      </w:tr>
      <w:tr>
        <w:tblPrEx>
          <w:tblCellMar>
            <w:top w:w="0" w:type="dxa"/>
            <w:left w:w="108" w:type="dxa"/>
            <w:bottom w:w="0" w:type="dxa"/>
            <w:right w:w="108" w:type="dxa"/>
          </w:tblCellMar>
        </w:tblPrEx>
        <w:trPr>
          <w:trHeight w:val="2179" w:hRule="atLeast"/>
        </w:trPr>
        <w:tc>
          <w:tcPr>
            <w:tcW w:w="9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color w:val="auto"/>
                <w:sz w:val="21"/>
                <w:szCs w:val="21"/>
                <w:highlight w:val="none"/>
              </w:rPr>
            </w:pPr>
          </w:p>
        </w:tc>
        <w:tc>
          <w:tcPr>
            <w:tcW w:w="93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绩效目标</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绩效目标</w:t>
            </w:r>
            <w:r>
              <w:rPr>
                <w:rFonts w:hint="default" w:ascii="Times New Roman" w:hAnsi="Times New Roman" w:eastAsia="宋体" w:cs="Times New Roman"/>
                <w:color w:val="auto"/>
                <w:sz w:val="21"/>
                <w:szCs w:val="21"/>
                <w:highlight w:val="none"/>
              </w:rPr>
              <w:br w:type="textWrapping"/>
            </w:r>
            <w:r>
              <w:rPr>
                <w:rFonts w:hint="default" w:ascii="Times New Roman" w:hAnsi="Times New Roman" w:eastAsia="宋体" w:cs="Times New Roman"/>
                <w:color w:val="auto"/>
                <w:sz w:val="21"/>
                <w:szCs w:val="21"/>
                <w:highlight w:val="none"/>
              </w:rPr>
              <w:t>合理性</w:t>
            </w:r>
          </w:p>
        </w:tc>
        <w:tc>
          <w:tcPr>
            <w:tcW w:w="4571" w:type="dxa"/>
            <w:tcBorders>
              <w:top w:val="single" w:color="000000" w:sz="4" w:space="0"/>
              <w:left w:val="single" w:color="000000" w:sz="4" w:space="0"/>
              <w:bottom w:val="single" w:color="000000" w:sz="4" w:space="0"/>
              <w:right w:val="single" w:color="000000" w:sz="4" w:space="0"/>
            </w:tcBorders>
            <w:shd w:val="clear" w:color="auto" w:fill="auto"/>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①项目是否有绩效目标；</w:t>
            </w:r>
          </w:p>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②项目绩效目标与实际工作内容是否具有相关性；</w:t>
            </w:r>
          </w:p>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③项目预期产出效益和效果是否符合正常的业绩水平；</w:t>
            </w:r>
          </w:p>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④是否与预算确定的项目投资额或资金量相匹配。</w:t>
            </w:r>
          </w:p>
        </w:tc>
        <w:tc>
          <w:tcPr>
            <w:tcW w:w="7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3</w:t>
            </w:r>
          </w:p>
        </w:tc>
      </w:tr>
      <w:tr>
        <w:tblPrEx>
          <w:tblCellMar>
            <w:top w:w="0" w:type="dxa"/>
            <w:left w:w="108" w:type="dxa"/>
            <w:bottom w:w="0" w:type="dxa"/>
            <w:right w:w="108" w:type="dxa"/>
          </w:tblCellMar>
        </w:tblPrEx>
        <w:trPr>
          <w:trHeight w:val="1250" w:hRule="atLeast"/>
        </w:trPr>
        <w:tc>
          <w:tcPr>
            <w:tcW w:w="9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color w:val="auto"/>
                <w:sz w:val="21"/>
                <w:szCs w:val="21"/>
                <w:highlight w:val="none"/>
              </w:rPr>
            </w:pPr>
          </w:p>
        </w:tc>
        <w:tc>
          <w:tcPr>
            <w:tcW w:w="9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color w:val="auto"/>
                <w:sz w:val="21"/>
                <w:szCs w:val="21"/>
                <w:highlight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绩效目标</w:t>
            </w:r>
            <w:r>
              <w:rPr>
                <w:rFonts w:hint="default" w:ascii="Times New Roman" w:hAnsi="Times New Roman" w:eastAsia="宋体" w:cs="Times New Roman"/>
                <w:color w:val="auto"/>
                <w:sz w:val="21"/>
                <w:szCs w:val="21"/>
                <w:highlight w:val="none"/>
              </w:rPr>
              <w:br w:type="textWrapping"/>
            </w:r>
            <w:r>
              <w:rPr>
                <w:rFonts w:hint="default" w:ascii="Times New Roman" w:hAnsi="Times New Roman" w:eastAsia="宋体" w:cs="Times New Roman"/>
                <w:color w:val="auto"/>
                <w:sz w:val="21"/>
                <w:szCs w:val="21"/>
                <w:highlight w:val="none"/>
              </w:rPr>
              <w:t>明确性</w:t>
            </w:r>
          </w:p>
        </w:tc>
        <w:tc>
          <w:tcPr>
            <w:tcW w:w="4571" w:type="dxa"/>
            <w:tcBorders>
              <w:top w:val="single" w:color="000000" w:sz="4" w:space="0"/>
              <w:left w:val="single" w:color="000000" w:sz="4" w:space="0"/>
              <w:bottom w:val="single" w:color="000000" w:sz="4" w:space="0"/>
              <w:right w:val="single" w:color="000000" w:sz="4" w:space="0"/>
            </w:tcBorders>
            <w:shd w:val="clear" w:color="auto" w:fill="auto"/>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①是否将项目绩效目标细化分解为具体的绩效指标；</w:t>
            </w:r>
          </w:p>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②是否通过清晰、可衡量的指标值予以体现；</w:t>
            </w:r>
          </w:p>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③是否与项目目标任务数或计划数相对应。</w:t>
            </w:r>
          </w:p>
        </w:tc>
        <w:tc>
          <w:tcPr>
            <w:tcW w:w="7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3</w:t>
            </w:r>
          </w:p>
        </w:tc>
      </w:tr>
      <w:tr>
        <w:tblPrEx>
          <w:tblCellMar>
            <w:top w:w="0" w:type="dxa"/>
            <w:left w:w="108" w:type="dxa"/>
            <w:bottom w:w="0" w:type="dxa"/>
            <w:right w:w="108" w:type="dxa"/>
          </w:tblCellMar>
        </w:tblPrEx>
        <w:trPr>
          <w:trHeight w:val="1869" w:hRule="atLeast"/>
        </w:trPr>
        <w:tc>
          <w:tcPr>
            <w:tcW w:w="9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color w:val="auto"/>
                <w:sz w:val="21"/>
                <w:szCs w:val="21"/>
                <w:highlight w:val="none"/>
              </w:rPr>
            </w:pPr>
          </w:p>
        </w:tc>
        <w:tc>
          <w:tcPr>
            <w:tcW w:w="93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资金投入</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预算编制</w:t>
            </w:r>
            <w:r>
              <w:rPr>
                <w:rFonts w:hint="default" w:ascii="Times New Roman" w:hAnsi="Times New Roman" w:eastAsia="宋体" w:cs="Times New Roman"/>
                <w:color w:val="auto"/>
                <w:sz w:val="21"/>
                <w:szCs w:val="21"/>
                <w:highlight w:val="none"/>
              </w:rPr>
              <w:br w:type="textWrapping"/>
            </w:r>
            <w:r>
              <w:rPr>
                <w:rFonts w:hint="default" w:ascii="Times New Roman" w:hAnsi="Times New Roman" w:eastAsia="宋体" w:cs="Times New Roman"/>
                <w:color w:val="auto"/>
                <w:sz w:val="21"/>
                <w:szCs w:val="21"/>
                <w:highlight w:val="none"/>
              </w:rPr>
              <w:t>科学性</w:t>
            </w:r>
          </w:p>
        </w:tc>
        <w:tc>
          <w:tcPr>
            <w:tcW w:w="4571" w:type="dxa"/>
            <w:tcBorders>
              <w:top w:val="single" w:color="000000" w:sz="4" w:space="0"/>
              <w:left w:val="single" w:color="000000" w:sz="4" w:space="0"/>
              <w:bottom w:val="single" w:color="000000" w:sz="4" w:space="0"/>
              <w:right w:val="single" w:color="000000" w:sz="4" w:space="0"/>
            </w:tcBorders>
            <w:shd w:val="clear" w:color="auto" w:fill="auto"/>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①预算编制是否经过科学论证；</w:t>
            </w:r>
          </w:p>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②预算内容与项目内容是否匹配；</w:t>
            </w:r>
          </w:p>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③预算额度测算依据是否充分，是否按照标准编制；</w:t>
            </w:r>
          </w:p>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④预算确定的项目投资额或资金量是否与工作任务相匹配。</w:t>
            </w:r>
          </w:p>
        </w:tc>
        <w:tc>
          <w:tcPr>
            <w:tcW w:w="7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3</w:t>
            </w:r>
          </w:p>
        </w:tc>
      </w:tr>
      <w:tr>
        <w:tblPrEx>
          <w:tblCellMar>
            <w:top w:w="0" w:type="dxa"/>
            <w:left w:w="108" w:type="dxa"/>
            <w:bottom w:w="0" w:type="dxa"/>
            <w:right w:w="108" w:type="dxa"/>
          </w:tblCellMar>
        </w:tblPrEx>
        <w:trPr>
          <w:trHeight w:val="946" w:hRule="atLeast"/>
        </w:trPr>
        <w:tc>
          <w:tcPr>
            <w:tcW w:w="9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color w:val="auto"/>
                <w:sz w:val="21"/>
                <w:szCs w:val="21"/>
                <w:highlight w:val="none"/>
              </w:rPr>
            </w:pPr>
          </w:p>
        </w:tc>
        <w:tc>
          <w:tcPr>
            <w:tcW w:w="932" w:type="dxa"/>
            <w:vMerge w:val="continue"/>
            <w:tcBorders>
              <w:top w:val="single" w:color="000000" w:sz="4" w:space="0"/>
              <w:left w:val="single" w:color="000000" w:sz="4" w:space="0"/>
              <w:bottom w:val="single" w:color="auto" w:sz="4" w:space="0"/>
              <w:right w:val="single" w:color="000000" w:sz="4" w:space="0"/>
            </w:tcBorders>
            <w:shd w:val="clear" w:color="auto" w:fill="auto"/>
            <w:vAlign w:val="center"/>
          </w:tcPr>
          <w:p>
            <w:pPr>
              <w:jc w:val="center"/>
              <w:rPr>
                <w:rFonts w:hint="default" w:ascii="Times New Roman" w:hAnsi="Times New Roman" w:eastAsia="宋体" w:cs="Times New Roman"/>
                <w:color w:val="auto"/>
                <w:sz w:val="21"/>
                <w:szCs w:val="21"/>
                <w:highlight w:val="none"/>
              </w:rPr>
            </w:pPr>
          </w:p>
        </w:tc>
        <w:tc>
          <w:tcPr>
            <w:tcW w:w="1125" w:type="dxa"/>
            <w:tcBorders>
              <w:top w:val="single" w:color="000000" w:sz="4" w:space="0"/>
              <w:left w:val="single" w:color="000000" w:sz="4" w:space="0"/>
              <w:bottom w:val="single" w:color="auto" w:sz="4" w:space="0"/>
              <w:right w:val="single" w:color="000000" w:sz="4" w:space="0"/>
            </w:tcBorders>
            <w:shd w:val="clear" w:color="auto" w:fill="auto"/>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资金分配</w:t>
            </w:r>
            <w:r>
              <w:rPr>
                <w:rFonts w:hint="default" w:ascii="Times New Roman" w:hAnsi="Times New Roman" w:eastAsia="宋体" w:cs="Times New Roman"/>
                <w:color w:val="auto"/>
                <w:sz w:val="21"/>
                <w:szCs w:val="21"/>
                <w:highlight w:val="none"/>
              </w:rPr>
              <w:br w:type="textWrapping"/>
            </w:r>
            <w:r>
              <w:rPr>
                <w:rFonts w:hint="default" w:ascii="Times New Roman" w:hAnsi="Times New Roman" w:eastAsia="宋体" w:cs="Times New Roman"/>
                <w:color w:val="auto"/>
                <w:sz w:val="21"/>
                <w:szCs w:val="21"/>
                <w:highlight w:val="none"/>
              </w:rPr>
              <w:t>合理性</w:t>
            </w:r>
          </w:p>
        </w:tc>
        <w:tc>
          <w:tcPr>
            <w:tcW w:w="4571" w:type="dxa"/>
            <w:tcBorders>
              <w:top w:val="single" w:color="000000" w:sz="4" w:space="0"/>
              <w:left w:val="single" w:color="000000" w:sz="4" w:space="0"/>
              <w:bottom w:val="single" w:color="000000" w:sz="4" w:space="0"/>
              <w:right w:val="single" w:color="000000" w:sz="4" w:space="0"/>
            </w:tcBorders>
            <w:shd w:val="clear" w:color="auto" w:fill="auto"/>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①预算资金分配依据是否充分；</w:t>
            </w:r>
          </w:p>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②资金分配额度是否合理，与项目单位或地方实际是否相适应。</w:t>
            </w:r>
          </w:p>
        </w:tc>
        <w:tc>
          <w:tcPr>
            <w:tcW w:w="7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3</w:t>
            </w:r>
          </w:p>
        </w:tc>
      </w:tr>
      <w:tr>
        <w:tblPrEx>
          <w:tblCellMar>
            <w:top w:w="0" w:type="dxa"/>
            <w:left w:w="108" w:type="dxa"/>
            <w:bottom w:w="0" w:type="dxa"/>
            <w:right w:w="108" w:type="dxa"/>
          </w:tblCellMar>
        </w:tblPrEx>
        <w:trPr>
          <w:trHeight w:val="1559" w:hRule="atLeast"/>
        </w:trPr>
        <w:tc>
          <w:tcPr>
            <w:tcW w:w="954" w:type="dxa"/>
            <w:vMerge w:val="restart"/>
            <w:tcBorders>
              <w:top w:val="single" w:color="000000" w:sz="4" w:space="0"/>
              <w:left w:val="single" w:color="000000" w:sz="4" w:space="0"/>
              <w:bottom w:val="single" w:color="000000" w:sz="4" w:space="0"/>
              <w:right w:val="single" w:color="auto" w:sz="4" w:space="0"/>
            </w:tcBorders>
            <w:shd w:val="clear" w:color="auto" w:fill="auto"/>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过程（25分）</w:t>
            </w:r>
          </w:p>
        </w:tc>
        <w:tc>
          <w:tcPr>
            <w:tcW w:w="932" w:type="dxa"/>
            <w:vMerge w:val="restart"/>
            <w:tcBorders>
              <w:top w:val="single" w:color="auto" w:sz="4" w:space="0"/>
              <w:left w:val="single" w:color="auto" w:sz="4" w:space="0"/>
              <w:right w:val="single" w:color="000000" w:sz="4" w:space="0"/>
            </w:tcBorders>
            <w:shd w:val="clear" w:color="auto" w:fill="auto"/>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资金管理</w:t>
            </w:r>
          </w:p>
        </w:tc>
        <w:tc>
          <w:tcPr>
            <w:tcW w:w="1125" w:type="dxa"/>
            <w:tcBorders>
              <w:top w:val="single" w:color="auto" w:sz="4" w:space="0"/>
              <w:left w:val="single" w:color="000000" w:sz="4" w:space="0"/>
              <w:bottom w:val="single" w:color="000000" w:sz="4" w:space="0"/>
              <w:right w:val="single" w:color="auto" w:sz="4" w:space="0"/>
            </w:tcBorders>
            <w:shd w:val="clear" w:color="auto" w:fill="auto"/>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资金到位率</w:t>
            </w:r>
          </w:p>
        </w:tc>
        <w:tc>
          <w:tcPr>
            <w:tcW w:w="4571" w:type="dxa"/>
            <w:tcBorders>
              <w:top w:val="single" w:color="000000" w:sz="4" w:space="0"/>
              <w:left w:val="single" w:color="auto" w:sz="4" w:space="0"/>
              <w:bottom w:val="single" w:color="000000" w:sz="4" w:space="0"/>
              <w:right w:val="single" w:color="000000" w:sz="4" w:space="0"/>
            </w:tcBorders>
            <w:shd w:val="clear" w:color="auto" w:fill="auto"/>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资金到位率=</w:t>
            </w:r>
            <w:r>
              <w:rPr>
                <w:rFonts w:hint="eastAsia" w:ascii="Times New Roman" w:hAnsi="Times New Roman" w:cs="Times New Roman"/>
                <w:color w:val="auto"/>
                <w:sz w:val="21"/>
                <w:szCs w:val="21"/>
                <w:highlight w:val="none"/>
                <w:lang w:eastAsia="zh-CN"/>
              </w:rPr>
              <w:t>（</w:t>
            </w:r>
            <w:r>
              <w:rPr>
                <w:rFonts w:hint="default" w:ascii="Times New Roman" w:hAnsi="Times New Roman" w:eastAsia="宋体" w:cs="Times New Roman"/>
                <w:color w:val="auto"/>
                <w:sz w:val="21"/>
                <w:szCs w:val="21"/>
                <w:highlight w:val="none"/>
              </w:rPr>
              <w:t>实际到位资金/预算资金</w:t>
            </w:r>
            <w:r>
              <w:rPr>
                <w:rFonts w:hint="eastAsia" w:ascii="Times New Roman" w:hAnsi="Times New Roman" w:cs="Times New Roman"/>
                <w:color w:val="auto"/>
                <w:sz w:val="21"/>
                <w:szCs w:val="21"/>
                <w:highlight w:val="none"/>
                <w:lang w:eastAsia="zh-CN"/>
              </w:rPr>
              <w:t>）</w:t>
            </w:r>
            <w:r>
              <w:rPr>
                <w:rFonts w:hint="default" w:ascii="Times New Roman" w:hAnsi="Times New Roman" w:eastAsia="宋体" w:cs="Times New Roman"/>
                <w:color w:val="auto"/>
                <w:sz w:val="21"/>
                <w:szCs w:val="21"/>
                <w:highlight w:val="none"/>
              </w:rPr>
              <w:t>×lOO%。</w:t>
            </w:r>
          </w:p>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实际到位资金：一定时期（本年度或项目期）内落实到具体项目的资金。</w:t>
            </w:r>
          </w:p>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预算资金：一定时期（本年度或项目期）内预算安排到具体项目的资金。</w:t>
            </w:r>
          </w:p>
        </w:tc>
        <w:tc>
          <w:tcPr>
            <w:tcW w:w="7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5</w:t>
            </w:r>
          </w:p>
        </w:tc>
      </w:tr>
      <w:tr>
        <w:tblPrEx>
          <w:tblCellMar>
            <w:top w:w="0" w:type="dxa"/>
            <w:left w:w="108" w:type="dxa"/>
            <w:bottom w:w="0" w:type="dxa"/>
            <w:right w:w="108" w:type="dxa"/>
          </w:tblCellMar>
        </w:tblPrEx>
        <w:trPr>
          <w:trHeight w:val="1250" w:hRule="atLeast"/>
        </w:trPr>
        <w:tc>
          <w:tcPr>
            <w:tcW w:w="954" w:type="dxa"/>
            <w:vMerge w:val="continue"/>
            <w:tcBorders>
              <w:top w:val="single" w:color="000000" w:sz="4" w:space="0"/>
              <w:left w:val="single" w:color="000000" w:sz="4" w:space="0"/>
              <w:bottom w:val="single" w:color="000000" w:sz="4" w:space="0"/>
              <w:right w:val="single" w:color="auto" w:sz="4" w:space="0"/>
            </w:tcBorders>
            <w:shd w:val="clear" w:color="auto" w:fill="auto"/>
            <w:vAlign w:val="center"/>
          </w:tcPr>
          <w:p>
            <w:pPr>
              <w:jc w:val="center"/>
              <w:rPr>
                <w:rFonts w:hint="default" w:ascii="Times New Roman" w:hAnsi="Times New Roman" w:eastAsia="宋体" w:cs="Times New Roman"/>
                <w:color w:val="auto"/>
                <w:sz w:val="21"/>
                <w:szCs w:val="21"/>
                <w:highlight w:val="none"/>
              </w:rPr>
            </w:pPr>
          </w:p>
        </w:tc>
        <w:tc>
          <w:tcPr>
            <w:tcW w:w="932" w:type="dxa"/>
            <w:vMerge w:val="continue"/>
            <w:tcBorders>
              <w:left w:val="single" w:color="auto" w:sz="4" w:space="0"/>
              <w:right w:val="single" w:color="000000" w:sz="4" w:space="0"/>
            </w:tcBorders>
            <w:shd w:val="clear" w:color="auto" w:fill="auto"/>
            <w:vAlign w:val="center"/>
          </w:tcPr>
          <w:p>
            <w:pPr>
              <w:jc w:val="center"/>
              <w:rPr>
                <w:rFonts w:hint="default" w:ascii="Times New Roman" w:hAnsi="Times New Roman" w:eastAsia="宋体" w:cs="Times New Roman"/>
                <w:color w:val="auto"/>
                <w:sz w:val="21"/>
                <w:szCs w:val="21"/>
                <w:highlight w:val="none"/>
              </w:rPr>
            </w:pPr>
          </w:p>
        </w:tc>
        <w:tc>
          <w:tcPr>
            <w:tcW w:w="1125" w:type="dxa"/>
            <w:tcBorders>
              <w:top w:val="single" w:color="000000" w:sz="4" w:space="0"/>
              <w:left w:val="single" w:color="000000" w:sz="4" w:space="0"/>
              <w:bottom w:val="single" w:color="000000" w:sz="4" w:space="0"/>
              <w:right w:val="single" w:color="auto" w:sz="4" w:space="0"/>
            </w:tcBorders>
            <w:shd w:val="clear" w:color="auto" w:fill="auto"/>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预算执行率</w:t>
            </w:r>
          </w:p>
        </w:tc>
        <w:tc>
          <w:tcPr>
            <w:tcW w:w="4571" w:type="dxa"/>
            <w:tcBorders>
              <w:top w:val="single" w:color="000000" w:sz="4" w:space="0"/>
              <w:left w:val="single" w:color="auto" w:sz="4" w:space="0"/>
              <w:bottom w:val="single" w:color="000000" w:sz="4" w:space="0"/>
              <w:right w:val="single" w:color="000000" w:sz="4" w:space="0"/>
            </w:tcBorders>
            <w:shd w:val="clear" w:color="auto" w:fill="auto"/>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预算执行率=（实际支出资金/实际到位资金</w:t>
            </w:r>
            <w:r>
              <w:rPr>
                <w:rFonts w:hint="eastAsia" w:ascii="Times New Roman" w:hAnsi="Times New Roman" w:cs="Times New Roman"/>
                <w:color w:val="auto"/>
                <w:sz w:val="21"/>
                <w:szCs w:val="21"/>
                <w:highlight w:val="none"/>
                <w:lang w:eastAsia="zh-CN"/>
              </w:rPr>
              <w:t>）</w:t>
            </w:r>
            <w:r>
              <w:rPr>
                <w:rFonts w:hint="default" w:ascii="Times New Roman" w:hAnsi="Times New Roman" w:eastAsia="宋体" w:cs="Times New Roman"/>
                <w:color w:val="auto"/>
                <w:sz w:val="21"/>
                <w:szCs w:val="21"/>
                <w:highlight w:val="none"/>
              </w:rPr>
              <w:t>×100%。</w:t>
            </w:r>
          </w:p>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实际支出资金：一定时期（本年度或项目期）内项目实际拨付的资金。</w:t>
            </w:r>
          </w:p>
        </w:tc>
        <w:tc>
          <w:tcPr>
            <w:tcW w:w="7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5</w:t>
            </w:r>
          </w:p>
        </w:tc>
      </w:tr>
      <w:tr>
        <w:tblPrEx>
          <w:tblCellMar>
            <w:top w:w="0" w:type="dxa"/>
            <w:left w:w="108" w:type="dxa"/>
            <w:bottom w:w="0" w:type="dxa"/>
            <w:right w:w="108" w:type="dxa"/>
          </w:tblCellMar>
        </w:tblPrEx>
        <w:trPr>
          <w:trHeight w:val="1559" w:hRule="atLeast"/>
        </w:trPr>
        <w:tc>
          <w:tcPr>
            <w:tcW w:w="954" w:type="dxa"/>
            <w:vMerge w:val="continue"/>
            <w:tcBorders>
              <w:top w:val="single" w:color="000000" w:sz="4" w:space="0"/>
              <w:left w:val="single" w:color="000000" w:sz="4" w:space="0"/>
              <w:bottom w:val="single" w:color="000000" w:sz="4" w:space="0"/>
              <w:right w:val="single" w:color="auto" w:sz="4" w:space="0"/>
            </w:tcBorders>
            <w:shd w:val="clear" w:color="auto" w:fill="auto"/>
            <w:vAlign w:val="center"/>
          </w:tcPr>
          <w:p>
            <w:pPr>
              <w:jc w:val="center"/>
              <w:rPr>
                <w:rFonts w:hint="default" w:ascii="Times New Roman" w:hAnsi="Times New Roman" w:eastAsia="宋体" w:cs="Times New Roman"/>
                <w:color w:val="auto"/>
                <w:sz w:val="21"/>
                <w:szCs w:val="21"/>
                <w:highlight w:val="none"/>
              </w:rPr>
            </w:pPr>
          </w:p>
        </w:tc>
        <w:tc>
          <w:tcPr>
            <w:tcW w:w="932" w:type="dxa"/>
            <w:vMerge w:val="continue"/>
            <w:tcBorders>
              <w:left w:val="single" w:color="auto" w:sz="4" w:space="0"/>
              <w:bottom w:val="single" w:color="auto" w:sz="4" w:space="0"/>
              <w:right w:val="single" w:color="000000" w:sz="4" w:space="0"/>
            </w:tcBorders>
            <w:shd w:val="clear" w:color="auto" w:fill="auto"/>
            <w:vAlign w:val="center"/>
          </w:tcPr>
          <w:p>
            <w:pPr>
              <w:jc w:val="center"/>
              <w:rPr>
                <w:rFonts w:hint="default" w:ascii="Times New Roman" w:hAnsi="Times New Roman" w:eastAsia="宋体" w:cs="Times New Roman"/>
                <w:color w:val="auto"/>
                <w:sz w:val="21"/>
                <w:szCs w:val="21"/>
                <w:highlight w:val="none"/>
              </w:rPr>
            </w:pPr>
          </w:p>
        </w:tc>
        <w:tc>
          <w:tcPr>
            <w:tcW w:w="1125" w:type="dxa"/>
            <w:tcBorders>
              <w:top w:val="single" w:color="000000" w:sz="4" w:space="0"/>
              <w:left w:val="single" w:color="000000" w:sz="4" w:space="0"/>
              <w:bottom w:val="single" w:color="auto" w:sz="4" w:space="0"/>
              <w:right w:val="single" w:color="auto" w:sz="4" w:space="0"/>
            </w:tcBorders>
            <w:shd w:val="clear" w:color="auto" w:fill="auto"/>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资金使用</w:t>
            </w:r>
            <w:r>
              <w:rPr>
                <w:rFonts w:hint="default" w:ascii="Times New Roman" w:hAnsi="Times New Roman" w:eastAsia="宋体" w:cs="Times New Roman"/>
                <w:color w:val="auto"/>
                <w:sz w:val="21"/>
                <w:szCs w:val="21"/>
                <w:highlight w:val="none"/>
              </w:rPr>
              <w:br w:type="textWrapping"/>
            </w:r>
            <w:r>
              <w:rPr>
                <w:rFonts w:hint="default" w:ascii="Times New Roman" w:hAnsi="Times New Roman" w:eastAsia="宋体" w:cs="Times New Roman"/>
                <w:color w:val="auto"/>
                <w:sz w:val="21"/>
                <w:szCs w:val="21"/>
                <w:highlight w:val="none"/>
              </w:rPr>
              <w:t>合规性</w:t>
            </w:r>
          </w:p>
        </w:tc>
        <w:tc>
          <w:tcPr>
            <w:tcW w:w="4571" w:type="dxa"/>
            <w:tcBorders>
              <w:top w:val="single" w:color="000000" w:sz="4" w:space="0"/>
              <w:left w:val="single" w:color="auto" w:sz="4" w:space="0"/>
              <w:bottom w:val="single" w:color="000000" w:sz="4" w:space="0"/>
              <w:right w:val="single" w:color="000000" w:sz="4" w:space="0"/>
            </w:tcBorders>
            <w:shd w:val="clear" w:color="auto" w:fill="auto"/>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①是否符合国家财经法规和财务管理制度以及有关专项资金管理办法的规定；</w:t>
            </w:r>
          </w:p>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②资金的拨付是否有完整的审批程序和手续；</w:t>
            </w:r>
          </w:p>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③是否符合项目预算批复或合同规定的用途；</w:t>
            </w:r>
          </w:p>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④是否存在截留、挤占、挪用、虚列支出等情况。</w:t>
            </w:r>
          </w:p>
        </w:tc>
        <w:tc>
          <w:tcPr>
            <w:tcW w:w="7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5</w:t>
            </w:r>
          </w:p>
        </w:tc>
      </w:tr>
      <w:tr>
        <w:tblPrEx>
          <w:tblCellMar>
            <w:top w:w="0" w:type="dxa"/>
            <w:left w:w="108" w:type="dxa"/>
            <w:bottom w:w="0" w:type="dxa"/>
            <w:right w:w="108" w:type="dxa"/>
          </w:tblCellMar>
        </w:tblPrEx>
        <w:trPr>
          <w:trHeight w:val="940" w:hRule="atLeast"/>
        </w:trPr>
        <w:tc>
          <w:tcPr>
            <w:tcW w:w="9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color w:val="auto"/>
                <w:sz w:val="21"/>
                <w:szCs w:val="21"/>
                <w:highlight w:val="none"/>
              </w:rPr>
            </w:pPr>
          </w:p>
        </w:tc>
        <w:tc>
          <w:tcPr>
            <w:tcW w:w="932" w:type="dxa"/>
            <w:vMerge w:val="restart"/>
            <w:tcBorders>
              <w:top w:val="single" w:color="auto"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组织实施</w:t>
            </w:r>
          </w:p>
        </w:tc>
        <w:tc>
          <w:tcPr>
            <w:tcW w:w="1125" w:type="dxa"/>
            <w:tcBorders>
              <w:top w:val="single" w:color="auto"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管理制度</w:t>
            </w:r>
            <w:r>
              <w:rPr>
                <w:rFonts w:hint="default" w:ascii="Times New Roman" w:hAnsi="Times New Roman" w:eastAsia="宋体" w:cs="Times New Roman"/>
                <w:color w:val="auto"/>
                <w:sz w:val="21"/>
                <w:szCs w:val="21"/>
                <w:highlight w:val="none"/>
              </w:rPr>
              <w:br w:type="textWrapping"/>
            </w:r>
            <w:r>
              <w:rPr>
                <w:rFonts w:hint="default" w:ascii="Times New Roman" w:hAnsi="Times New Roman" w:eastAsia="宋体" w:cs="Times New Roman"/>
                <w:color w:val="auto"/>
                <w:sz w:val="21"/>
                <w:szCs w:val="21"/>
                <w:highlight w:val="none"/>
              </w:rPr>
              <w:t>健全性</w:t>
            </w:r>
          </w:p>
        </w:tc>
        <w:tc>
          <w:tcPr>
            <w:tcW w:w="4571" w:type="dxa"/>
            <w:tcBorders>
              <w:top w:val="single" w:color="000000" w:sz="4" w:space="0"/>
              <w:left w:val="single" w:color="000000" w:sz="4" w:space="0"/>
              <w:bottom w:val="single" w:color="000000" w:sz="4" w:space="0"/>
              <w:right w:val="single" w:color="000000" w:sz="4" w:space="0"/>
            </w:tcBorders>
            <w:shd w:val="clear" w:color="auto" w:fill="auto"/>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①是否已制定或具有相应的财务和业务管理制度；</w:t>
            </w:r>
          </w:p>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②财务和业务管理制度是否合法、合规、完整。</w:t>
            </w:r>
          </w:p>
        </w:tc>
        <w:tc>
          <w:tcPr>
            <w:tcW w:w="7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5</w:t>
            </w:r>
          </w:p>
        </w:tc>
      </w:tr>
      <w:tr>
        <w:tblPrEx>
          <w:tblCellMar>
            <w:top w:w="0" w:type="dxa"/>
            <w:left w:w="108" w:type="dxa"/>
            <w:bottom w:w="0" w:type="dxa"/>
            <w:right w:w="108" w:type="dxa"/>
          </w:tblCellMar>
        </w:tblPrEx>
        <w:trPr>
          <w:trHeight w:val="1869" w:hRule="atLeast"/>
        </w:trPr>
        <w:tc>
          <w:tcPr>
            <w:tcW w:w="9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color w:val="auto"/>
                <w:sz w:val="21"/>
                <w:szCs w:val="21"/>
                <w:highlight w:val="none"/>
              </w:rPr>
            </w:pPr>
          </w:p>
        </w:tc>
        <w:tc>
          <w:tcPr>
            <w:tcW w:w="9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color w:val="auto"/>
                <w:sz w:val="21"/>
                <w:szCs w:val="21"/>
                <w:highlight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制度执行</w:t>
            </w:r>
            <w:r>
              <w:rPr>
                <w:rFonts w:hint="default" w:ascii="Times New Roman" w:hAnsi="Times New Roman" w:eastAsia="宋体" w:cs="Times New Roman"/>
                <w:color w:val="auto"/>
                <w:sz w:val="21"/>
                <w:szCs w:val="21"/>
                <w:highlight w:val="none"/>
              </w:rPr>
              <w:br w:type="textWrapping"/>
            </w:r>
            <w:r>
              <w:rPr>
                <w:rFonts w:hint="default" w:ascii="Times New Roman" w:hAnsi="Times New Roman" w:eastAsia="宋体" w:cs="Times New Roman"/>
                <w:color w:val="auto"/>
                <w:sz w:val="21"/>
                <w:szCs w:val="21"/>
                <w:highlight w:val="none"/>
              </w:rPr>
              <w:t>有效性</w:t>
            </w:r>
          </w:p>
        </w:tc>
        <w:tc>
          <w:tcPr>
            <w:tcW w:w="4571" w:type="dxa"/>
            <w:tcBorders>
              <w:top w:val="single" w:color="000000" w:sz="4" w:space="0"/>
              <w:left w:val="single" w:color="000000" w:sz="4" w:space="0"/>
              <w:bottom w:val="single" w:color="000000" w:sz="4" w:space="0"/>
              <w:right w:val="single" w:color="000000" w:sz="4" w:space="0"/>
            </w:tcBorders>
            <w:shd w:val="clear" w:color="auto" w:fill="auto"/>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①是否遵守相关法律法规和相关管理规定；</w:t>
            </w:r>
          </w:p>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②项目调整及支出调整手续是否完备；</w:t>
            </w:r>
          </w:p>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③项目合同书、验收报告、技术鉴定等资料是否齐全并及时归档；</w:t>
            </w:r>
          </w:p>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④项目实施的人员条件、场地设备、信息支撑等是否落实到位。</w:t>
            </w:r>
          </w:p>
        </w:tc>
        <w:tc>
          <w:tcPr>
            <w:tcW w:w="7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5</w:t>
            </w:r>
          </w:p>
        </w:tc>
      </w:tr>
      <w:tr>
        <w:tblPrEx>
          <w:tblCellMar>
            <w:top w:w="0" w:type="dxa"/>
            <w:left w:w="108" w:type="dxa"/>
            <w:bottom w:w="0" w:type="dxa"/>
            <w:right w:w="108" w:type="dxa"/>
          </w:tblCellMar>
        </w:tblPrEx>
        <w:trPr>
          <w:trHeight w:val="172" w:hRule="atLeast"/>
        </w:trPr>
        <w:tc>
          <w:tcPr>
            <w:tcW w:w="95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产出（30分）</w:t>
            </w:r>
          </w:p>
        </w:tc>
        <w:tc>
          <w:tcPr>
            <w:tcW w:w="932" w:type="dxa"/>
            <w:tcBorders>
              <w:top w:val="single" w:color="000000" w:sz="4" w:space="0"/>
              <w:left w:val="single" w:color="000000" w:sz="4" w:space="0"/>
              <w:bottom w:val="single" w:color="auto" w:sz="4" w:space="0"/>
              <w:right w:val="single" w:color="000000" w:sz="4" w:space="0"/>
            </w:tcBorders>
            <w:shd w:val="clear" w:color="auto" w:fill="auto"/>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产出数量</w:t>
            </w:r>
          </w:p>
        </w:tc>
        <w:tc>
          <w:tcPr>
            <w:tcW w:w="1125" w:type="dxa"/>
            <w:tcBorders>
              <w:top w:val="single" w:color="000000" w:sz="4" w:space="0"/>
              <w:left w:val="single" w:color="000000" w:sz="4" w:space="0"/>
              <w:bottom w:val="single" w:color="auto" w:sz="4" w:space="0"/>
              <w:right w:val="single" w:color="000000" w:sz="4" w:space="0"/>
            </w:tcBorders>
            <w:shd w:val="clear" w:color="auto" w:fill="auto"/>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开展检查次数</w:t>
            </w:r>
          </w:p>
        </w:tc>
        <w:tc>
          <w:tcPr>
            <w:tcW w:w="4571" w:type="dxa"/>
            <w:tcBorders>
              <w:top w:val="single" w:color="000000" w:sz="4" w:space="0"/>
              <w:left w:val="single" w:color="000000" w:sz="4" w:space="0"/>
              <w:bottom w:val="single" w:color="000000" w:sz="4" w:space="0"/>
              <w:right w:val="single" w:color="000000" w:sz="4" w:space="0"/>
            </w:tcBorders>
            <w:shd w:val="clear" w:color="auto" w:fill="auto"/>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开展检查次数：一定时期（本年度或项目期）内项目实际开展检查次数数量。</w:t>
            </w:r>
          </w:p>
        </w:tc>
        <w:tc>
          <w:tcPr>
            <w:tcW w:w="7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10</w:t>
            </w:r>
          </w:p>
        </w:tc>
      </w:tr>
      <w:tr>
        <w:tblPrEx>
          <w:tblCellMar>
            <w:top w:w="0" w:type="dxa"/>
            <w:left w:w="108" w:type="dxa"/>
            <w:bottom w:w="0" w:type="dxa"/>
            <w:right w:w="108" w:type="dxa"/>
          </w:tblCellMar>
        </w:tblPrEx>
        <w:trPr>
          <w:trHeight w:val="319" w:hRule="atLeast"/>
        </w:trPr>
        <w:tc>
          <w:tcPr>
            <w:tcW w:w="954" w:type="dxa"/>
            <w:vMerge w:val="continue"/>
            <w:tcBorders>
              <w:top w:val="single" w:color="000000" w:sz="4" w:space="0"/>
              <w:left w:val="single" w:color="000000" w:sz="4" w:space="0"/>
              <w:bottom w:val="single" w:color="000000" w:sz="4" w:space="0"/>
              <w:right w:val="single" w:color="auto" w:sz="4" w:space="0"/>
            </w:tcBorders>
            <w:shd w:val="clear" w:color="auto" w:fill="auto"/>
            <w:vAlign w:val="center"/>
          </w:tcPr>
          <w:p>
            <w:pPr>
              <w:jc w:val="center"/>
              <w:rPr>
                <w:rFonts w:hint="default" w:ascii="Times New Roman" w:hAnsi="Times New Roman" w:eastAsia="宋体" w:cs="Times New Roman"/>
                <w:color w:val="auto"/>
                <w:sz w:val="21"/>
                <w:szCs w:val="21"/>
                <w:highlight w:val="none"/>
              </w:rPr>
            </w:pPr>
          </w:p>
        </w:tc>
        <w:tc>
          <w:tcPr>
            <w:tcW w:w="932" w:type="dxa"/>
            <w:tcBorders>
              <w:top w:val="single" w:color="auto" w:sz="4" w:space="0"/>
              <w:left w:val="single" w:color="auto" w:sz="4" w:space="0"/>
              <w:bottom w:val="single" w:color="auto" w:sz="4" w:space="0"/>
              <w:right w:val="single" w:color="000000" w:sz="4" w:space="0"/>
            </w:tcBorders>
            <w:shd w:val="clear" w:color="auto" w:fill="auto"/>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产出质量</w:t>
            </w:r>
          </w:p>
        </w:tc>
        <w:tc>
          <w:tcPr>
            <w:tcW w:w="1125" w:type="dxa"/>
            <w:tcBorders>
              <w:top w:val="single" w:color="auto" w:sz="4" w:space="0"/>
              <w:left w:val="single" w:color="000000" w:sz="4" w:space="0"/>
              <w:bottom w:val="single" w:color="auto" w:sz="4" w:space="0"/>
              <w:right w:val="single" w:color="auto" w:sz="4" w:space="0"/>
            </w:tcBorders>
            <w:shd w:val="clear" w:color="auto" w:fill="auto"/>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运营服务评审合格率</w:t>
            </w:r>
          </w:p>
        </w:tc>
        <w:tc>
          <w:tcPr>
            <w:tcW w:w="4571" w:type="dxa"/>
            <w:tcBorders>
              <w:top w:val="single" w:color="000000" w:sz="4" w:space="0"/>
              <w:left w:val="single" w:color="auto" w:sz="4" w:space="0"/>
              <w:bottom w:val="single" w:color="000000" w:sz="4" w:space="0"/>
              <w:right w:val="single" w:color="000000" w:sz="4" w:space="0"/>
            </w:tcBorders>
            <w:shd w:val="clear" w:color="auto" w:fill="auto"/>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运营服务评审合格率=（运营服务评审合格数/实际运营服务数）×100%。</w:t>
            </w:r>
          </w:p>
        </w:tc>
        <w:tc>
          <w:tcPr>
            <w:tcW w:w="7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10</w:t>
            </w:r>
          </w:p>
        </w:tc>
      </w:tr>
      <w:tr>
        <w:tblPrEx>
          <w:tblCellMar>
            <w:top w:w="0" w:type="dxa"/>
            <w:left w:w="108" w:type="dxa"/>
            <w:bottom w:w="0" w:type="dxa"/>
            <w:right w:w="108" w:type="dxa"/>
          </w:tblCellMar>
        </w:tblPrEx>
        <w:trPr>
          <w:trHeight w:val="1274" w:hRule="atLeast"/>
        </w:trPr>
        <w:tc>
          <w:tcPr>
            <w:tcW w:w="9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color w:val="auto"/>
                <w:sz w:val="21"/>
                <w:szCs w:val="21"/>
                <w:highlight w:val="none"/>
              </w:rPr>
            </w:pPr>
          </w:p>
        </w:tc>
        <w:tc>
          <w:tcPr>
            <w:tcW w:w="932" w:type="dxa"/>
            <w:tcBorders>
              <w:top w:val="single" w:color="auto"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产出时效</w:t>
            </w:r>
          </w:p>
        </w:tc>
        <w:tc>
          <w:tcPr>
            <w:tcW w:w="1125" w:type="dxa"/>
            <w:tcBorders>
              <w:top w:val="single" w:color="auto"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工作开展时间</w:t>
            </w:r>
          </w:p>
        </w:tc>
        <w:tc>
          <w:tcPr>
            <w:tcW w:w="4571" w:type="dxa"/>
            <w:tcBorders>
              <w:top w:val="single" w:color="000000" w:sz="4" w:space="0"/>
              <w:left w:val="single" w:color="000000" w:sz="4" w:space="0"/>
              <w:bottom w:val="single" w:color="000000" w:sz="4" w:space="0"/>
              <w:right w:val="single" w:color="000000" w:sz="4" w:space="0"/>
            </w:tcBorders>
            <w:shd w:val="clear" w:color="auto" w:fill="auto"/>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实际完成时间：项目实施单位完成该项目实际所耗用的时间。</w:t>
            </w:r>
          </w:p>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计划完成时间：按照项目实施计划或相关规定完成该项目所需的时间。</w:t>
            </w:r>
          </w:p>
        </w:tc>
        <w:tc>
          <w:tcPr>
            <w:tcW w:w="7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5</w:t>
            </w:r>
          </w:p>
        </w:tc>
      </w:tr>
      <w:tr>
        <w:tblPrEx>
          <w:tblCellMar>
            <w:top w:w="0" w:type="dxa"/>
            <w:left w:w="108" w:type="dxa"/>
            <w:bottom w:w="0" w:type="dxa"/>
            <w:right w:w="108" w:type="dxa"/>
          </w:tblCellMar>
        </w:tblPrEx>
        <w:trPr>
          <w:trHeight w:val="1869" w:hRule="atLeast"/>
        </w:trPr>
        <w:tc>
          <w:tcPr>
            <w:tcW w:w="9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color w:val="auto"/>
                <w:sz w:val="21"/>
                <w:szCs w:val="21"/>
                <w:highlight w:val="none"/>
              </w:rPr>
            </w:pPr>
          </w:p>
        </w:tc>
        <w:tc>
          <w:tcPr>
            <w:tcW w:w="9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产出成本</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执法设备及使用停车场费用</w:t>
            </w:r>
          </w:p>
        </w:tc>
        <w:tc>
          <w:tcPr>
            <w:tcW w:w="4571" w:type="dxa"/>
            <w:tcBorders>
              <w:top w:val="single" w:color="000000" w:sz="4" w:space="0"/>
              <w:left w:val="single" w:color="000000" w:sz="4" w:space="0"/>
              <w:bottom w:val="single" w:color="000000" w:sz="4" w:space="0"/>
              <w:right w:val="single" w:color="000000" w:sz="4" w:space="0"/>
            </w:tcBorders>
            <w:shd w:val="clear" w:color="auto" w:fill="auto"/>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成本完成率=［（计划成本</w:t>
            </w:r>
            <w:r>
              <w:rPr>
                <w:rFonts w:hint="eastAsia" w:ascii="Times New Roman" w:hAnsi="Times New Roman" w:cs="Times New Roman"/>
                <w:color w:val="auto"/>
                <w:sz w:val="21"/>
                <w:szCs w:val="21"/>
                <w:highlight w:val="none"/>
                <w:lang w:eastAsia="zh-CN"/>
              </w:rPr>
              <w:t>－</w:t>
            </w:r>
            <w:r>
              <w:rPr>
                <w:rFonts w:hint="default" w:ascii="Times New Roman" w:hAnsi="Times New Roman" w:eastAsia="宋体" w:cs="Times New Roman"/>
                <w:color w:val="auto"/>
                <w:sz w:val="21"/>
                <w:szCs w:val="21"/>
                <w:highlight w:val="none"/>
              </w:rPr>
              <w:t>实际成本）/计划成本］×100%。</w:t>
            </w:r>
          </w:p>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实际成本：项目实施单位如期、保质、保量完成既定工作目标实际所耗费的支出。</w:t>
            </w:r>
          </w:p>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计划成本：项目实施单位为完成工作目标计划安排的支出，一般以项目预算为参考。</w:t>
            </w:r>
          </w:p>
        </w:tc>
        <w:tc>
          <w:tcPr>
            <w:tcW w:w="7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5</w:t>
            </w:r>
          </w:p>
        </w:tc>
      </w:tr>
      <w:tr>
        <w:tblPrEx>
          <w:tblCellMar>
            <w:top w:w="0" w:type="dxa"/>
            <w:left w:w="108" w:type="dxa"/>
            <w:bottom w:w="0" w:type="dxa"/>
            <w:right w:w="108" w:type="dxa"/>
          </w:tblCellMar>
        </w:tblPrEx>
        <w:trPr>
          <w:trHeight w:val="940" w:hRule="atLeast"/>
        </w:trPr>
        <w:tc>
          <w:tcPr>
            <w:tcW w:w="95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效益（25分）</w:t>
            </w:r>
          </w:p>
        </w:tc>
        <w:tc>
          <w:tcPr>
            <w:tcW w:w="9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社会效益</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对</w:t>
            </w:r>
            <w:r>
              <w:rPr>
                <w:rFonts w:hint="default" w:ascii="Times New Roman" w:hAnsi="Times New Roman" w:eastAsia="宋体" w:cs="Times New Roman"/>
                <w:color w:val="auto"/>
                <w:sz w:val="21"/>
                <w:szCs w:val="21"/>
                <w:highlight w:val="none"/>
                <w:lang w:val="en-US" w:eastAsia="zh-CN"/>
              </w:rPr>
              <w:t>交通</w:t>
            </w:r>
            <w:r>
              <w:rPr>
                <w:rFonts w:hint="default" w:ascii="Times New Roman" w:hAnsi="Times New Roman" w:eastAsia="宋体" w:cs="Times New Roman"/>
                <w:color w:val="auto"/>
                <w:sz w:val="21"/>
                <w:szCs w:val="21"/>
                <w:highlight w:val="none"/>
              </w:rPr>
              <w:t>安全意识的影响程度</w:t>
            </w:r>
          </w:p>
        </w:tc>
        <w:tc>
          <w:tcPr>
            <w:tcW w:w="45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项目实施所产生的社会效益，具体评价项目实施对安全意识的影响程度。</w:t>
            </w:r>
          </w:p>
        </w:tc>
        <w:tc>
          <w:tcPr>
            <w:tcW w:w="7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8</w:t>
            </w:r>
          </w:p>
        </w:tc>
      </w:tr>
      <w:tr>
        <w:tblPrEx>
          <w:tblCellMar>
            <w:top w:w="0" w:type="dxa"/>
            <w:left w:w="108" w:type="dxa"/>
            <w:bottom w:w="0" w:type="dxa"/>
            <w:right w:w="108" w:type="dxa"/>
          </w:tblCellMar>
        </w:tblPrEx>
        <w:trPr>
          <w:trHeight w:val="1250" w:hRule="atLeast"/>
        </w:trPr>
        <w:tc>
          <w:tcPr>
            <w:tcW w:w="9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color w:val="auto"/>
                <w:sz w:val="21"/>
                <w:szCs w:val="21"/>
                <w:highlight w:val="none"/>
              </w:rPr>
            </w:pPr>
          </w:p>
        </w:tc>
        <w:tc>
          <w:tcPr>
            <w:tcW w:w="9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可持续影响</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治超专项治理成效</w:t>
            </w:r>
          </w:p>
        </w:tc>
        <w:tc>
          <w:tcPr>
            <w:tcW w:w="45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项目实施所产生的可持续影响，具体评价项目实施对辖区内安全生产的可持续影响程度。</w:t>
            </w:r>
          </w:p>
        </w:tc>
        <w:tc>
          <w:tcPr>
            <w:tcW w:w="7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8</w:t>
            </w:r>
          </w:p>
        </w:tc>
      </w:tr>
      <w:tr>
        <w:tblPrEx>
          <w:tblCellMar>
            <w:top w:w="0" w:type="dxa"/>
            <w:left w:w="108" w:type="dxa"/>
            <w:bottom w:w="0" w:type="dxa"/>
            <w:right w:w="108" w:type="dxa"/>
          </w:tblCellMar>
        </w:tblPrEx>
        <w:trPr>
          <w:trHeight w:val="1140" w:hRule="atLeast"/>
        </w:trPr>
        <w:tc>
          <w:tcPr>
            <w:tcW w:w="9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color w:val="auto"/>
                <w:sz w:val="21"/>
                <w:szCs w:val="21"/>
                <w:highlight w:val="none"/>
              </w:rPr>
            </w:pPr>
          </w:p>
        </w:tc>
        <w:tc>
          <w:tcPr>
            <w:tcW w:w="9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满意度</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公众满意度</w:t>
            </w:r>
          </w:p>
        </w:tc>
        <w:tc>
          <w:tcPr>
            <w:tcW w:w="45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社会公众或服务对象是指因该项目实施而受到影响的部门（单位）、群体或个人。一般采取社会调查的方式。</w:t>
            </w:r>
          </w:p>
        </w:tc>
        <w:tc>
          <w:tcPr>
            <w:tcW w:w="7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9</w:t>
            </w:r>
          </w:p>
        </w:tc>
      </w:tr>
      <w:tr>
        <w:tblPrEx>
          <w:tblCellMar>
            <w:top w:w="0" w:type="dxa"/>
            <w:left w:w="108" w:type="dxa"/>
            <w:bottom w:w="0" w:type="dxa"/>
            <w:right w:w="108" w:type="dxa"/>
          </w:tblCellMar>
        </w:tblPrEx>
        <w:trPr>
          <w:trHeight w:val="648" w:hRule="atLeast"/>
        </w:trPr>
        <w:tc>
          <w:tcPr>
            <w:tcW w:w="7582"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分值合计</w:t>
            </w:r>
          </w:p>
        </w:tc>
        <w:tc>
          <w:tcPr>
            <w:tcW w:w="7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100</w:t>
            </w:r>
          </w:p>
        </w:tc>
      </w:tr>
    </w:tbl>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4.</w:t>
      </w:r>
      <w:r>
        <w:rPr>
          <w:rFonts w:hint="eastAsia" w:ascii="仿宋_GB2312" w:hAnsi="仿宋_GB2312" w:eastAsia="仿宋_GB2312" w:cs="仿宋_GB2312"/>
          <w:color w:val="auto"/>
          <w:sz w:val="32"/>
          <w:szCs w:val="32"/>
          <w:highlight w:val="none"/>
        </w:rPr>
        <w:t>评价方法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绩效评价主要采用以下三种方法：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（1）成本效益分析法。将一定时期内的支出与效益进行对比分析，评价绩效目标实现程度。</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（2）比较法。通过对绩效目标与实施效果、历史与当期情况、不同部门和地区同类支出的比较，综合分析绩效目标实现程度。</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（3）公众评判法。通过专家评估、公众问卷及抽样调查等对财政支出效果进行评判，评价绩效目标实现程度。</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5.</w:t>
      </w:r>
      <w:r>
        <w:rPr>
          <w:rFonts w:hint="eastAsia" w:ascii="仿宋_GB2312" w:hAnsi="仿宋_GB2312" w:eastAsia="仿宋_GB2312" w:cs="仿宋_GB2312"/>
          <w:color w:val="auto"/>
          <w:sz w:val="32"/>
          <w:szCs w:val="32"/>
          <w:highlight w:val="none"/>
        </w:rPr>
        <w:t>评价标准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绩效评价采用百分制，项目决策、项目过程、项目产出、项目绩效四大类一级指标共100分。其中项目决策指标20分，项目过程25分，项目产出30分，项目绩效25分。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6.</w:t>
      </w:r>
      <w:r>
        <w:rPr>
          <w:rFonts w:hint="eastAsia" w:ascii="仿宋_GB2312" w:hAnsi="仿宋_GB2312" w:eastAsia="仿宋_GB2312" w:cs="仿宋_GB2312"/>
          <w:color w:val="auto"/>
          <w:sz w:val="32"/>
          <w:szCs w:val="32"/>
          <w:highlight w:val="none"/>
        </w:rPr>
        <w:t>评价结果等级</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绩效评价结果采取评分和评级相结合的方式，具体分值和等级可根据不同评价内容设定。总分一般设置为 100分，等级一般划分为四档</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 xml:space="preserve"> 90</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含</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-100分为优、80</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含</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 xml:space="preserve"> -90分为良、60</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含</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-80分为中、60 分以下为差。</w:t>
      </w:r>
    </w:p>
    <w:p>
      <w:pPr>
        <w:pStyle w:val="4"/>
        <w:keepNext w:val="0"/>
        <w:keepLines w:val="0"/>
        <w:pageBreakBefore w:val="0"/>
        <w:widowControl w:val="0"/>
        <w:numPr>
          <w:ilvl w:val="1"/>
          <w:numId w:val="0"/>
        </w:numPr>
        <w:kinsoku/>
        <w:wordWrap/>
        <w:overflowPunct/>
        <w:topLinePunct w:val="0"/>
        <w:bidi w:val="0"/>
        <w:adjustRightInd/>
        <w:snapToGrid/>
        <w:spacing w:before="0" w:after="0" w:line="600" w:lineRule="exact"/>
        <w:ind w:firstLine="640" w:firstLineChars="200"/>
        <w:textAlignment w:val="auto"/>
        <w:rPr>
          <w:rFonts w:hint="eastAsia" w:ascii="仿宋_GB2312" w:hAnsi="仿宋_GB2312" w:eastAsia="仿宋_GB2312" w:cs="仿宋_GB2312"/>
          <w:color w:val="auto"/>
          <w:kern w:val="2"/>
          <w:sz w:val="32"/>
          <w:szCs w:val="32"/>
          <w:highlight w:val="none"/>
          <w:lang w:val="en-US" w:eastAsia="zh-CN" w:bidi="ar-SA"/>
        </w:rPr>
      </w:pPr>
      <w:bookmarkStart w:id="11" w:name="_Toc1029"/>
      <w:r>
        <w:rPr>
          <w:rFonts w:hint="eastAsia" w:ascii="仿宋_GB2312" w:hAnsi="仿宋_GB2312" w:eastAsia="仿宋_GB2312" w:cs="仿宋_GB2312"/>
          <w:color w:val="auto"/>
          <w:kern w:val="2"/>
          <w:sz w:val="32"/>
          <w:szCs w:val="32"/>
          <w:highlight w:val="none"/>
          <w:lang w:val="en-US" w:eastAsia="zh-CN" w:bidi="ar-SA"/>
        </w:rPr>
        <w:t>（三）绩效评价工作过程</w:t>
      </w:r>
      <w:bookmarkEnd w:id="11"/>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rPr>
        <w:t>绩效评价项目组的人员构成</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绩效评价项目组配备了具有丰富绩效评价工作经验的注册会计师及专业评价人员来承担项目。项目负责人具体负责绩效评价项目的内部和外部协调，并对整个项目的工作情况进行监督、管理和控制。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2.</w:t>
      </w:r>
      <w:r>
        <w:rPr>
          <w:rFonts w:hint="eastAsia" w:ascii="仿宋_GB2312" w:hAnsi="仿宋_GB2312" w:eastAsia="仿宋_GB2312" w:cs="仿宋_GB2312"/>
          <w:color w:val="auto"/>
          <w:sz w:val="32"/>
          <w:szCs w:val="32"/>
          <w:highlight w:val="none"/>
        </w:rPr>
        <w:t>绩效评价工作程序和进度</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按照区财政局的要求，在规定时间开始现场绩效评价工作，按时完成现场绩效评价工作，形成绩效评价报告。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绩效评价工作分为准备阶段、实施阶段、报告阶段三个阶段。日程表如下：</w:t>
      </w:r>
    </w:p>
    <w:p>
      <w:pPr>
        <w:keepNext w:val="0"/>
        <w:keepLines w:val="0"/>
        <w:pageBreakBefore w:val="0"/>
        <w:widowControl w:val="0"/>
        <w:numPr>
          <w:ilvl w:val="1"/>
          <w:numId w:val="0"/>
        </w:numPr>
        <w:tabs>
          <w:tab w:val="left" w:pos="0"/>
        </w:tabs>
        <w:kinsoku/>
        <w:wordWrap/>
        <w:overflowPunct/>
        <w:topLinePunct w:val="0"/>
        <w:bidi w:val="0"/>
        <w:adjustRightInd/>
        <w:snapToGrid/>
        <w:spacing w:line="600" w:lineRule="exact"/>
        <w:jc w:val="center"/>
        <w:textAlignment w:val="auto"/>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表2：绩效评价工作日程表</w:t>
      </w:r>
    </w:p>
    <w:tbl>
      <w:tblPr>
        <w:tblStyle w:val="1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495"/>
        <w:gridCol w:w="1307"/>
        <w:gridCol w:w="55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5" w:hRule="atLeast"/>
        </w:trPr>
        <w:tc>
          <w:tcPr>
            <w:tcW w:w="1495" w:type="dxa"/>
            <w:vAlign w:val="center"/>
          </w:tcPr>
          <w:p>
            <w:pPr>
              <w:spacing w:line="360" w:lineRule="auto"/>
              <w:jc w:val="center"/>
              <w:rPr>
                <w:rFonts w:hint="eastAsia" w:ascii="黑体" w:hAnsi="黑体" w:eastAsia="黑体" w:cs="黑体"/>
                <w:bCs/>
                <w:color w:val="auto"/>
                <w:sz w:val="21"/>
                <w:szCs w:val="21"/>
                <w:highlight w:val="none"/>
                <w:lang w:bidi="ar"/>
              </w:rPr>
            </w:pPr>
            <w:r>
              <w:rPr>
                <w:rFonts w:hint="eastAsia" w:ascii="黑体" w:hAnsi="黑体" w:eastAsia="黑体" w:cs="黑体"/>
                <w:bCs/>
                <w:color w:val="auto"/>
                <w:sz w:val="21"/>
                <w:szCs w:val="21"/>
                <w:highlight w:val="none"/>
                <w:lang w:bidi="ar"/>
              </w:rPr>
              <w:t>工作阶段</w:t>
            </w:r>
          </w:p>
        </w:tc>
        <w:tc>
          <w:tcPr>
            <w:tcW w:w="1307" w:type="dxa"/>
            <w:tcMar>
              <w:top w:w="15" w:type="dxa"/>
              <w:left w:w="15" w:type="dxa"/>
              <w:bottom w:w="0" w:type="dxa"/>
              <w:right w:w="15" w:type="dxa"/>
            </w:tcMar>
            <w:vAlign w:val="center"/>
          </w:tcPr>
          <w:p>
            <w:pPr>
              <w:spacing w:line="360" w:lineRule="auto"/>
              <w:jc w:val="center"/>
              <w:rPr>
                <w:rFonts w:hint="eastAsia" w:ascii="黑体" w:hAnsi="黑体" w:eastAsia="黑体" w:cs="黑体"/>
                <w:bCs/>
                <w:color w:val="auto"/>
                <w:sz w:val="21"/>
                <w:szCs w:val="21"/>
                <w:highlight w:val="none"/>
                <w:lang w:bidi="ar"/>
              </w:rPr>
            </w:pPr>
            <w:r>
              <w:rPr>
                <w:rFonts w:hint="eastAsia" w:ascii="黑体" w:hAnsi="黑体" w:eastAsia="黑体" w:cs="黑体"/>
                <w:bCs/>
                <w:color w:val="auto"/>
                <w:sz w:val="21"/>
                <w:szCs w:val="21"/>
                <w:highlight w:val="none"/>
                <w:lang w:bidi="ar"/>
              </w:rPr>
              <w:t>工作时间</w:t>
            </w:r>
          </w:p>
        </w:tc>
        <w:tc>
          <w:tcPr>
            <w:tcW w:w="5524" w:type="dxa"/>
            <w:tcMar>
              <w:top w:w="15" w:type="dxa"/>
              <w:left w:w="15" w:type="dxa"/>
              <w:bottom w:w="0" w:type="dxa"/>
              <w:right w:w="15" w:type="dxa"/>
            </w:tcMar>
            <w:vAlign w:val="center"/>
          </w:tcPr>
          <w:p>
            <w:pPr>
              <w:spacing w:line="360" w:lineRule="auto"/>
              <w:jc w:val="center"/>
              <w:rPr>
                <w:rFonts w:hint="eastAsia" w:ascii="黑体" w:hAnsi="黑体" w:eastAsia="黑体" w:cs="黑体"/>
                <w:bCs/>
                <w:color w:val="auto"/>
                <w:sz w:val="21"/>
                <w:szCs w:val="21"/>
                <w:highlight w:val="none"/>
                <w:lang w:bidi="ar"/>
              </w:rPr>
            </w:pPr>
            <w:r>
              <w:rPr>
                <w:rFonts w:hint="eastAsia" w:ascii="黑体" w:hAnsi="黑体" w:eastAsia="黑体" w:cs="黑体"/>
                <w:bCs/>
                <w:color w:val="auto"/>
                <w:sz w:val="21"/>
                <w:szCs w:val="21"/>
                <w:highlight w:val="none"/>
                <w:lang w:bidi="ar"/>
              </w:rPr>
              <w:t>工作内容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15" w:hRule="atLeast"/>
        </w:trPr>
        <w:tc>
          <w:tcPr>
            <w:tcW w:w="1495" w:type="dxa"/>
            <w:vAlign w:val="center"/>
          </w:tcPr>
          <w:p>
            <w:pPr>
              <w:spacing w:line="360" w:lineRule="auto"/>
              <w:jc w:val="center"/>
              <w:rPr>
                <w:rFonts w:hint="default" w:ascii="Times New Roman" w:hAnsi="Times New Roman" w:cs="Times New Roman"/>
                <w:bCs/>
                <w:color w:val="auto"/>
                <w:sz w:val="21"/>
                <w:szCs w:val="21"/>
                <w:highlight w:val="none"/>
                <w:lang w:bidi="ar"/>
              </w:rPr>
            </w:pPr>
            <w:r>
              <w:rPr>
                <w:rFonts w:hint="default" w:ascii="Times New Roman" w:hAnsi="Times New Roman" w:cs="Times New Roman"/>
                <w:bCs/>
                <w:color w:val="auto"/>
                <w:sz w:val="21"/>
                <w:szCs w:val="21"/>
                <w:highlight w:val="none"/>
                <w:lang w:bidi="ar"/>
              </w:rPr>
              <w:t>准备阶段</w:t>
            </w:r>
          </w:p>
        </w:tc>
        <w:tc>
          <w:tcPr>
            <w:tcW w:w="1307" w:type="dxa"/>
            <w:tcMar>
              <w:top w:w="15" w:type="dxa"/>
              <w:left w:w="15" w:type="dxa"/>
              <w:bottom w:w="0" w:type="dxa"/>
              <w:right w:w="15" w:type="dxa"/>
            </w:tcMar>
            <w:vAlign w:val="center"/>
          </w:tcPr>
          <w:p>
            <w:pPr>
              <w:spacing w:line="360" w:lineRule="auto"/>
              <w:jc w:val="center"/>
              <w:rPr>
                <w:rFonts w:hint="default" w:ascii="Times New Roman" w:hAnsi="Times New Roman" w:cs="Times New Roman"/>
                <w:bCs/>
                <w:color w:val="auto"/>
                <w:sz w:val="21"/>
                <w:szCs w:val="21"/>
                <w:highlight w:val="none"/>
                <w:lang w:bidi="ar"/>
              </w:rPr>
            </w:pPr>
            <w:r>
              <w:rPr>
                <w:rFonts w:hint="default" w:ascii="Times New Roman" w:hAnsi="Times New Roman" w:cs="Times New Roman"/>
                <w:bCs/>
                <w:color w:val="auto"/>
                <w:sz w:val="21"/>
                <w:szCs w:val="21"/>
                <w:highlight w:val="none"/>
                <w:lang w:val="en-US" w:eastAsia="zh-CN" w:bidi="ar"/>
              </w:rPr>
              <w:t>7</w:t>
            </w:r>
            <w:r>
              <w:rPr>
                <w:rFonts w:hint="default" w:ascii="Times New Roman" w:hAnsi="Times New Roman" w:cs="Times New Roman"/>
                <w:bCs/>
                <w:color w:val="auto"/>
                <w:sz w:val="21"/>
                <w:szCs w:val="21"/>
                <w:highlight w:val="none"/>
                <w:lang w:bidi="ar"/>
              </w:rPr>
              <w:t>工作日</w:t>
            </w:r>
          </w:p>
        </w:tc>
        <w:tc>
          <w:tcPr>
            <w:tcW w:w="5524" w:type="dxa"/>
            <w:tcMar>
              <w:top w:w="15" w:type="dxa"/>
              <w:left w:w="15" w:type="dxa"/>
              <w:bottom w:w="0" w:type="dxa"/>
              <w:right w:w="15" w:type="dxa"/>
            </w:tcMar>
            <w:vAlign w:val="center"/>
          </w:tcPr>
          <w:p>
            <w:pPr>
              <w:spacing w:line="360" w:lineRule="auto"/>
              <w:jc w:val="left"/>
              <w:rPr>
                <w:rFonts w:hint="default" w:ascii="Times New Roman" w:hAnsi="Times New Roman" w:cs="Times New Roman"/>
                <w:bCs/>
                <w:color w:val="auto"/>
                <w:sz w:val="21"/>
                <w:szCs w:val="21"/>
                <w:highlight w:val="none"/>
                <w:lang w:bidi="ar"/>
              </w:rPr>
            </w:pPr>
            <w:r>
              <w:rPr>
                <w:rFonts w:hint="default" w:ascii="Times New Roman" w:hAnsi="Times New Roman" w:cs="Times New Roman"/>
                <w:bCs/>
                <w:color w:val="auto"/>
                <w:sz w:val="21"/>
                <w:szCs w:val="21"/>
                <w:highlight w:val="none"/>
                <w:lang w:bidi="ar"/>
              </w:rPr>
              <w:t>◇所内集中参与人员进行短期培训，分派任务，讲解要求，明确责任；</w:t>
            </w:r>
          </w:p>
          <w:p>
            <w:pPr>
              <w:spacing w:line="360" w:lineRule="auto"/>
              <w:jc w:val="left"/>
              <w:rPr>
                <w:rFonts w:hint="default" w:ascii="Times New Roman" w:hAnsi="Times New Roman" w:cs="Times New Roman"/>
                <w:bCs/>
                <w:color w:val="auto"/>
                <w:sz w:val="21"/>
                <w:szCs w:val="21"/>
                <w:highlight w:val="none"/>
                <w:lang w:bidi="ar"/>
              </w:rPr>
            </w:pPr>
            <w:r>
              <w:rPr>
                <w:rFonts w:hint="default" w:ascii="Times New Roman" w:hAnsi="Times New Roman" w:cs="Times New Roman"/>
                <w:bCs/>
                <w:color w:val="auto"/>
                <w:sz w:val="21"/>
                <w:szCs w:val="21"/>
                <w:highlight w:val="none"/>
                <w:lang w:bidi="ar"/>
              </w:rPr>
              <w:t>◇开展审前调查，收集资料、了解基本情况；</w:t>
            </w:r>
          </w:p>
          <w:p>
            <w:pPr>
              <w:spacing w:line="360" w:lineRule="auto"/>
              <w:jc w:val="left"/>
              <w:rPr>
                <w:rFonts w:hint="default" w:ascii="Times New Roman" w:hAnsi="Times New Roman" w:cs="Times New Roman"/>
                <w:bCs/>
                <w:color w:val="auto"/>
                <w:sz w:val="21"/>
                <w:szCs w:val="21"/>
                <w:highlight w:val="none"/>
                <w:lang w:bidi="ar"/>
              </w:rPr>
            </w:pPr>
            <w:r>
              <w:rPr>
                <w:rFonts w:hint="default" w:ascii="Times New Roman" w:hAnsi="Times New Roman" w:cs="Times New Roman"/>
                <w:bCs/>
                <w:color w:val="auto"/>
                <w:sz w:val="21"/>
                <w:szCs w:val="21"/>
                <w:highlight w:val="none"/>
                <w:lang w:bidi="ar"/>
              </w:rPr>
              <w:t>◇进行政策梳理，编制相关工作底稿。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5" w:hRule="atLeast"/>
        </w:trPr>
        <w:tc>
          <w:tcPr>
            <w:tcW w:w="1495" w:type="dxa"/>
            <w:vAlign w:val="center"/>
          </w:tcPr>
          <w:p>
            <w:pPr>
              <w:spacing w:line="360" w:lineRule="auto"/>
              <w:jc w:val="center"/>
              <w:rPr>
                <w:rFonts w:hint="default" w:ascii="Times New Roman" w:hAnsi="Times New Roman" w:cs="Times New Roman"/>
                <w:bCs/>
                <w:color w:val="auto"/>
                <w:sz w:val="21"/>
                <w:szCs w:val="21"/>
                <w:highlight w:val="none"/>
                <w:lang w:bidi="ar"/>
              </w:rPr>
            </w:pPr>
            <w:r>
              <w:rPr>
                <w:rFonts w:hint="default" w:ascii="Times New Roman" w:hAnsi="Times New Roman" w:cs="Times New Roman"/>
                <w:bCs/>
                <w:color w:val="auto"/>
                <w:sz w:val="21"/>
                <w:szCs w:val="21"/>
                <w:highlight w:val="none"/>
                <w:lang w:bidi="ar"/>
              </w:rPr>
              <w:t>实施阶段</w:t>
            </w:r>
          </w:p>
        </w:tc>
        <w:tc>
          <w:tcPr>
            <w:tcW w:w="1307" w:type="dxa"/>
            <w:tcMar>
              <w:top w:w="15" w:type="dxa"/>
              <w:left w:w="15" w:type="dxa"/>
              <w:bottom w:w="0" w:type="dxa"/>
              <w:right w:w="15" w:type="dxa"/>
            </w:tcMar>
            <w:vAlign w:val="center"/>
          </w:tcPr>
          <w:p>
            <w:pPr>
              <w:spacing w:line="360" w:lineRule="auto"/>
              <w:jc w:val="center"/>
              <w:rPr>
                <w:rFonts w:hint="default" w:ascii="Times New Roman" w:hAnsi="Times New Roman" w:cs="Times New Roman"/>
                <w:bCs/>
                <w:color w:val="auto"/>
                <w:sz w:val="21"/>
                <w:szCs w:val="21"/>
                <w:highlight w:val="none"/>
                <w:lang w:bidi="ar"/>
              </w:rPr>
            </w:pPr>
            <w:r>
              <w:rPr>
                <w:rFonts w:hint="default" w:ascii="Times New Roman" w:hAnsi="Times New Roman" w:cs="Times New Roman"/>
                <w:bCs/>
                <w:color w:val="auto"/>
                <w:sz w:val="21"/>
                <w:szCs w:val="21"/>
                <w:highlight w:val="none"/>
                <w:lang w:val="en-US" w:eastAsia="zh-CN" w:bidi="ar"/>
              </w:rPr>
              <w:t>28</w:t>
            </w:r>
            <w:r>
              <w:rPr>
                <w:rFonts w:hint="default" w:ascii="Times New Roman" w:hAnsi="Times New Roman" w:cs="Times New Roman"/>
                <w:bCs/>
                <w:color w:val="auto"/>
                <w:sz w:val="21"/>
                <w:szCs w:val="21"/>
                <w:highlight w:val="none"/>
                <w:lang w:bidi="ar"/>
              </w:rPr>
              <w:t>工作日</w:t>
            </w:r>
          </w:p>
        </w:tc>
        <w:tc>
          <w:tcPr>
            <w:tcW w:w="5524" w:type="dxa"/>
            <w:tcMar>
              <w:top w:w="15" w:type="dxa"/>
              <w:left w:w="15" w:type="dxa"/>
              <w:bottom w:w="0" w:type="dxa"/>
              <w:right w:w="15" w:type="dxa"/>
            </w:tcMar>
            <w:vAlign w:val="center"/>
          </w:tcPr>
          <w:p>
            <w:pPr>
              <w:spacing w:line="360" w:lineRule="auto"/>
              <w:jc w:val="left"/>
              <w:rPr>
                <w:rFonts w:hint="default" w:ascii="Times New Roman" w:hAnsi="Times New Roman" w:cs="Times New Roman"/>
                <w:bCs/>
                <w:color w:val="auto"/>
                <w:sz w:val="21"/>
                <w:szCs w:val="21"/>
                <w:highlight w:val="none"/>
                <w:lang w:bidi="ar"/>
              </w:rPr>
            </w:pPr>
            <w:r>
              <w:rPr>
                <w:rFonts w:hint="default" w:ascii="Times New Roman" w:hAnsi="Times New Roman" w:cs="Times New Roman"/>
                <w:bCs/>
                <w:color w:val="auto"/>
                <w:sz w:val="21"/>
                <w:szCs w:val="21"/>
                <w:highlight w:val="none"/>
                <w:lang w:bidi="ar"/>
              </w:rPr>
              <w:t>◇首次入户，了解项目基本情况，沟通落实开展项目绩效评价工作的进度安排。收集项目首批资料，并反馈补充资料意见；</w:t>
            </w:r>
          </w:p>
          <w:p>
            <w:pPr>
              <w:spacing w:line="360" w:lineRule="auto"/>
              <w:jc w:val="left"/>
              <w:rPr>
                <w:rFonts w:hint="default" w:ascii="Times New Roman" w:hAnsi="Times New Roman" w:cs="Times New Roman"/>
                <w:bCs/>
                <w:color w:val="auto"/>
                <w:sz w:val="21"/>
                <w:szCs w:val="21"/>
                <w:highlight w:val="none"/>
                <w:lang w:bidi="ar"/>
              </w:rPr>
            </w:pPr>
            <w:r>
              <w:rPr>
                <w:rFonts w:hint="default" w:ascii="Times New Roman" w:hAnsi="Times New Roman" w:cs="Times New Roman"/>
                <w:bCs/>
                <w:color w:val="auto"/>
                <w:sz w:val="21"/>
                <w:szCs w:val="21"/>
                <w:highlight w:val="none"/>
                <w:lang w:bidi="ar"/>
              </w:rPr>
              <w:t xml:space="preserve">◇收集项目补充资料；进行分类整理、归集，填写相应的工作底稿； </w:t>
            </w:r>
          </w:p>
          <w:p>
            <w:pPr>
              <w:spacing w:line="360" w:lineRule="auto"/>
              <w:jc w:val="left"/>
              <w:rPr>
                <w:rFonts w:hint="default" w:ascii="Times New Roman" w:hAnsi="Times New Roman" w:cs="Times New Roman"/>
                <w:bCs/>
                <w:color w:val="auto"/>
                <w:sz w:val="21"/>
                <w:szCs w:val="21"/>
                <w:highlight w:val="none"/>
                <w:lang w:bidi="ar"/>
              </w:rPr>
            </w:pPr>
            <w:r>
              <w:rPr>
                <w:rFonts w:hint="default" w:ascii="Times New Roman" w:hAnsi="Times New Roman" w:cs="Times New Roman"/>
                <w:bCs/>
                <w:color w:val="auto"/>
                <w:sz w:val="21"/>
                <w:szCs w:val="21"/>
                <w:highlight w:val="none"/>
                <w:lang w:bidi="ar"/>
              </w:rPr>
              <w:t>◇定期向委托方汇报、沟通绩效评价中发现的问题；</w:t>
            </w:r>
          </w:p>
          <w:p>
            <w:pPr>
              <w:spacing w:line="360" w:lineRule="auto"/>
              <w:jc w:val="left"/>
              <w:rPr>
                <w:rFonts w:hint="default" w:ascii="Times New Roman" w:hAnsi="Times New Roman" w:cs="Times New Roman"/>
                <w:bCs/>
                <w:color w:val="auto"/>
                <w:sz w:val="21"/>
                <w:szCs w:val="21"/>
                <w:highlight w:val="none"/>
                <w:lang w:bidi="ar"/>
              </w:rPr>
            </w:pPr>
            <w:r>
              <w:rPr>
                <w:rFonts w:hint="default" w:ascii="Times New Roman" w:hAnsi="Times New Roman" w:cs="Times New Roman"/>
                <w:bCs/>
                <w:color w:val="auto"/>
                <w:sz w:val="21"/>
                <w:szCs w:val="21"/>
                <w:highlight w:val="none"/>
                <w:lang w:bidi="ar"/>
              </w:rPr>
              <w:t>◇按照绩效评价工作内容编制工作底稿，整理工作资料证据，撰写工作总结；</w:t>
            </w:r>
          </w:p>
          <w:p>
            <w:pPr>
              <w:spacing w:line="360" w:lineRule="auto"/>
              <w:jc w:val="left"/>
              <w:rPr>
                <w:rFonts w:hint="default" w:ascii="Times New Roman" w:hAnsi="Times New Roman" w:cs="Times New Roman"/>
                <w:bCs/>
                <w:color w:val="auto"/>
                <w:sz w:val="21"/>
                <w:szCs w:val="21"/>
                <w:highlight w:val="none"/>
                <w:lang w:bidi="ar"/>
              </w:rPr>
            </w:pPr>
            <w:r>
              <w:rPr>
                <w:rFonts w:hint="default" w:ascii="Times New Roman" w:hAnsi="Times New Roman" w:cs="Times New Roman"/>
                <w:bCs/>
                <w:color w:val="auto"/>
                <w:sz w:val="21"/>
                <w:szCs w:val="21"/>
                <w:highlight w:val="none"/>
                <w:lang w:bidi="ar"/>
              </w:rPr>
              <w:t>◇现场形成初步的复核工作总结，以备后续绩效评价报告的撰写奠定基础。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45" w:hRule="atLeast"/>
        </w:trPr>
        <w:tc>
          <w:tcPr>
            <w:tcW w:w="1495" w:type="dxa"/>
            <w:vAlign w:val="center"/>
          </w:tcPr>
          <w:p>
            <w:pPr>
              <w:spacing w:line="360" w:lineRule="auto"/>
              <w:jc w:val="center"/>
              <w:rPr>
                <w:rFonts w:hint="default" w:ascii="Times New Roman" w:hAnsi="Times New Roman" w:cs="Times New Roman"/>
                <w:bCs/>
                <w:color w:val="auto"/>
                <w:sz w:val="21"/>
                <w:szCs w:val="21"/>
                <w:highlight w:val="none"/>
                <w:lang w:bidi="ar"/>
              </w:rPr>
            </w:pPr>
            <w:r>
              <w:rPr>
                <w:rFonts w:hint="default" w:ascii="Times New Roman" w:hAnsi="Times New Roman" w:cs="Times New Roman"/>
                <w:bCs/>
                <w:color w:val="auto"/>
                <w:sz w:val="21"/>
                <w:szCs w:val="21"/>
                <w:highlight w:val="none"/>
                <w:lang w:bidi="ar"/>
              </w:rPr>
              <w:t>报告阶段</w:t>
            </w:r>
          </w:p>
        </w:tc>
        <w:tc>
          <w:tcPr>
            <w:tcW w:w="1307" w:type="dxa"/>
            <w:tcMar>
              <w:top w:w="15" w:type="dxa"/>
              <w:left w:w="15" w:type="dxa"/>
              <w:bottom w:w="0" w:type="dxa"/>
              <w:right w:w="15" w:type="dxa"/>
            </w:tcMar>
            <w:vAlign w:val="center"/>
          </w:tcPr>
          <w:p>
            <w:pPr>
              <w:spacing w:line="360" w:lineRule="auto"/>
              <w:jc w:val="center"/>
              <w:rPr>
                <w:rFonts w:hint="default" w:ascii="Times New Roman" w:hAnsi="Times New Roman" w:cs="Times New Roman"/>
                <w:bCs/>
                <w:color w:val="auto"/>
                <w:sz w:val="21"/>
                <w:szCs w:val="21"/>
                <w:highlight w:val="none"/>
                <w:lang w:bidi="ar"/>
              </w:rPr>
            </w:pPr>
            <w:r>
              <w:rPr>
                <w:rFonts w:hint="default" w:ascii="Times New Roman" w:hAnsi="Times New Roman" w:cs="Times New Roman"/>
                <w:bCs/>
                <w:color w:val="auto"/>
                <w:sz w:val="21"/>
                <w:szCs w:val="21"/>
                <w:highlight w:val="none"/>
                <w:lang w:val="en-US" w:eastAsia="zh-CN" w:bidi="ar"/>
              </w:rPr>
              <w:t>10</w:t>
            </w:r>
            <w:r>
              <w:rPr>
                <w:rFonts w:hint="default" w:ascii="Times New Roman" w:hAnsi="Times New Roman" w:cs="Times New Roman"/>
                <w:bCs/>
                <w:color w:val="auto"/>
                <w:sz w:val="21"/>
                <w:szCs w:val="21"/>
                <w:highlight w:val="none"/>
                <w:lang w:bidi="ar"/>
              </w:rPr>
              <w:t>工作日</w:t>
            </w:r>
          </w:p>
        </w:tc>
        <w:tc>
          <w:tcPr>
            <w:tcW w:w="5524" w:type="dxa"/>
            <w:tcMar>
              <w:top w:w="15" w:type="dxa"/>
              <w:left w:w="15" w:type="dxa"/>
              <w:bottom w:w="0" w:type="dxa"/>
              <w:right w:w="15" w:type="dxa"/>
            </w:tcMar>
            <w:vAlign w:val="center"/>
          </w:tcPr>
          <w:p>
            <w:pPr>
              <w:spacing w:line="360" w:lineRule="auto"/>
              <w:jc w:val="left"/>
              <w:rPr>
                <w:rFonts w:hint="default" w:ascii="Times New Roman" w:hAnsi="Times New Roman" w:cs="Times New Roman"/>
                <w:bCs/>
                <w:color w:val="auto"/>
                <w:sz w:val="21"/>
                <w:szCs w:val="21"/>
                <w:highlight w:val="none"/>
                <w:lang w:bidi="ar"/>
              </w:rPr>
            </w:pPr>
            <w:r>
              <w:rPr>
                <w:rFonts w:hint="default" w:ascii="Times New Roman" w:hAnsi="Times New Roman" w:cs="Times New Roman"/>
                <w:bCs/>
                <w:color w:val="auto"/>
                <w:sz w:val="21"/>
                <w:szCs w:val="21"/>
                <w:highlight w:val="none"/>
                <w:lang w:bidi="ar"/>
              </w:rPr>
              <w:t>◇编制绩效评价报告初稿并先征求区财政局的意见；</w:t>
            </w:r>
          </w:p>
          <w:p>
            <w:pPr>
              <w:spacing w:line="360" w:lineRule="auto"/>
              <w:jc w:val="left"/>
              <w:rPr>
                <w:rFonts w:hint="default" w:ascii="Times New Roman" w:hAnsi="Times New Roman" w:cs="Times New Roman"/>
                <w:bCs/>
                <w:color w:val="auto"/>
                <w:sz w:val="21"/>
                <w:szCs w:val="21"/>
                <w:highlight w:val="none"/>
                <w:lang w:bidi="ar"/>
              </w:rPr>
            </w:pPr>
            <w:r>
              <w:rPr>
                <w:rFonts w:hint="default" w:ascii="Times New Roman" w:hAnsi="Times New Roman" w:cs="Times New Roman"/>
                <w:bCs/>
                <w:color w:val="auto"/>
                <w:sz w:val="21"/>
                <w:szCs w:val="21"/>
                <w:highlight w:val="none"/>
                <w:lang w:bidi="ar"/>
              </w:rPr>
              <w:t>◇根据沟通结果或补充提供的相关证据资料，修改绩效评价报告初稿；</w:t>
            </w:r>
          </w:p>
          <w:p>
            <w:pPr>
              <w:spacing w:line="360" w:lineRule="auto"/>
              <w:jc w:val="left"/>
              <w:rPr>
                <w:rFonts w:hint="default" w:ascii="Times New Roman" w:hAnsi="Times New Roman" w:cs="Times New Roman"/>
                <w:bCs/>
                <w:color w:val="auto"/>
                <w:sz w:val="21"/>
                <w:szCs w:val="21"/>
                <w:highlight w:val="none"/>
                <w:lang w:bidi="ar"/>
              </w:rPr>
            </w:pPr>
            <w:r>
              <w:rPr>
                <w:rFonts w:hint="default" w:ascii="Times New Roman" w:hAnsi="Times New Roman" w:cs="Times New Roman"/>
                <w:bCs/>
                <w:color w:val="auto"/>
                <w:sz w:val="21"/>
                <w:szCs w:val="21"/>
                <w:highlight w:val="none"/>
                <w:lang w:bidi="ar"/>
              </w:rPr>
              <w:t>◇履行事务所内部三级复核制度，正式出具并提交绩效评价报告。</w:t>
            </w:r>
          </w:p>
        </w:tc>
      </w:tr>
    </w:tbl>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准备阶段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针对本次项目要求的工作时间紧、工作任务重等特点，提前完成事务所内部的审计团队短期培训、人员分工、资料收集，以及总体策略、具体计划等工作。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2</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实施阶段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本阶段包括完成项目的资料准备指导、资料收集、现场沟通等工作。项目组人员在充分了解项目情况基础上开展绩效评价，并形成绩效评价报告。定期向委托人汇报、沟通绩效评价过程中发现问题，解决绩效评价过程中存在的问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3</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报告阶段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将评价过程中发现的问题进行汇总、整理、分析，并此基础上编制绩效评价报告初稿，及时向区财政局进行沟通、汇报。</w:t>
      </w:r>
    </w:p>
    <w:p>
      <w:pPr>
        <w:pStyle w:val="3"/>
        <w:pageBreakBefore w:val="0"/>
        <w:widowControl w:val="0"/>
        <w:numPr>
          <w:ilvl w:val="0"/>
          <w:numId w:val="2"/>
        </w:numPr>
        <w:kinsoku/>
        <w:wordWrap/>
        <w:overflowPunct/>
        <w:topLinePunct w:val="0"/>
        <w:autoSpaceDE/>
        <w:autoSpaceDN/>
        <w:bidi w:val="0"/>
        <w:adjustRightInd/>
        <w:snapToGrid/>
        <w:spacing w:before="0" w:after="0" w:line="600" w:lineRule="exact"/>
        <w:ind w:firstLine="640" w:firstLineChars="200"/>
        <w:textAlignment w:val="auto"/>
        <w:rPr>
          <w:rFonts w:hint="default" w:ascii="黑体" w:hAnsi="黑体" w:eastAsia="黑体" w:cs="黑体"/>
          <w:b w:val="0"/>
          <w:bCs/>
          <w:color w:val="auto"/>
          <w:sz w:val="32"/>
          <w:szCs w:val="32"/>
          <w:highlight w:val="none"/>
          <w:lang w:val="en-US" w:eastAsia="zh-CN"/>
        </w:rPr>
      </w:pPr>
      <w:bookmarkStart w:id="12" w:name="_Toc17513"/>
      <w:r>
        <w:rPr>
          <w:rFonts w:hint="eastAsia" w:ascii="黑体" w:hAnsi="黑体" w:eastAsia="黑体" w:cs="黑体"/>
          <w:b w:val="0"/>
          <w:bCs/>
          <w:color w:val="auto"/>
          <w:sz w:val="32"/>
          <w:szCs w:val="32"/>
          <w:highlight w:val="none"/>
          <w:lang w:val="en-US" w:eastAsia="zh-CN"/>
        </w:rPr>
        <w:t>综合评价情况及评价结论</w:t>
      </w:r>
      <w:bookmarkEnd w:id="12"/>
    </w:p>
    <w:p>
      <w:pPr>
        <w:keepNext w:val="0"/>
        <w:keepLines w:val="0"/>
        <w:pageBreakBefore w:val="0"/>
        <w:widowControl w:val="0"/>
        <w:numPr>
          <w:ilvl w:val="1"/>
          <w:numId w:val="0"/>
        </w:numPr>
        <w:tabs>
          <w:tab w:val="left" w:pos="0"/>
        </w:tabs>
        <w:kinsoku/>
        <w:wordWrap/>
        <w:overflowPunct/>
        <w:topLinePunct w:val="0"/>
        <w:bidi w:val="0"/>
        <w:adjustRightInd/>
        <w:snapToGrid/>
        <w:spacing w:line="600" w:lineRule="exact"/>
        <w:ind w:firstLine="640" w:firstLineChars="200"/>
        <w:textAlignment w:val="auto"/>
        <w:outlineLvl w:val="1"/>
        <w:rPr>
          <w:rFonts w:hint="eastAsia" w:ascii="仿宋_GB2312" w:hAnsi="仿宋_GB2312" w:eastAsia="仿宋_GB2312" w:cs="仿宋_GB2312"/>
          <w:color w:val="auto"/>
          <w:kern w:val="2"/>
          <w:sz w:val="32"/>
          <w:szCs w:val="32"/>
          <w:highlight w:val="none"/>
          <w:lang w:val="en-US" w:eastAsia="zh-CN" w:bidi="ar-SA"/>
        </w:rPr>
      </w:pPr>
      <w:bookmarkStart w:id="13" w:name="_Toc21746"/>
      <w:r>
        <w:rPr>
          <w:rFonts w:hint="eastAsia" w:ascii="仿宋_GB2312" w:hAnsi="仿宋_GB2312" w:eastAsia="仿宋_GB2312" w:cs="仿宋_GB2312"/>
          <w:color w:val="auto"/>
          <w:kern w:val="2"/>
          <w:sz w:val="32"/>
          <w:szCs w:val="32"/>
          <w:highlight w:val="none"/>
          <w:lang w:val="en-US" w:eastAsia="zh-CN" w:bidi="ar-SA"/>
        </w:rPr>
        <w:t>（一）评价得分情况</w:t>
      </w:r>
      <w:bookmarkEnd w:id="13"/>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经综合评价，</w:t>
      </w:r>
      <w:r>
        <w:rPr>
          <w:rFonts w:hint="eastAsia" w:ascii="仿宋_GB2312" w:hAnsi="仿宋_GB2312" w:eastAsia="仿宋_GB2312" w:cs="仿宋_GB2312"/>
          <w:color w:val="auto"/>
          <w:sz w:val="32"/>
          <w:szCs w:val="32"/>
          <w:highlight w:val="none"/>
          <w:lang w:val="en-US" w:eastAsia="zh-CN"/>
        </w:rPr>
        <w:t>北辰区</w:t>
      </w:r>
      <w:r>
        <w:rPr>
          <w:rFonts w:hint="eastAsia" w:ascii="仿宋_GB2312" w:hAnsi="仿宋_GB2312" w:eastAsia="仿宋_GB2312" w:cs="仿宋_GB2312"/>
          <w:color w:val="auto"/>
          <w:sz w:val="32"/>
          <w:szCs w:val="32"/>
          <w:highlight w:val="none"/>
        </w:rPr>
        <w:t>20</w:t>
      </w:r>
      <w:r>
        <w:rPr>
          <w:rFonts w:hint="eastAsia" w:ascii="仿宋_GB2312" w:hAnsi="仿宋_GB2312" w:eastAsia="仿宋_GB2312" w:cs="仿宋_GB2312"/>
          <w:color w:val="auto"/>
          <w:sz w:val="32"/>
          <w:szCs w:val="32"/>
          <w:highlight w:val="none"/>
          <w:lang w:val="en-US" w:eastAsia="zh-CN"/>
        </w:rPr>
        <w:t>21</w:t>
      </w:r>
      <w:r>
        <w:rPr>
          <w:rFonts w:hint="eastAsia" w:ascii="仿宋_GB2312" w:hAnsi="仿宋_GB2312" w:eastAsia="仿宋_GB2312" w:cs="仿宋_GB2312"/>
          <w:color w:val="auto"/>
          <w:sz w:val="32"/>
          <w:szCs w:val="32"/>
          <w:highlight w:val="none"/>
        </w:rPr>
        <w:t>年度治超卸载点土地租赁及运营服务项目服务评价综合得分为</w:t>
      </w:r>
      <w:r>
        <w:rPr>
          <w:rFonts w:hint="eastAsia" w:ascii="仿宋_GB2312" w:hAnsi="仿宋_GB2312" w:eastAsia="仿宋_GB2312" w:cs="仿宋_GB2312"/>
          <w:color w:val="auto"/>
          <w:sz w:val="32"/>
          <w:szCs w:val="32"/>
          <w:highlight w:val="none"/>
          <w:lang w:val="en-US" w:eastAsia="zh-CN"/>
        </w:rPr>
        <w:t>90</w:t>
      </w:r>
      <w:r>
        <w:rPr>
          <w:rFonts w:hint="eastAsia" w:ascii="仿宋_GB2312" w:hAnsi="仿宋_GB2312" w:eastAsia="仿宋_GB2312" w:cs="仿宋_GB2312"/>
          <w:color w:val="auto"/>
          <w:sz w:val="32"/>
          <w:szCs w:val="32"/>
          <w:highlight w:val="none"/>
        </w:rPr>
        <w:t>分，等级为</w:t>
      </w:r>
      <w:r>
        <w:rPr>
          <w:rFonts w:hint="eastAsia" w:ascii="仿宋_GB2312" w:hAnsi="仿宋_GB2312" w:eastAsia="仿宋_GB2312" w:cs="仿宋_GB2312"/>
          <w:color w:val="auto"/>
          <w:sz w:val="32"/>
          <w:szCs w:val="32"/>
          <w:highlight w:val="none"/>
          <w:lang w:val="en-US" w:eastAsia="zh-CN"/>
        </w:rPr>
        <w:t>优</w:t>
      </w:r>
      <w:r>
        <w:rPr>
          <w:rFonts w:hint="eastAsia" w:ascii="仿宋_GB2312" w:hAnsi="仿宋_GB2312" w:eastAsia="仿宋_GB2312" w:cs="仿宋_GB2312"/>
          <w:color w:val="auto"/>
          <w:sz w:val="32"/>
          <w:szCs w:val="32"/>
          <w:highlight w:val="none"/>
        </w:rPr>
        <w:t>。具体指标评价分值如下表：</w:t>
      </w:r>
    </w:p>
    <w:p>
      <w:pPr>
        <w:keepNext w:val="0"/>
        <w:keepLines w:val="0"/>
        <w:pageBreakBefore w:val="0"/>
        <w:widowControl w:val="0"/>
        <w:numPr>
          <w:ilvl w:val="1"/>
          <w:numId w:val="0"/>
        </w:numPr>
        <w:tabs>
          <w:tab w:val="left" w:pos="0"/>
        </w:tabs>
        <w:kinsoku/>
        <w:wordWrap/>
        <w:overflowPunct/>
        <w:topLinePunct w:val="0"/>
        <w:bidi w:val="0"/>
        <w:adjustRightInd/>
        <w:snapToGrid/>
        <w:spacing w:line="600" w:lineRule="exact"/>
        <w:jc w:val="center"/>
        <w:textAlignment w:val="auto"/>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表4：绩效评价得分情况表</w:t>
      </w: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19"/>
        <w:gridCol w:w="2119"/>
        <w:gridCol w:w="2120"/>
        <w:gridCol w:w="21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2119" w:type="dxa"/>
            <w:vAlign w:val="center"/>
          </w:tcPr>
          <w:p>
            <w:pPr>
              <w:spacing w:line="280" w:lineRule="exact"/>
              <w:jc w:val="center"/>
              <w:rPr>
                <w:rFonts w:hint="eastAsia" w:ascii="黑体" w:hAnsi="黑体" w:eastAsia="黑体" w:cs="黑体"/>
                <w:color w:val="auto"/>
                <w:sz w:val="21"/>
                <w:szCs w:val="21"/>
                <w:highlight w:val="none"/>
                <w:lang w:bidi="ar"/>
              </w:rPr>
            </w:pPr>
            <w:r>
              <w:rPr>
                <w:rFonts w:hint="eastAsia" w:ascii="黑体" w:hAnsi="黑体" w:eastAsia="黑体" w:cs="黑体"/>
                <w:color w:val="auto"/>
                <w:sz w:val="21"/>
                <w:szCs w:val="21"/>
                <w:highlight w:val="none"/>
                <w:lang w:bidi="ar"/>
              </w:rPr>
              <w:t>指标</w:t>
            </w:r>
          </w:p>
        </w:tc>
        <w:tc>
          <w:tcPr>
            <w:tcW w:w="2119" w:type="dxa"/>
            <w:vAlign w:val="center"/>
          </w:tcPr>
          <w:p>
            <w:pPr>
              <w:spacing w:line="280" w:lineRule="exact"/>
              <w:jc w:val="center"/>
              <w:rPr>
                <w:rFonts w:hint="eastAsia" w:ascii="黑体" w:hAnsi="黑体" w:eastAsia="黑体" w:cs="黑体"/>
                <w:color w:val="auto"/>
                <w:sz w:val="21"/>
                <w:szCs w:val="21"/>
                <w:highlight w:val="none"/>
                <w:lang w:bidi="ar"/>
              </w:rPr>
            </w:pPr>
            <w:r>
              <w:rPr>
                <w:rFonts w:hint="eastAsia" w:ascii="黑体" w:hAnsi="黑体" w:eastAsia="黑体" w:cs="黑体"/>
                <w:color w:val="auto"/>
                <w:sz w:val="21"/>
                <w:szCs w:val="21"/>
                <w:highlight w:val="none"/>
                <w:lang w:bidi="ar"/>
              </w:rPr>
              <w:t>分值</w:t>
            </w:r>
          </w:p>
        </w:tc>
        <w:tc>
          <w:tcPr>
            <w:tcW w:w="2120" w:type="dxa"/>
            <w:vAlign w:val="center"/>
          </w:tcPr>
          <w:p>
            <w:pPr>
              <w:spacing w:line="280" w:lineRule="exact"/>
              <w:jc w:val="center"/>
              <w:rPr>
                <w:rFonts w:hint="eastAsia" w:ascii="黑体" w:hAnsi="黑体" w:eastAsia="黑体" w:cs="黑体"/>
                <w:color w:val="auto"/>
                <w:sz w:val="21"/>
                <w:szCs w:val="21"/>
                <w:highlight w:val="none"/>
                <w:lang w:bidi="ar"/>
              </w:rPr>
            </w:pPr>
            <w:r>
              <w:rPr>
                <w:rFonts w:hint="eastAsia" w:ascii="黑体" w:hAnsi="黑体" w:eastAsia="黑体" w:cs="黑体"/>
                <w:color w:val="auto"/>
                <w:sz w:val="21"/>
                <w:szCs w:val="21"/>
                <w:highlight w:val="none"/>
                <w:lang w:bidi="ar"/>
              </w:rPr>
              <w:t>评分</w:t>
            </w:r>
          </w:p>
        </w:tc>
        <w:tc>
          <w:tcPr>
            <w:tcW w:w="2120" w:type="dxa"/>
            <w:vAlign w:val="center"/>
          </w:tcPr>
          <w:p>
            <w:pPr>
              <w:spacing w:line="280" w:lineRule="exact"/>
              <w:jc w:val="center"/>
              <w:rPr>
                <w:rFonts w:hint="eastAsia" w:ascii="黑体" w:hAnsi="黑体" w:eastAsia="黑体" w:cs="黑体"/>
                <w:color w:val="auto"/>
                <w:sz w:val="21"/>
                <w:szCs w:val="21"/>
                <w:highlight w:val="none"/>
                <w:lang w:bidi="ar"/>
              </w:rPr>
            </w:pPr>
            <w:r>
              <w:rPr>
                <w:rFonts w:hint="eastAsia" w:ascii="黑体" w:hAnsi="黑体" w:eastAsia="黑体" w:cs="黑体"/>
                <w:color w:val="auto"/>
                <w:sz w:val="21"/>
                <w:szCs w:val="21"/>
                <w:highlight w:val="none"/>
                <w:lang w:bidi="ar"/>
              </w:rPr>
              <w:t>得分率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2119" w:type="dxa"/>
            <w:vAlign w:val="center"/>
          </w:tcPr>
          <w:p>
            <w:pPr>
              <w:spacing w:line="280" w:lineRule="exact"/>
              <w:jc w:val="center"/>
              <w:rPr>
                <w:rFonts w:hint="default" w:ascii="Times New Roman" w:hAnsi="Times New Roman" w:cs="Times New Roman"/>
                <w:color w:val="auto"/>
                <w:sz w:val="21"/>
                <w:szCs w:val="21"/>
                <w:highlight w:val="none"/>
                <w:lang w:bidi="ar"/>
              </w:rPr>
            </w:pPr>
            <w:r>
              <w:rPr>
                <w:rFonts w:hint="default" w:ascii="Times New Roman" w:hAnsi="Times New Roman" w:cs="Times New Roman"/>
                <w:color w:val="auto"/>
                <w:sz w:val="21"/>
                <w:szCs w:val="21"/>
                <w:highlight w:val="none"/>
                <w:lang w:bidi="ar"/>
              </w:rPr>
              <w:t>项目决策</w:t>
            </w:r>
          </w:p>
        </w:tc>
        <w:tc>
          <w:tcPr>
            <w:tcW w:w="2119"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highlight w:val="none"/>
                <w:lang w:bidi="ar"/>
              </w:rPr>
            </w:pPr>
            <w:r>
              <w:rPr>
                <w:rFonts w:hint="default" w:ascii="Times New Roman" w:hAnsi="Times New Roman" w:eastAsia="宋体" w:cs="Times New Roman"/>
                <w:i w:val="0"/>
                <w:iCs w:val="0"/>
                <w:color w:val="auto"/>
                <w:kern w:val="0"/>
                <w:sz w:val="21"/>
                <w:szCs w:val="21"/>
                <w:highlight w:val="none"/>
                <w:u w:val="none"/>
                <w:lang w:val="en-US" w:eastAsia="zh-CN" w:bidi="ar"/>
              </w:rPr>
              <w:t>20</w:t>
            </w:r>
          </w:p>
        </w:tc>
        <w:tc>
          <w:tcPr>
            <w:tcW w:w="2120"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highlight w:val="none"/>
                <w:lang w:bidi="ar"/>
              </w:rPr>
            </w:pPr>
            <w:r>
              <w:rPr>
                <w:rFonts w:hint="default" w:ascii="Times New Roman" w:hAnsi="Times New Roman" w:eastAsia="宋体" w:cs="Times New Roman"/>
                <w:i w:val="0"/>
                <w:iCs w:val="0"/>
                <w:color w:val="auto"/>
                <w:kern w:val="0"/>
                <w:sz w:val="21"/>
                <w:szCs w:val="21"/>
                <w:highlight w:val="none"/>
                <w:u w:val="none"/>
                <w:lang w:val="en-US" w:eastAsia="zh-CN" w:bidi="ar"/>
              </w:rPr>
              <w:t>18</w:t>
            </w:r>
          </w:p>
        </w:tc>
        <w:tc>
          <w:tcPr>
            <w:tcW w:w="2120"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highlight w:val="none"/>
                <w:lang w:bidi="ar"/>
              </w:rPr>
            </w:pPr>
            <w:r>
              <w:rPr>
                <w:rFonts w:hint="default" w:ascii="Times New Roman" w:hAnsi="Times New Roman" w:eastAsia="宋体" w:cs="Times New Roman"/>
                <w:i w:val="0"/>
                <w:iCs w:val="0"/>
                <w:color w:val="auto"/>
                <w:kern w:val="0"/>
                <w:sz w:val="21"/>
                <w:szCs w:val="21"/>
                <w:highlight w:val="none"/>
                <w:u w:val="none"/>
                <w:lang w:val="en-US" w:eastAsia="zh-CN" w:bidi="ar"/>
              </w:rPr>
              <w:t>90.00%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2119" w:type="dxa"/>
            <w:vAlign w:val="center"/>
          </w:tcPr>
          <w:p>
            <w:pPr>
              <w:spacing w:line="280" w:lineRule="exact"/>
              <w:jc w:val="center"/>
              <w:rPr>
                <w:rFonts w:hint="default" w:ascii="Times New Roman" w:hAnsi="Times New Roman" w:cs="Times New Roman"/>
                <w:color w:val="auto"/>
                <w:sz w:val="21"/>
                <w:szCs w:val="21"/>
                <w:highlight w:val="none"/>
                <w:lang w:bidi="ar"/>
              </w:rPr>
            </w:pPr>
            <w:r>
              <w:rPr>
                <w:rFonts w:hint="default" w:ascii="Times New Roman" w:hAnsi="Times New Roman" w:cs="Times New Roman"/>
                <w:color w:val="auto"/>
                <w:sz w:val="21"/>
                <w:szCs w:val="21"/>
                <w:highlight w:val="none"/>
                <w:lang w:bidi="ar"/>
              </w:rPr>
              <w:t>项目过程</w:t>
            </w:r>
          </w:p>
        </w:tc>
        <w:tc>
          <w:tcPr>
            <w:tcW w:w="2119"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highlight w:val="none"/>
                <w:lang w:bidi="ar"/>
              </w:rPr>
            </w:pPr>
            <w:r>
              <w:rPr>
                <w:rFonts w:hint="default" w:ascii="Times New Roman" w:hAnsi="Times New Roman" w:eastAsia="宋体" w:cs="Times New Roman"/>
                <w:i w:val="0"/>
                <w:iCs w:val="0"/>
                <w:color w:val="auto"/>
                <w:kern w:val="0"/>
                <w:sz w:val="21"/>
                <w:szCs w:val="21"/>
                <w:highlight w:val="none"/>
                <w:u w:val="none"/>
                <w:lang w:val="en-US" w:eastAsia="zh-CN" w:bidi="ar"/>
              </w:rPr>
              <w:t>25</w:t>
            </w:r>
          </w:p>
        </w:tc>
        <w:tc>
          <w:tcPr>
            <w:tcW w:w="2120"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highlight w:val="none"/>
                <w:lang w:val="en-US" w:bidi="ar"/>
              </w:rPr>
            </w:pPr>
            <w:r>
              <w:rPr>
                <w:rFonts w:hint="default" w:ascii="Times New Roman" w:hAnsi="Times New Roman" w:eastAsia="宋体" w:cs="Times New Roman"/>
                <w:i w:val="0"/>
                <w:iCs w:val="0"/>
                <w:color w:val="auto"/>
                <w:kern w:val="0"/>
                <w:sz w:val="21"/>
                <w:szCs w:val="21"/>
                <w:highlight w:val="none"/>
                <w:u w:val="none"/>
                <w:lang w:val="en-US" w:eastAsia="zh-CN" w:bidi="ar"/>
              </w:rPr>
              <w:t>2</w:t>
            </w:r>
            <w:r>
              <w:rPr>
                <w:rFonts w:hint="eastAsia" w:ascii="Times New Roman" w:hAnsi="Times New Roman" w:cs="Times New Roman"/>
                <w:i w:val="0"/>
                <w:iCs w:val="0"/>
                <w:color w:val="auto"/>
                <w:kern w:val="0"/>
                <w:sz w:val="21"/>
                <w:szCs w:val="21"/>
                <w:highlight w:val="none"/>
                <w:u w:val="none"/>
                <w:lang w:val="en-US" w:eastAsia="zh-CN" w:bidi="ar"/>
              </w:rPr>
              <w:t>4</w:t>
            </w:r>
          </w:p>
        </w:tc>
        <w:tc>
          <w:tcPr>
            <w:tcW w:w="2120"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highlight w:val="none"/>
                <w:lang w:bidi="ar"/>
              </w:rPr>
            </w:pPr>
            <w:r>
              <w:rPr>
                <w:rFonts w:hint="eastAsia" w:ascii="Times New Roman" w:hAnsi="Times New Roman" w:cs="Times New Roman"/>
                <w:i w:val="0"/>
                <w:iCs w:val="0"/>
                <w:color w:val="auto"/>
                <w:kern w:val="0"/>
                <w:sz w:val="21"/>
                <w:szCs w:val="21"/>
                <w:highlight w:val="none"/>
                <w:u w:val="none"/>
                <w:lang w:val="en-US" w:eastAsia="zh-CN" w:bidi="ar"/>
              </w:rPr>
              <w:t>96</w:t>
            </w:r>
            <w:r>
              <w:rPr>
                <w:rFonts w:hint="default" w:ascii="Times New Roman" w:hAnsi="Times New Roman" w:eastAsia="宋体" w:cs="Times New Roman"/>
                <w:i w:val="0"/>
                <w:iCs w:val="0"/>
                <w:color w:val="auto"/>
                <w:kern w:val="0"/>
                <w:sz w:val="21"/>
                <w:szCs w:val="21"/>
                <w:highlight w:val="none"/>
                <w:u w:val="none"/>
                <w:lang w:val="en-US" w:eastAsia="zh-CN" w:bidi="ar"/>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2119" w:type="dxa"/>
            <w:vAlign w:val="center"/>
          </w:tcPr>
          <w:p>
            <w:pPr>
              <w:spacing w:line="280" w:lineRule="exact"/>
              <w:jc w:val="center"/>
              <w:rPr>
                <w:rFonts w:hint="default" w:ascii="Times New Roman" w:hAnsi="Times New Roman" w:cs="Times New Roman"/>
                <w:color w:val="auto"/>
                <w:sz w:val="21"/>
                <w:szCs w:val="21"/>
                <w:highlight w:val="none"/>
                <w:lang w:bidi="ar"/>
              </w:rPr>
            </w:pPr>
            <w:r>
              <w:rPr>
                <w:rFonts w:hint="default" w:ascii="Times New Roman" w:hAnsi="Times New Roman" w:cs="Times New Roman"/>
                <w:color w:val="auto"/>
                <w:sz w:val="21"/>
                <w:szCs w:val="21"/>
                <w:highlight w:val="none"/>
                <w:lang w:bidi="ar"/>
              </w:rPr>
              <w:t>项目产出</w:t>
            </w:r>
          </w:p>
        </w:tc>
        <w:tc>
          <w:tcPr>
            <w:tcW w:w="2119"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highlight w:val="none"/>
                <w:lang w:bidi="ar"/>
              </w:rPr>
            </w:pPr>
            <w:r>
              <w:rPr>
                <w:rFonts w:hint="default" w:ascii="Times New Roman" w:hAnsi="Times New Roman" w:eastAsia="宋体" w:cs="Times New Roman"/>
                <w:i w:val="0"/>
                <w:iCs w:val="0"/>
                <w:color w:val="auto"/>
                <w:kern w:val="0"/>
                <w:sz w:val="21"/>
                <w:szCs w:val="21"/>
                <w:highlight w:val="none"/>
                <w:u w:val="none"/>
                <w:lang w:val="en-US" w:eastAsia="zh-CN" w:bidi="ar"/>
              </w:rPr>
              <w:t>30</w:t>
            </w:r>
          </w:p>
        </w:tc>
        <w:tc>
          <w:tcPr>
            <w:tcW w:w="2120"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highlight w:val="none"/>
                <w:lang w:val="en-US" w:bidi="ar"/>
              </w:rPr>
            </w:pPr>
            <w:r>
              <w:rPr>
                <w:rFonts w:hint="default" w:ascii="Times New Roman" w:hAnsi="Times New Roman" w:eastAsia="宋体" w:cs="Times New Roman"/>
                <w:i w:val="0"/>
                <w:iCs w:val="0"/>
                <w:color w:val="auto"/>
                <w:kern w:val="0"/>
                <w:sz w:val="21"/>
                <w:szCs w:val="21"/>
                <w:highlight w:val="none"/>
                <w:u w:val="none"/>
                <w:lang w:val="en-US" w:eastAsia="zh-CN" w:bidi="ar"/>
              </w:rPr>
              <w:t>2</w:t>
            </w:r>
            <w:r>
              <w:rPr>
                <w:rFonts w:hint="eastAsia" w:ascii="Times New Roman" w:hAnsi="Times New Roman" w:cs="Times New Roman"/>
                <w:i w:val="0"/>
                <w:iCs w:val="0"/>
                <w:color w:val="auto"/>
                <w:kern w:val="0"/>
                <w:sz w:val="21"/>
                <w:szCs w:val="21"/>
                <w:highlight w:val="none"/>
                <w:u w:val="none"/>
                <w:lang w:val="en-US" w:eastAsia="zh-CN" w:bidi="ar"/>
              </w:rPr>
              <w:t>9</w:t>
            </w:r>
          </w:p>
        </w:tc>
        <w:tc>
          <w:tcPr>
            <w:tcW w:w="2120"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highlight w:val="none"/>
                <w:lang w:bidi="ar"/>
              </w:rPr>
            </w:pPr>
            <w:r>
              <w:rPr>
                <w:rFonts w:hint="eastAsia" w:ascii="Times New Roman" w:hAnsi="Times New Roman" w:cs="Times New Roman"/>
                <w:i w:val="0"/>
                <w:iCs w:val="0"/>
                <w:color w:val="auto"/>
                <w:kern w:val="0"/>
                <w:sz w:val="21"/>
                <w:szCs w:val="21"/>
                <w:highlight w:val="none"/>
                <w:u w:val="none"/>
                <w:lang w:val="en-US" w:eastAsia="zh-CN" w:bidi="ar"/>
              </w:rPr>
              <w:t>96</w:t>
            </w:r>
            <w:r>
              <w:rPr>
                <w:rFonts w:hint="default" w:ascii="Times New Roman" w:hAnsi="Times New Roman" w:eastAsia="宋体" w:cs="Times New Roman"/>
                <w:i w:val="0"/>
                <w:iCs w:val="0"/>
                <w:color w:val="auto"/>
                <w:kern w:val="0"/>
                <w:sz w:val="21"/>
                <w:szCs w:val="21"/>
                <w:highlight w:val="none"/>
                <w:u w:val="none"/>
                <w:lang w:val="en-US" w:eastAsia="zh-CN" w:bidi="ar"/>
              </w:rPr>
              <w:t>.</w:t>
            </w:r>
            <w:r>
              <w:rPr>
                <w:rFonts w:hint="eastAsia" w:ascii="Times New Roman" w:hAnsi="Times New Roman" w:cs="Times New Roman"/>
                <w:i w:val="0"/>
                <w:iCs w:val="0"/>
                <w:color w:val="auto"/>
                <w:kern w:val="0"/>
                <w:sz w:val="21"/>
                <w:szCs w:val="21"/>
                <w:highlight w:val="none"/>
                <w:u w:val="none"/>
                <w:lang w:val="en-US" w:eastAsia="zh-CN" w:bidi="ar"/>
              </w:rPr>
              <w:t>67</w:t>
            </w:r>
            <w:r>
              <w:rPr>
                <w:rFonts w:hint="default" w:ascii="Times New Roman" w:hAnsi="Times New Roman" w:eastAsia="宋体" w:cs="Times New Roman"/>
                <w:i w:val="0"/>
                <w:iCs w:val="0"/>
                <w:color w:val="auto"/>
                <w:kern w:val="0"/>
                <w:sz w:val="21"/>
                <w:szCs w:val="21"/>
                <w:highlight w:val="none"/>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2119" w:type="dxa"/>
            <w:vAlign w:val="center"/>
          </w:tcPr>
          <w:p>
            <w:pPr>
              <w:spacing w:line="280" w:lineRule="exact"/>
              <w:jc w:val="center"/>
              <w:rPr>
                <w:rFonts w:hint="default" w:ascii="Times New Roman" w:hAnsi="Times New Roman" w:cs="Times New Roman"/>
                <w:color w:val="auto"/>
                <w:sz w:val="21"/>
                <w:szCs w:val="21"/>
                <w:highlight w:val="none"/>
                <w:lang w:bidi="ar"/>
              </w:rPr>
            </w:pPr>
            <w:r>
              <w:rPr>
                <w:rFonts w:hint="default" w:ascii="Times New Roman" w:hAnsi="Times New Roman" w:cs="Times New Roman"/>
                <w:color w:val="auto"/>
                <w:sz w:val="21"/>
                <w:szCs w:val="21"/>
                <w:highlight w:val="none"/>
                <w:lang w:bidi="ar"/>
              </w:rPr>
              <w:t>项目效益</w:t>
            </w:r>
          </w:p>
        </w:tc>
        <w:tc>
          <w:tcPr>
            <w:tcW w:w="2119"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highlight w:val="none"/>
                <w:lang w:bidi="ar"/>
              </w:rPr>
            </w:pPr>
            <w:r>
              <w:rPr>
                <w:rFonts w:hint="default" w:ascii="Times New Roman" w:hAnsi="Times New Roman" w:eastAsia="宋体" w:cs="Times New Roman"/>
                <w:i w:val="0"/>
                <w:iCs w:val="0"/>
                <w:color w:val="auto"/>
                <w:kern w:val="0"/>
                <w:sz w:val="21"/>
                <w:szCs w:val="21"/>
                <w:highlight w:val="none"/>
                <w:u w:val="none"/>
                <w:lang w:val="en-US" w:eastAsia="zh-CN" w:bidi="ar"/>
              </w:rPr>
              <w:t>25</w:t>
            </w:r>
          </w:p>
        </w:tc>
        <w:tc>
          <w:tcPr>
            <w:tcW w:w="2120" w:type="dxa"/>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highlight w:val="none"/>
                <w:lang w:val="en-US" w:eastAsia="zh-CN" w:bidi="ar"/>
              </w:rPr>
            </w:pPr>
            <w:r>
              <w:rPr>
                <w:rFonts w:hint="eastAsia" w:ascii="Times New Roman" w:hAnsi="Times New Roman" w:cs="Times New Roman"/>
                <w:color w:val="auto"/>
                <w:sz w:val="21"/>
                <w:szCs w:val="21"/>
                <w:highlight w:val="none"/>
                <w:lang w:val="en-US" w:eastAsia="zh-CN" w:bidi="ar"/>
              </w:rPr>
              <w:t>19</w:t>
            </w:r>
          </w:p>
        </w:tc>
        <w:tc>
          <w:tcPr>
            <w:tcW w:w="2120"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highlight w:val="none"/>
                <w:lang w:bidi="ar"/>
              </w:rPr>
            </w:pPr>
            <w:r>
              <w:rPr>
                <w:rFonts w:hint="eastAsia" w:ascii="Times New Roman" w:hAnsi="Times New Roman" w:cs="Times New Roman"/>
                <w:i w:val="0"/>
                <w:iCs w:val="0"/>
                <w:color w:val="auto"/>
                <w:kern w:val="0"/>
                <w:sz w:val="21"/>
                <w:szCs w:val="21"/>
                <w:highlight w:val="none"/>
                <w:u w:val="none"/>
                <w:lang w:val="en-US" w:eastAsia="zh-CN" w:bidi="ar"/>
              </w:rPr>
              <w:t>76</w:t>
            </w:r>
            <w:r>
              <w:rPr>
                <w:rFonts w:hint="default" w:ascii="Times New Roman" w:hAnsi="Times New Roman" w:eastAsia="宋体" w:cs="Times New Roman"/>
                <w:i w:val="0"/>
                <w:iCs w:val="0"/>
                <w:color w:val="auto"/>
                <w:kern w:val="0"/>
                <w:sz w:val="21"/>
                <w:szCs w:val="21"/>
                <w:highlight w:val="none"/>
                <w:u w:val="none"/>
                <w:lang w:val="en-US" w:eastAsia="zh-CN" w:bidi="ar"/>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2119" w:type="dxa"/>
            <w:vAlign w:val="center"/>
          </w:tcPr>
          <w:p>
            <w:pPr>
              <w:spacing w:line="280" w:lineRule="exact"/>
              <w:jc w:val="center"/>
              <w:rPr>
                <w:rFonts w:hint="default" w:ascii="Times New Roman" w:hAnsi="Times New Roman" w:cs="Times New Roman"/>
                <w:color w:val="auto"/>
                <w:sz w:val="21"/>
                <w:szCs w:val="21"/>
                <w:highlight w:val="none"/>
                <w:lang w:bidi="ar"/>
              </w:rPr>
            </w:pPr>
            <w:r>
              <w:rPr>
                <w:rFonts w:hint="default" w:ascii="Times New Roman" w:hAnsi="Times New Roman" w:cs="Times New Roman"/>
                <w:color w:val="auto"/>
                <w:sz w:val="21"/>
                <w:szCs w:val="21"/>
                <w:highlight w:val="none"/>
                <w:lang w:bidi="ar"/>
              </w:rPr>
              <w:t>合计</w:t>
            </w:r>
          </w:p>
        </w:tc>
        <w:tc>
          <w:tcPr>
            <w:tcW w:w="2119"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highlight w:val="none"/>
                <w:lang w:bidi="ar"/>
              </w:rPr>
            </w:pPr>
            <w:r>
              <w:rPr>
                <w:rFonts w:hint="default" w:ascii="Times New Roman" w:hAnsi="Times New Roman" w:eastAsia="宋体" w:cs="Times New Roman"/>
                <w:i w:val="0"/>
                <w:iCs w:val="0"/>
                <w:color w:val="auto"/>
                <w:kern w:val="0"/>
                <w:sz w:val="21"/>
                <w:szCs w:val="21"/>
                <w:highlight w:val="none"/>
                <w:u w:val="none"/>
                <w:lang w:val="en-US" w:eastAsia="zh-CN" w:bidi="ar"/>
              </w:rPr>
              <w:t>100</w:t>
            </w:r>
          </w:p>
        </w:tc>
        <w:tc>
          <w:tcPr>
            <w:tcW w:w="2120" w:type="dxa"/>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highlight w:val="none"/>
                <w:lang w:val="en-US" w:eastAsia="zh-CN" w:bidi="ar"/>
              </w:rPr>
            </w:pPr>
            <w:r>
              <w:rPr>
                <w:rFonts w:hint="eastAsia" w:ascii="Times New Roman" w:hAnsi="Times New Roman" w:cs="Times New Roman"/>
                <w:color w:val="auto"/>
                <w:sz w:val="21"/>
                <w:szCs w:val="21"/>
                <w:highlight w:val="none"/>
                <w:lang w:val="en-US" w:eastAsia="zh-CN" w:bidi="ar"/>
              </w:rPr>
              <w:t>90</w:t>
            </w:r>
          </w:p>
        </w:tc>
        <w:tc>
          <w:tcPr>
            <w:tcW w:w="2120"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highlight w:val="none"/>
                <w:lang w:bidi="ar"/>
              </w:rPr>
            </w:pPr>
            <w:r>
              <w:rPr>
                <w:rFonts w:hint="eastAsia" w:ascii="Times New Roman" w:hAnsi="Times New Roman" w:cs="Times New Roman"/>
                <w:i w:val="0"/>
                <w:iCs w:val="0"/>
                <w:color w:val="auto"/>
                <w:kern w:val="0"/>
                <w:sz w:val="21"/>
                <w:szCs w:val="21"/>
                <w:highlight w:val="none"/>
                <w:u w:val="none"/>
                <w:lang w:val="en-US" w:eastAsia="zh-CN" w:bidi="ar"/>
              </w:rPr>
              <w:t>90</w:t>
            </w:r>
            <w:r>
              <w:rPr>
                <w:rFonts w:hint="default" w:ascii="Times New Roman" w:hAnsi="Times New Roman" w:eastAsia="宋体" w:cs="Times New Roman"/>
                <w:i w:val="0"/>
                <w:iCs w:val="0"/>
                <w:color w:val="auto"/>
                <w:kern w:val="0"/>
                <w:sz w:val="21"/>
                <w:szCs w:val="21"/>
                <w:highlight w:val="none"/>
                <w:u w:val="none"/>
                <w:lang w:val="en-US" w:eastAsia="zh-CN" w:bidi="ar"/>
              </w:rPr>
              <w:t>.00%</w:t>
            </w:r>
          </w:p>
        </w:tc>
      </w:tr>
    </w:tbl>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该项目在项目决策方面，立项依据充分、规范，绩效目标</w:t>
      </w:r>
      <w:r>
        <w:rPr>
          <w:rFonts w:hint="eastAsia" w:ascii="仿宋_GB2312" w:hAnsi="仿宋_GB2312" w:eastAsia="仿宋_GB2312" w:cs="仿宋_GB2312"/>
          <w:color w:val="auto"/>
          <w:sz w:val="32"/>
          <w:szCs w:val="32"/>
          <w:highlight w:val="none"/>
          <w:lang w:val="en-US" w:eastAsia="zh-CN"/>
        </w:rPr>
        <w:t>设置不清晰，不具备可衡量性</w:t>
      </w:r>
      <w:r>
        <w:rPr>
          <w:rFonts w:hint="eastAsia" w:ascii="仿宋_GB2312" w:hAnsi="仿宋_GB2312" w:eastAsia="仿宋_GB2312" w:cs="仿宋_GB2312"/>
          <w:color w:val="auto"/>
          <w:sz w:val="32"/>
          <w:szCs w:val="32"/>
          <w:highlight w:val="none"/>
        </w:rPr>
        <w:t>，资金投入预算编制科学、资金分配合理；在项目过程方面，资金管理</w:t>
      </w:r>
      <w:r>
        <w:rPr>
          <w:rFonts w:hint="eastAsia" w:ascii="仿宋_GB2312" w:hAnsi="仿宋_GB2312" w:eastAsia="仿宋_GB2312" w:cs="仿宋_GB2312"/>
          <w:color w:val="auto"/>
          <w:sz w:val="32"/>
          <w:szCs w:val="32"/>
          <w:highlight w:val="none"/>
          <w:lang w:val="en-US" w:eastAsia="zh-CN"/>
        </w:rPr>
        <w:t>规范</w:t>
      </w:r>
      <w:r>
        <w:rPr>
          <w:rFonts w:hint="eastAsia" w:ascii="仿宋_GB2312" w:hAnsi="仿宋_GB2312" w:eastAsia="仿宋_GB2312" w:cs="仿宋_GB2312"/>
          <w:color w:val="auto"/>
          <w:sz w:val="32"/>
          <w:szCs w:val="32"/>
          <w:highlight w:val="none"/>
        </w:rPr>
        <w:t>，预算执行与计划相符，组织机构健全，资金使用合规；在项目产出方面，产出效果</w:t>
      </w:r>
      <w:r>
        <w:rPr>
          <w:rFonts w:hint="eastAsia" w:ascii="仿宋_GB2312" w:hAnsi="仿宋_GB2312" w:eastAsia="仿宋_GB2312" w:cs="仿宋_GB2312"/>
          <w:color w:val="auto"/>
          <w:sz w:val="32"/>
          <w:szCs w:val="32"/>
          <w:highlight w:val="none"/>
          <w:lang w:val="en-US" w:eastAsia="zh-CN"/>
        </w:rPr>
        <w:t>达到标准</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val="en-US" w:eastAsia="zh-CN"/>
        </w:rPr>
        <w:t>但缺少相关治理成效的支撑资料</w:t>
      </w:r>
      <w:r>
        <w:rPr>
          <w:rFonts w:hint="eastAsia" w:ascii="仿宋_GB2312" w:hAnsi="仿宋_GB2312" w:eastAsia="仿宋_GB2312" w:cs="仿宋_GB2312"/>
          <w:color w:val="auto"/>
          <w:sz w:val="32"/>
          <w:szCs w:val="32"/>
          <w:highlight w:val="none"/>
        </w:rPr>
        <w:t>。</w:t>
      </w:r>
    </w:p>
    <w:p>
      <w:pPr>
        <w:keepNext w:val="0"/>
        <w:keepLines w:val="0"/>
        <w:pageBreakBefore w:val="0"/>
        <w:widowControl w:val="0"/>
        <w:numPr>
          <w:ilvl w:val="1"/>
          <w:numId w:val="0"/>
        </w:numPr>
        <w:tabs>
          <w:tab w:val="left" w:pos="0"/>
        </w:tabs>
        <w:kinsoku/>
        <w:wordWrap/>
        <w:overflowPunct/>
        <w:topLinePunct w:val="0"/>
        <w:bidi w:val="0"/>
        <w:adjustRightInd/>
        <w:snapToGrid/>
        <w:spacing w:line="600" w:lineRule="exact"/>
        <w:ind w:firstLine="640" w:firstLineChars="200"/>
        <w:textAlignment w:val="auto"/>
        <w:outlineLvl w:val="1"/>
        <w:rPr>
          <w:rFonts w:hint="eastAsia" w:ascii="仿宋_GB2312" w:hAnsi="仿宋_GB2312" w:eastAsia="仿宋_GB2312" w:cs="仿宋_GB2312"/>
          <w:color w:val="auto"/>
          <w:kern w:val="2"/>
          <w:sz w:val="32"/>
          <w:szCs w:val="32"/>
          <w:highlight w:val="none"/>
          <w:lang w:val="en-US" w:eastAsia="zh-CN" w:bidi="ar-SA"/>
        </w:rPr>
      </w:pPr>
      <w:bookmarkStart w:id="14" w:name="_Toc1575"/>
      <w:r>
        <w:rPr>
          <w:rFonts w:hint="eastAsia" w:ascii="仿宋_GB2312" w:hAnsi="仿宋_GB2312" w:eastAsia="仿宋_GB2312" w:cs="仿宋_GB2312"/>
          <w:color w:val="auto"/>
          <w:kern w:val="2"/>
          <w:sz w:val="32"/>
          <w:szCs w:val="32"/>
          <w:highlight w:val="none"/>
          <w:lang w:val="en-US" w:eastAsia="zh-CN" w:bidi="ar-SA"/>
        </w:rPr>
        <w:t>（二）项目所实现的主要绩效</w:t>
      </w:r>
      <w:bookmarkEnd w:id="14"/>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2021年度，</w:t>
      </w:r>
      <w:r>
        <w:rPr>
          <w:rFonts w:hint="eastAsia" w:ascii="仿宋_GB2312" w:hAnsi="仿宋_GB2312" w:eastAsia="仿宋_GB2312" w:cs="仿宋_GB2312"/>
          <w:color w:val="auto"/>
          <w:sz w:val="32"/>
          <w:szCs w:val="32"/>
          <w:highlight w:val="none"/>
        </w:rPr>
        <w:t>区运管局共</w:t>
      </w:r>
      <w:r>
        <w:rPr>
          <w:rFonts w:hint="eastAsia" w:ascii="仿宋_GB2312" w:hAnsi="仿宋_GB2312" w:eastAsia="仿宋_GB2312" w:cs="仿宋_GB2312"/>
          <w:color w:val="auto"/>
          <w:sz w:val="32"/>
          <w:szCs w:val="32"/>
          <w:highlight w:val="none"/>
          <w:lang w:val="en-US" w:eastAsia="zh-CN"/>
        </w:rPr>
        <w:t>开展检查次数大于450</w:t>
      </w:r>
      <w:r>
        <w:rPr>
          <w:rFonts w:hint="eastAsia" w:ascii="仿宋_GB2312" w:hAnsi="仿宋_GB2312" w:eastAsia="仿宋_GB2312" w:cs="仿宋_GB2312"/>
          <w:color w:val="auto"/>
          <w:sz w:val="32"/>
          <w:szCs w:val="32"/>
          <w:highlight w:val="none"/>
        </w:rPr>
        <w:t>次，</w:t>
      </w:r>
      <w:r>
        <w:rPr>
          <w:rFonts w:hint="eastAsia" w:ascii="仿宋_GB2312" w:hAnsi="仿宋_GB2312" w:eastAsia="仿宋_GB2312" w:cs="仿宋_GB2312"/>
          <w:color w:val="auto"/>
          <w:sz w:val="32"/>
          <w:szCs w:val="32"/>
          <w:highlight w:val="none"/>
          <w:lang w:val="en-US" w:eastAsia="zh-CN"/>
        </w:rPr>
        <w:t>运营服务评审合格率100%</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val="en-US" w:eastAsia="zh-CN"/>
        </w:rPr>
        <w:t>工作开展时间12个月</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val="en-US" w:eastAsia="zh-CN"/>
        </w:rPr>
        <w:t>执法设备及使用停车场费用99.55万元</w:t>
      </w:r>
      <w:r>
        <w:rPr>
          <w:rFonts w:hint="eastAsia" w:ascii="仿宋_GB2312" w:hAnsi="仿宋_GB2312" w:eastAsia="仿宋_GB2312" w:cs="仿宋_GB2312"/>
          <w:color w:val="auto"/>
          <w:sz w:val="32"/>
          <w:szCs w:val="32"/>
          <w:highlight w:val="none"/>
        </w:rPr>
        <w:t>。为执法工作提供了保障</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保证了</w:t>
      </w:r>
      <w:r>
        <w:rPr>
          <w:rFonts w:hint="eastAsia" w:ascii="仿宋_GB2312" w:hAnsi="仿宋_GB2312" w:eastAsia="仿宋_GB2312" w:cs="仿宋_GB2312"/>
          <w:color w:val="auto"/>
          <w:sz w:val="32"/>
          <w:szCs w:val="32"/>
          <w:highlight w:val="none"/>
          <w:lang w:val="en-US" w:eastAsia="zh-CN"/>
        </w:rPr>
        <w:t>治超工作</w:t>
      </w:r>
      <w:r>
        <w:rPr>
          <w:rFonts w:hint="eastAsia" w:ascii="仿宋_GB2312" w:hAnsi="仿宋_GB2312" w:eastAsia="仿宋_GB2312" w:cs="仿宋_GB2312"/>
          <w:color w:val="auto"/>
          <w:sz w:val="32"/>
          <w:szCs w:val="32"/>
          <w:highlight w:val="none"/>
        </w:rPr>
        <w:t>的正常运行。</w:t>
      </w:r>
    </w:p>
    <w:p>
      <w:pPr>
        <w:pStyle w:val="3"/>
        <w:pageBreakBefore w:val="0"/>
        <w:widowControl w:val="0"/>
        <w:numPr>
          <w:ilvl w:val="0"/>
          <w:numId w:val="2"/>
        </w:numPr>
        <w:kinsoku/>
        <w:wordWrap/>
        <w:overflowPunct/>
        <w:topLinePunct w:val="0"/>
        <w:autoSpaceDE/>
        <w:autoSpaceDN/>
        <w:bidi w:val="0"/>
        <w:adjustRightInd/>
        <w:snapToGrid/>
        <w:spacing w:before="0" w:after="0" w:line="600" w:lineRule="exact"/>
        <w:ind w:firstLine="640" w:firstLineChars="200"/>
        <w:textAlignment w:val="auto"/>
        <w:rPr>
          <w:rFonts w:hint="eastAsia" w:ascii="黑体" w:hAnsi="黑体" w:eastAsia="黑体" w:cs="黑体"/>
          <w:b w:val="0"/>
          <w:bCs/>
          <w:color w:val="auto"/>
          <w:sz w:val="32"/>
          <w:szCs w:val="32"/>
          <w:highlight w:val="none"/>
        </w:rPr>
      </w:pPr>
      <w:bookmarkStart w:id="15" w:name="_Toc583"/>
      <w:r>
        <w:rPr>
          <w:rFonts w:hint="eastAsia" w:ascii="黑体" w:hAnsi="黑体" w:eastAsia="黑体" w:cs="黑体"/>
          <w:b w:val="0"/>
          <w:bCs/>
          <w:color w:val="auto"/>
          <w:sz w:val="32"/>
          <w:szCs w:val="32"/>
          <w:highlight w:val="none"/>
        </w:rPr>
        <w:t>绩效评价指标分析</w:t>
      </w:r>
      <w:bookmarkEnd w:id="15"/>
    </w:p>
    <w:p>
      <w:pPr>
        <w:keepNext w:val="0"/>
        <w:keepLines w:val="0"/>
        <w:pageBreakBefore w:val="0"/>
        <w:widowControl w:val="0"/>
        <w:numPr>
          <w:ilvl w:val="1"/>
          <w:numId w:val="0"/>
        </w:numPr>
        <w:tabs>
          <w:tab w:val="left" w:pos="0"/>
        </w:tabs>
        <w:kinsoku/>
        <w:wordWrap/>
        <w:overflowPunct/>
        <w:topLinePunct w:val="0"/>
        <w:bidi w:val="0"/>
        <w:adjustRightInd/>
        <w:snapToGrid/>
        <w:spacing w:line="600" w:lineRule="exact"/>
        <w:ind w:firstLine="640" w:firstLineChars="200"/>
        <w:textAlignment w:val="auto"/>
        <w:outlineLvl w:val="1"/>
        <w:rPr>
          <w:rFonts w:hint="eastAsia" w:ascii="仿宋_GB2312" w:hAnsi="仿宋_GB2312" w:eastAsia="仿宋_GB2312" w:cs="仿宋_GB2312"/>
          <w:color w:val="auto"/>
          <w:kern w:val="2"/>
          <w:sz w:val="32"/>
          <w:szCs w:val="32"/>
          <w:highlight w:val="none"/>
          <w:lang w:val="en-US" w:eastAsia="zh-CN" w:bidi="ar-SA"/>
        </w:rPr>
      </w:pPr>
      <w:bookmarkStart w:id="16" w:name="_Toc30236"/>
      <w:r>
        <w:rPr>
          <w:rFonts w:hint="eastAsia" w:ascii="仿宋_GB2312" w:hAnsi="仿宋_GB2312" w:eastAsia="仿宋_GB2312" w:cs="仿宋_GB2312"/>
          <w:color w:val="auto"/>
          <w:kern w:val="2"/>
          <w:sz w:val="32"/>
          <w:szCs w:val="32"/>
          <w:highlight w:val="none"/>
          <w:lang w:val="en-US" w:eastAsia="zh-CN" w:bidi="ar-SA"/>
        </w:rPr>
        <w:t>（一）项目决策情况</w:t>
      </w:r>
      <w:bookmarkEnd w:id="16"/>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项目决策下设项目立项、绩效目标、资金投入三大类二级指标，设计总分20分；经评价该项总计得分</w:t>
      </w:r>
      <w:r>
        <w:rPr>
          <w:rFonts w:hint="eastAsia" w:ascii="仿宋_GB2312" w:hAnsi="仿宋_GB2312" w:eastAsia="仿宋_GB2312" w:cs="仿宋_GB2312"/>
          <w:color w:val="auto"/>
          <w:sz w:val="32"/>
          <w:szCs w:val="32"/>
          <w:highlight w:val="none"/>
          <w:lang w:val="en-US" w:eastAsia="zh-CN"/>
        </w:rPr>
        <w:t>18</w:t>
      </w:r>
      <w:r>
        <w:rPr>
          <w:rFonts w:hint="eastAsia" w:ascii="仿宋_GB2312" w:hAnsi="仿宋_GB2312" w:eastAsia="仿宋_GB2312" w:cs="仿宋_GB2312"/>
          <w:color w:val="auto"/>
          <w:sz w:val="32"/>
          <w:szCs w:val="32"/>
          <w:highlight w:val="none"/>
        </w:rPr>
        <w:t>分，具体评价过程和理由分述如下：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1</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项目立项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（1）立项依据充分性</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eastAsia="zh-CN"/>
        </w:rPr>
        <w:t>根据《交通运输部公安部关于治理车辆超限超载联合执法常态化制度化工作的实施意见（试行）》（交公路发〔2017〕173号）和《超限运输车辆行驶公路管理规定》（交通运输部令2016年第62号）</w:t>
      </w:r>
      <w:r>
        <w:rPr>
          <w:rFonts w:hint="eastAsia" w:ascii="仿宋_GB2312" w:hAnsi="仿宋_GB2312" w:eastAsia="仿宋_GB2312" w:cs="仿宋_GB2312"/>
          <w:color w:val="auto"/>
          <w:sz w:val="32"/>
          <w:szCs w:val="32"/>
          <w:highlight w:val="none"/>
        </w:rPr>
        <w:t>相关要求，提出</w:t>
      </w:r>
      <w:r>
        <w:rPr>
          <w:rFonts w:hint="eastAsia" w:ascii="仿宋_GB2312" w:hAnsi="仿宋_GB2312" w:eastAsia="仿宋_GB2312" w:cs="仿宋_GB2312"/>
          <w:color w:val="auto"/>
          <w:sz w:val="32"/>
          <w:szCs w:val="32"/>
          <w:highlight w:val="none"/>
          <w:lang w:eastAsia="zh-CN"/>
        </w:rPr>
        <w:t>北辰区治超卸载点土地租赁及运营服务项目</w:t>
      </w:r>
      <w:r>
        <w:rPr>
          <w:rFonts w:hint="eastAsia" w:ascii="仿宋_GB2312" w:hAnsi="仿宋_GB2312" w:eastAsia="仿宋_GB2312" w:cs="仿宋_GB2312"/>
          <w:color w:val="auto"/>
          <w:sz w:val="32"/>
          <w:szCs w:val="32"/>
          <w:highlight w:val="none"/>
        </w:rPr>
        <w:t>。立项依据明确，符合天津市及上级主管部门的文件要求。计4分。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（2）立项程序规范性</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区运管局根据天津市治理车辆超限超载工作领导小组办公室下达的《关于路面治超流动稽查工作的指导意见》的通知（津治超</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2018</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4号）</w:t>
      </w:r>
      <w:r>
        <w:rPr>
          <w:rFonts w:hint="eastAsia" w:ascii="仿宋_GB2312" w:hAnsi="仿宋_GB2312" w:eastAsia="仿宋_GB2312" w:cs="仿宋_GB2312"/>
          <w:color w:val="auto"/>
          <w:sz w:val="32"/>
          <w:szCs w:val="32"/>
          <w:highlight w:val="none"/>
        </w:rPr>
        <w:t>开展</w:t>
      </w:r>
      <w:r>
        <w:rPr>
          <w:rFonts w:hint="eastAsia" w:ascii="仿宋_GB2312" w:hAnsi="仿宋_GB2312" w:eastAsia="仿宋_GB2312" w:cs="仿宋_GB2312"/>
          <w:color w:val="auto"/>
          <w:sz w:val="32"/>
          <w:szCs w:val="32"/>
          <w:highlight w:val="none"/>
          <w:lang w:eastAsia="zh-CN"/>
        </w:rPr>
        <w:t>北辰区治超卸载点土地租赁及运营服务项目</w:t>
      </w:r>
      <w:r>
        <w:rPr>
          <w:rFonts w:hint="eastAsia" w:ascii="仿宋_GB2312" w:hAnsi="仿宋_GB2312" w:eastAsia="仿宋_GB2312" w:cs="仿宋_GB2312"/>
          <w:color w:val="auto"/>
          <w:sz w:val="32"/>
          <w:szCs w:val="32"/>
          <w:highlight w:val="none"/>
        </w:rPr>
        <w:t>，立项程序规范。计4分。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项目绩效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（1）绩效目标合理性</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该项目设置了绩效目标表，绩效目标合理性</w:t>
      </w:r>
      <w:r>
        <w:rPr>
          <w:rFonts w:hint="eastAsia" w:ascii="仿宋_GB2312" w:hAnsi="仿宋_GB2312" w:eastAsia="仿宋_GB2312" w:cs="仿宋_GB2312"/>
          <w:color w:val="auto"/>
          <w:sz w:val="32"/>
          <w:szCs w:val="32"/>
          <w:highlight w:val="none"/>
          <w:lang w:val="en-US" w:eastAsia="zh-CN"/>
        </w:rPr>
        <w:t>充足</w:t>
      </w:r>
      <w:r>
        <w:rPr>
          <w:rFonts w:hint="eastAsia" w:ascii="仿宋_GB2312" w:hAnsi="仿宋_GB2312" w:eastAsia="仿宋_GB2312" w:cs="仿宋_GB2312"/>
          <w:color w:val="auto"/>
          <w:sz w:val="32"/>
          <w:szCs w:val="32"/>
          <w:highlight w:val="none"/>
        </w:rPr>
        <w:t>。绩效目标表中体现年度实际工作内容，</w:t>
      </w:r>
      <w:r>
        <w:rPr>
          <w:rFonts w:hint="eastAsia" w:ascii="仿宋_GB2312" w:hAnsi="仿宋_GB2312" w:eastAsia="仿宋_GB2312" w:cs="仿宋_GB2312"/>
          <w:color w:val="auto"/>
          <w:sz w:val="32"/>
          <w:szCs w:val="32"/>
          <w:highlight w:val="none"/>
          <w:lang w:val="en-US" w:eastAsia="zh-CN"/>
        </w:rPr>
        <w:t>可</w:t>
      </w:r>
      <w:r>
        <w:rPr>
          <w:rFonts w:hint="eastAsia" w:ascii="仿宋_GB2312" w:hAnsi="仿宋_GB2312" w:eastAsia="仿宋_GB2312" w:cs="仿宋_GB2312"/>
          <w:color w:val="auto"/>
          <w:sz w:val="32"/>
          <w:szCs w:val="32"/>
          <w:highlight w:val="none"/>
        </w:rPr>
        <w:t>判断预算产出效益效果情况。计</w:t>
      </w:r>
      <w:r>
        <w:rPr>
          <w:rFonts w:hint="eastAsia" w:ascii="仿宋_GB2312" w:hAnsi="仿宋_GB2312" w:eastAsia="仿宋_GB2312" w:cs="仿宋_GB2312"/>
          <w:color w:val="auto"/>
          <w:sz w:val="32"/>
          <w:szCs w:val="32"/>
          <w:highlight w:val="none"/>
          <w:lang w:val="en-US" w:eastAsia="zh-CN"/>
        </w:rPr>
        <w:t>3</w:t>
      </w:r>
      <w:r>
        <w:rPr>
          <w:rFonts w:hint="eastAsia" w:ascii="仿宋_GB2312" w:hAnsi="仿宋_GB2312" w:eastAsia="仿宋_GB2312" w:cs="仿宋_GB2312"/>
          <w:color w:val="auto"/>
          <w:sz w:val="32"/>
          <w:szCs w:val="32"/>
          <w:highlight w:val="none"/>
        </w:rPr>
        <w:t>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（2）绩效目标明确性</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未设置</w:t>
      </w:r>
      <w:r>
        <w:rPr>
          <w:rFonts w:hint="eastAsia" w:ascii="仿宋_GB2312" w:hAnsi="仿宋_GB2312" w:eastAsia="仿宋_GB2312" w:cs="仿宋_GB2312"/>
          <w:color w:val="auto"/>
          <w:sz w:val="32"/>
          <w:szCs w:val="32"/>
          <w:highlight w:val="none"/>
          <w:lang w:val="en-US" w:eastAsia="zh-CN"/>
        </w:rPr>
        <w:t>总体绩效目标、社会效益、可持续影响指标</w:t>
      </w:r>
      <w:r>
        <w:rPr>
          <w:rFonts w:hint="eastAsia" w:ascii="仿宋_GB2312" w:hAnsi="仿宋_GB2312" w:eastAsia="仿宋_GB2312" w:cs="仿宋_GB2312"/>
          <w:color w:val="auto"/>
          <w:sz w:val="32"/>
          <w:szCs w:val="32"/>
          <w:highlight w:val="none"/>
        </w:rPr>
        <w:t>，未明确</w:t>
      </w:r>
      <w:r>
        <w:rPr>
          <w:rFonts w:hint="eastAsia" w:ascii="仿宋_GB2312" w:hAnsi="仿宋_GB2312" w:eastAsia="仿宋_GB2312" w:cs="仿宋_GB2312"/>
          <w:color w:val="auto"/>
          <w:sz w:val="32"/>
          <w:szCs w:val="32"/>
          <w:highlight w:val="none"/>
          <w:lang w:val="en-US" w:eastAsia="zh-CN"/>
        </w:rPr>
        <w:t>北辰区</w:t>
      </w:r>
      <w:r>
        <w:rPr>
          <w:rFonts w:hint="eastAsia" w:ascii="仿宋_GB2312" w:hAnsi="仿宋_GB2312" w:eastAsia="仿宋_GB2312" w:cs="仿宋_GB2312"/>
          <w:color w:val="auto"/>
          <w:sz w:val="32"/>
          <w:szCs w:val="32"/>
          <w:highlight w:val="none"/>
        </w:rPr>
        <w:t>20</w:t>
      </w:r>
      <w:r>
        <w:rPr>
          <w:rFonts w:hint="eastAsia" w:ascii="仿宋_GB2312" w:hAnsi="仿宋_GB2312" w:eastAsia="仿宋_GB2312" w:cs="仿宋_GB2312"/>
          <w:color w:val="auto"/>
          <w:sz w:val="32"/>
          <w:szCs w:val="32"/>
          <w:highlight w:val="none"/>
          <w:lang w:val="en-US" w:eastAsia="zh-CN"/>
        </w:rPr>
        <w:t>21</w:t>
      </w:r>
      <w:r>
        <w:rPr>
          <w:rFonts w:hint="eastAsia" w:ascii="仿宋_GB2312" w:hAnsi="仿宋_GB2312" w:eastAsia="仿宋_GB2312" w:cs="仿宋_GB2312"/>
          <w:color w:val="auto"/>
          <w:sz w:val="32"/>
          <w:szCs w:val="32"/>
          <w:highlight w:val="none"/>
        </w:rPr>
        <w:t>年度治超卸载点土地租赁及运营服务内容</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绩效目标设置不清晰，</w:t>
      </w:r>
      <w:r>
        <w:rPr>
          <w:rFonts w:hint="eastAsia" w:ascii="仿宋_GB2312" w:hAnsi="仿宋_GB2312" w:eastAsia="仿宋_GB2312" w:cs="仿宋_GB2312"/>
          <w:color w:val="auto"/>
          <w:sz w:val="32"/>
          <w:szCs w:val="32"/>
          <w:highlight w:val="none"/>
          <w:lang w:val="en-US" w:eastAsia="zh-CN"/>
        </w:rPr>
        <w:t>如质量指标未明确运营服务的具体内容，</w:t>
      </w:r>
      <w:r>
        <w:rPr>
          <w:rFonts w:hint="eastAsia" w:ascii="仿宋_GB2312" w:hAnsi="仿宋_GB2312" w:eastAsia="仿宋_GB2312" w:cs="仿宋_GB2312"/>
          <w:color w:val="auto"/>
          <w:sz w:val="32"/>
          <w:szCs w:val="32"/>
          <w:highlight w:val="none"/>
        </w:rPr>
        <w:t>不具备可衡量性。扣</w:t>
      </w:r>
      <w:r>
        <w:rPr>
          <w:rFonts w:hint="eastAsia" w:ascii="仿宋_GB2312" w:hAnsi="仿宋_GB2312" w:eastAsia="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rPr>
        <w:t>分，计</w:t>
      </w:r>
      <w:r>
        <w:rPr>
          <w:rFonts w:hint="eastAsia" w:ascii="仿宋_GB2312" w:hAnsi="仿宋_GB2312" w:eastAsia="仿宋_GB2312" w:cs="仿宋_GB2312"/>
          <w:color w:val="auto"/>
          <w:sz w:val="32"/>
          <w:szCs w:val="32"/>
          <w:highlight w:val="none"/>
          <w:lang w:val="en-US" w:eastAsia="zh-CN"/>
        </w:rPr>
        <w:t>2</w:t>
      </w:r>
      <w:r>
        <w:rPr>
          <w:rFonts w:hint="eastAsia" w:ascii="仿宋_GB2312" w:hAnsi="仿宋_GB2312" w:eastAsia="仿宋_GB2312" w:cs="仿宋_GB2312"/>
          <w:color w:val="auto"/>
          <w:sz w:val="32"/>
          <w:szCs w:val="32"/>
          <w:highlight w:val="none"/>
        </w:rPr>
        <w:t>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3</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资金投入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（1）预算编制科学性</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该项目预算金额</w:t>
      </w:r>
      <w:r>
        <w:rPr>
          <w:rFonts w:hint="eastAsia" w:ascii="仿宋_GB2312" w:hAnsi="仿宋_GB2312" w:eastAsia="仿宋_GB2312" w:cs="仿宋_GB2312"/>
          <w:color w:val="auto"/>
          <w:sz w:val="32"/>
          <w:szCs w:val="32"/>
          <w:highlight w:val="none"/>
          <w:lang w:val="en-US" w:eastAsia="zh-CN"/>
        </w:rPr>
        <w:t>100</w:t>
      </w:r>
      <w:r>
        <w:rPr>
          <w:rFonts w:hint="eastAsia" w:ascii="仿宋_GB2312" w:hAnsi="仿宋_GB2312" w:eastAsia="仿宋_GB2312" w:cs="仿宋_GB2312"/>
          <w:color w:val="auto"/>
          <w:sz w:val="32"/>
          <w:szCs w:val="32"/>
          <w:highlight w:val="none"/>
        </w:rPr>
        <w:t>.00万元，</w:t>
      </w:r>
      <w:r>
        <w:rPr>
          <w:rFonts w:hint="eastAsia" w:ascii="仿宋_GB2312" w:hAnsi="仿宋_GB2312" w:eastAsia="仿宋_GB2312" w:cs="仿宋_GB2312"/>
          <w:color w:val="auto"/>
          <w:sz w:val="32"/>
          <w:szCs w:val="32"/>
          <w:highlight w:val="none"/>
          <w:lang w:val="en-US" w:eastAsia="zh-CN"/>
        </w:rPr>
        <w:t>其中</w:t>
      </w:r>
      <w:r>
        <w:rPr>
          <w:rFonts w:hint="eastAsia" w:ascii="仿宋_GB2312" w:hAnsi="仿宋_GB2312" w:eastAsia="仿宋_GB2312" w:cs="仿宋_GB2312"/>
          <w:color w:val="auto"/>
          <w:sz w:val="32"/>
          <w:szCs w:val="32"/>
          <w:highlight w:val="none"/>
        </w:rPr>
        <w:t>2021年度治超卸载点土地租赁及运营服务</w:t>
      </w:r>
      <w:r>
        <w:rPr>
          <w:rFonts w:hint="eastAsia" w:ascii="仿宋_GB2312" w:hAnsi="仿宋_GB2312" w:eastAsia="仿宋_GB2312" w:cs="仿宋_GB2312"/>
          <w:color w:val="auto"/>
          <w:sz w:val="32"/>
          <w:szCs w:val="32"/>
          <w:highlight w:val="none"/>
          <w:lang w:val="en-US" w:eastAsia="zh-CN"/>
        </w:rPr>
        <w:t>99.55万元，经区运管局部门预算申报，取得北辰区财政局</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val="en-US" w:eastAsia="zh-CN"/>
        </w:rPr>
        <w:t>关于下达2021年部门预算批复的通知</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但未明确</w:t>
      </w:r>
      <w:r>
        <w:rPr>
          <w:rFonts w:hint="eastAsia" w:ascii="仿宋_GB2312" w:hAnsi="仿宋_GB2312" w:eastAsia="仿宋_GB2312" w:cs="仿宋_GB2312"/>
          <w:color w:val="auto"/>
          <w:sz w:val="32"/>
          <w:szCs w:val="32"/>
          <w:highlight w:val="none"/>
        </w:rPr>
        <w:t>每项费用</w:t>
      </w:r>
      <w:r>
        <w:rPr>
          <w:rFonts w:hint="eastAsia" w:ascii="仿宋_GB2312" w:hAnsi="仿宋_GB2312" w:eastAsia="仿宋_GB2312" w:cs="仿宋_GB2312"/>
          <w:color w:val="auto"/>
          <w:sz w:val="32"/>
          <w:szCs w:val="32"/>
          <w:highlight w:val="none"/>
          <w:lang w:val="en-US" w:eastAsia="zh-CN"/>
        </w:rPr>
        <w:t>的</w:t>
      </w:r>
      <w:r>
        <w:rPr>
          <w:rFonts w:hint="eastAsia" w:ascii="仿宋_GB2312" w:hAnsi="仿宋_GB2312" w:eastAsia="仿宋_GB2312" w:cs="仿宋_GB2312"/>
          <w:color w:val="auto"/>
          <w:sz w:val="32"/>
          <w:szCs w:val="32"/>
          <w:highlight w:val="none"/>
        </w:rPr>
        <w:t>构成。</w:t>
      </w:r>
      <w:r>
        <w:rPr>
          <w:rFonts w:hint="eastAsia" w:ascii="仿宋_GB2312" w:hAnsi="仿宋_GB2312" w:eastAsia="仿宋_GB2312" w:cs="仿宋_GB2312"/>
          <w:color w:val="auto"/>
          <w:sz w:val="32"/>
          <w:szCs w:val="32"/>
          <w:highlight w:val="none"/>
          <w:lang w:val="en-US" w:eastAsia="zh-CN"/>
        </w:rPr>
        <w:t>扣1分，</w:t>
      </w:r>
      <w:r>
        <w:rPr>
          <w:rFonts w:hint="eastAsia" w:ascii="仿宋_GB2312" w:hAnsi="仿宋_GB2312" w:eastAsia="仿宋_GB2312" w:cs="仿宋_GB2312"/>
          <w:color w:val="auto"/>
          <w:sz w:val="32"/>
          <w:szCs w:val="32"/>
          <w:highlight w:val="none"/>
        </w:rPr>
        <w:t>计</w:t>
      </w:r>
      <w:r>
        <w:rPr>
          <w:rFonts w:hint="eastAsia" w:ascii="仿宋_GB2312" w:hAnsi="仿宋_GB2312" w:eastAsia="仿宋_GB2312" w:cs="仿宋_GB2312"/>
          <w:color w:val="auto"/>
          <w:sz w:val="32"/>
          <w:szCs w:val="32"/>
          <w:highlight w:val="none"/>
          <w:lang w:val="en-US" w:eastAsia="zh-CN"/>
        </w:rPr>
        <w:t>2</w:t>
      </w:r>
      <w:r>
        <w:rPr>
          <w:rFonts w:hint="eastAsia" w:ascii="仿宋_GB2312" w:hAnsi="仿宋_GB2312" w:eastAsia="仿宋_GB2312" w:cs="仿宋_GB2312"/>
          <w:color w:val="auto"/>
          <w:sz w:val="32"/>
          <w:szCs w:val="32"/>
          <w:highlight w:val="none"/>
        </w:rPr>
        <w:t>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（2）资金分配合理性</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在项目执行过程中，</w:t>
      </w:r>
      <w:r>
        <w:rPr>
          <w:rFonts w:hint="eastAsia" w:ascii="仿宋_GB2312" w:hAnsi="仿宋_GB2312" w:eastAsia="仿宋_GB2312" w:cs="仿宋_GB2312"/>
          <w:color w:val="auto"/>
          <w:sz w:val="32"/>
          <w:szCs w:val="32"/>
          <w:highlight w:val="none"/>
          <w:lang w:eastAsia="zh-CN"/>
        </w:rPr>
        <w:t>区</w:t>
      </w:r>
      <w:r>
        <w:rPr>
          <w:rFonts w:hint="eastAsia" w:ascii="仿宋_GB2312" w:hAnsi="仿宋_GB2312" w:eastAsia="仿宋_GB2312" w:cs="仿宋_GB2312"/>
          <w:color w:val="auto"/>
          <w:sz w:val="32"/>
          <w:szCs w:val="32"/>
          <w:highlight w:val="none"/>
          <w:lang w:val="en-US" w:eastAsia="zh-CN"/>
        </w:rPr>
        <w:t>运管局</w:t>
      </w:r>
      <w:r>
        <w:rPr>
          <w:rFonts w:hint="eastAsia" w:ascii="仿宋_GB2312" w:hAnsi="仿宋_GB2312" w:eastAsia="仿宋_GB2312" w:cs="仿宋_GB2312"/>
          <w:color w:val="auto"/>
          <w:sz w:val="32"/>
          <w:szCs w:val="32"/>
          <w:highlight w:val="none"/>
        </w:rPr>
        <w:t>通过</w:t>
      </w:r>
      <w:r>
        <w:rPr>
          <w:rFonts w:hint="eastAsia" w:ascii="仿宋_GB2312" w:hAnsi="仿宋_GB2312" w:eastAsia="仿宋_GB2312" w:cs="仿宋_GB2312"/>
          <w:color w:val="auto"/>
          <w:sz w:val="32"/>
          <w:szCs w:val="32"/>
          <w:highlight w:val="none"/>
          <w:lang w:val="en-US" w:eastAsia="zh-CN"/>
        </w:rPr>
        <w:t>政府采购</w:t>
      </w:r>
      <w:r>
        <w:rPr>
          <w:rFonts w:hint="eastAsia" w:ascii="仿宋_GB2312" w:hAnsi="仿宋_GB2312" w:eastAsia="仿宋_GB2312" w:cs="仿宋_GB2312"/>
          <w:color w:val="auto"/>
          <w:sz w:val="32"/>
          <w:szCs w:val="32"/>
          <w:highlight w:val="none"/>
        </w:rPr>
        <w:t>的方式遴选第三方技术单位提供专业服务保障，合同中标金额</w:t>
      </w:r>
      <w:r>
        <w:rPr>
          <w:rFonts w:hint="eastAsia" w:ascii="仿宋_GB2312" w:hAnsi="仿宋_GB2312" w:eastAsia="仿宋_GB2312" w:cs="仿宋_GB2312"/>
          <w:color w:val="auto"/>
          <w:sz w:val="32"/>
          <w:szCs w:val="32"/>
          <w:highlight w:val="none"/>
          <w:lang w:val="en-US" w:eastAsia="zh-CN"/>
        </w:rPr>
        <w:t>99</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val="en-US" w:eastAsia="zh-CN"/>
        </w:rPr>
        <w:t>8</w:t>
      </w:r>
      <w:r>
        <w:rPr>
          <w:rFonts w:hint="eastAsia" w:ascii="仿宋_GB2312" w:hAnsi="仿宋_GB2312" w:eastAsia="仿宋_GB2312" w:cs="仿宋_GB2312"/>
          <w:color w:val="auto"/>
          <w:sz w:val="32"/>
          <w:szCs w:val="32"/>
          <w:highlight w:val="none"/>
        </w:rPr>
        <w:t>0万元，在执行过程中节约了预算资金。资金预算具备合理性。计3分。</w:t>
      </w:r>
    </w:p>
    <w:p>
      <w:pPr>
        <w:keepNext w:val="0"/>
        <w:keepLines w:val="0"/>
        <w:pageBreakBefore w:val="0"/>
        <w:widowControl w:val="0"/>
        <w:numPr>
          <w:ilvl w:val="1"/>
          <w:numId w:val="0"/>
        </w:numPr>
        <w:tabs>
          <w:tab w:val="left" w:pos="0"/>
        </w:tabs>
        <w:kinsoku/>
        <w:wordWrap/>
        <w:overflowPunct/>
        <w:topLinePunct w:val="0"/>
        <w:bidi w:val="0"/>
        <w:adjustRightInd/>
        <w:snapToGrid/>
        <w:spacing w:line="600" w:lineRule="exact"/>
        <w:ind w:firstLine="640" w:firstLineChars="200"/>
        <w:textAlignment w:val="auto"/>
        <w:outlineLvl w:val="1"/>
        <w:rPr>
          <w:rFonts w:hint="eastAsia" w:ascii="仿宋_GB2312" w:hAnsi="仿宋_GB2312" w:eastAsia="仿宋_GB2312" w:cs="仿宋_GB2312"/>
          <w:color w:val="auto"/>
          <w:kern w:val="2"/>
          <w:sz w:val="32"/>
          <w:szCs w:val="32"/>
          <w:highlight w:val="none"/>
          <w:lang w:val="en-US" w:eastAsia="zh-CN" w:bidi="ar-SA"/>
        </w:rPr>
      </w:pPr>
      <w:bookmarkStart w:id="17" w:name="_Toc23477"/>
      <w:r>
        <w:rPr>
          <w:rFonts w:hint="eastAsia" w:ascii="仿宋_GB2312" w:hAnsi="仿宋_GB2312" w:eastAsia="仿宋_GB2312" w:cs="仿宋_GB2312"/>
          <w:color w:val="auto"/>
          <w:kern w:val="2"/>
          <w:sz w:val="32"/>
          <w:szCs w:val="32"/>
          <w:highlight w:val="none"/>
          <w:lang w:val="en-US" w:eastAsia="zh-CN" w:bidi="ar-SA"/>
        </w:rPr>
        <w:t>（二）项目过程情况</w:t>
      </w:r>
      <w:bookmarkEnd w:id="17"/>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项目过程下设资金管理、组织实施两大类二级指标，设计总分25分；经评价，该项总计得分2</w:t>
      </w:r>
      <w:r>
        <w:rPr>
          <w:rFonts w:hint="eastAsia" w:ascii="仿宋_GB2312" w:hAnsi="仿宋_GB2312" w:eastAsia="仿宋_GB2312" w:cs="仿宋_GB2312"/>
          <w:color w:val="auto"/>
          <w:sz w:val="32"/>
          <w:szCs w:val="32"/>
          <w:highlight w:val="none"/>
          <w:lang w:val="en-US" w:eastAsia="zh-CN"/>
        </w:rPr>
        <w:t>4</w:t>
      </w:r>
      <w:r>
        <w:rPr>
          <w:rFonts w:hint="eastAsia" w:ascii="仿宋_GB2312" w:hAnsi="仿宋_GB2312" w:eastAsia="仿宋_GB2312" w:cs="仿宋_GB2312"/>
          <w:color w:val="auto"/>
          <w:sz w:val="32"/>
          <w:szCs w:val="32"/>
          <w:highlight w:val="none"/>
        </w:rPr>
        <w:t>分，具体评价过程和理由分述如下：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1</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资金管理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（1）资金到位率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该项目预算金额为1</w:t>
      </w:r>
      <w:r>
        <w:rPr>
          <w:rFonts w:hint="eastAsia" w:ascii="仿宋_GB2312" w:hAnsi="仿宋_GB2312" w:eastAsia="仿宋_GB2312" w:cs="仿宋_GB2312"/>
          <w:color w:val="auto"/>
          <w:sz w:val="32"/>
          <w:szCs w:val="32"/>
          <w:highlight w:val="none"/>
          <w:lang w:val="en-US" w:eastAsia="zh-CN"/>
        </w:rPr>
        <w:t>00</w:t>
      </w:r>
      <w:r>
        <w:rPr>
          <w:rFonts w:hint="eastAsia" w:ascii="仿宋_GB2312" w:hAnsi="仿宋_GB2312" w:eastAsia="仿宋_GB2312" w:cs="仿宋_GB2312"/>
          <w:color w:val="auto"/>
          <w:sz w:val="32"/>
          <w:szCs w:val="32"/>
          <w:highlight w:val="none"/>
        </w:rPr>
        <w:t>.00万元，执行过程中通过</w:t>
      </w:r>
      <w:r>
        <w:rPr>
          <w:rFonts w:hint="eastAsia" w:ascii="仿宋_GB2312" w:hAnsi="仿宋_GB2312" w:eastAsia="仿宋_GB2312" w:cs="仿宋_GB2312"/>
          <w:color w:val="auto"/>
          <w:sz w:val="32"/>
          <w:szCs w:val="32"/>
          <w:highlight w:val="none"/>
          <w:lang w:val="en-US" w:eastAsia="zh-CN"/>
        </w:rPr>
        <w:t>政府采购</w:t>
      </w:r>
      <w:r>
        <w:rPr>
          <w:rFonts w:hint="eastAsia" w:ascii="仿宋_GB2312" w:hAnsi="仿宋_GB2312" w:eastAsia="仿宋_GB2312" w:cs="仿宋_GB2312"/>
          <w:color w:val="auto"/>
          <w:sz w:val="32"/>
          <w:szCs w:val="32"/>
          <w:highlight w:val="none"/>
        </w:rPr>
        <w:t>与天津市北辰区明忆鑫劳务服务中心签订了《</w:t>
      </w:r>
      <w:r>
        <w:rPr>
          <w:rFonts w:hint="eastAsia" w:ascii="仿宋_GB2312" w:hAnsi="仿宋_GB2312" w:eastAsia="仿宋_GB2312" w:cs="仿宋_GB2312"/>
          <w:color w:val="auto"/>
          <w:sz w:val="32"/>
          <w:szCs w:val="32"/>
          <w:highlight w:val="none"/>
          <w:lang w:eastAsia="zh-CN"/>
        </w:rPr>
        <w:t>北辰区治超卸载点土地租赁及运营服务项目</w:t>
      </w:r>
      <w:r>
        <w:rPr>
          <w:rFonts w:hint="eastAsia" w:ascii="仿宋_GB2312" w:hAnsi="仿宋_GB2312" w:eastAsia="仿宋_GB2312" w:cs="仿宋_GB2312"/>
          <w:color w:val="auto"/>
          <w:sz w:val="32"/>
          <w:szCs w:val="32"/>
          <w:highlight w:val="none"/>
        </w:rPr>
        <w:t>服务合同》，合同金额</w:t>
      </w:r>
      <w:r>
        <w:rPr>
          <w:rFonts w:hint="eastAsia" w:ascii="仿宋_GB2312" w:hAnsi="仿宋_GB2312" w:eastAsia="仿宋_GB2312" w:cs="仿宋_GB2312"/>
          <w:color w:val="auto"/>
          <w:sz w:val="32"/>
          <w:szCs w:val="32"/>
          <w:highlight w:val="none"/>
          <w:lang w:val="en-US" w:eastAsia="zh-CN"/>
        </w:rPr>
        <w:t>99</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val="en-US" w:eastAsia="zh-CN"/>
        </w:rPr>
        <w:t>8</w:t>
      </w:r>
      <w:r>
        <w:rPr>
          <w:rFonts w:hint="eastAsia" w:ascii="仿宋_GB2312" w:hAnsi="仿宋_GB2312" w:eastAsia="仿宋_GB2312" w:cs="仿宋_GB2312"/>
          <w:color w:val="auto"/>
          <w:sz w:val="32"/>
          <w:szCs w:val="32"/>
          <w:highlight w:val="none"/>
        </w:rPr>
        <w:t>0万元</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涉及北辰区2021年度治超卸载点土地租赁及运营服务项目专项资金金额99.55万元</w:t>
      </w:r>
      <w:r>
        <w:rPr>
          <w:rFonts w:hint="eastAsia" w:ascii="仿宋_GB2312" w:hAnsi="仿宋_GB2312" w:eastAsia="仿宋_GB2312" w:cs="仿宋_GB2312"/>
          <w:color w:val="auto"/>
          <w:sz w:val="32"/>
          <w:szCs w:val="32"/>
          <w:highlight w:val="none"/>
        </w:rPr>
        <w:t>，实际到位金额</w:t>
      </w:r>
      <w:r>
        <w:rPr>
          <w:rFonts w:hint="eastAsia" w:ascii="仿宋_GB2312" w:hAnsi="仿宋_GB2312" w:eastAsia="仿宋_GB2312" w:cs="仿宋_GB2312"/>
          <w:color w:val="auto"/>
          <w:sz w:val="32"/>
          <w:szCs w:val="32"/>
          <w:highlight w:val="none"/>
          <w:lang w:val="en-US" w:eastAsia="zh-CN"/>
        </w:rPr>
        <w:t>99.55</w:t>
      </w:r>
      <w:r>
        <w:rPr>
          <w:rFonts w:hint="eastAsia" w:ascii="仿宋_GB2312" w:hAnsi="仿宋_GB2312" w:eastAsia="仿宋_GB2312" w:cs="仿宋_GB2312"/>
          <w:color w:val="auto"/>
          <w:sz w:val="32"/>
          <w:szCs w:val="32"/>
          <w:highlight w:val="none"/>
        </w:rPr>
        <w:t>万元，资金到位率为</w:t>
      </w:r>
      <w:r>
        <w:rPr>
          <w:rFonts w:hint="eastAsia" w:ascii="仿宋_GB2312" w:hAnsi="仿宋_GB2312" w:eastAsia="仿宋_GB2312" w:cs="仿宋_GB2312"/>
          <w:color w:val="auto"/>
          <w:sz w:val="32"/>
          <w:szCs w:val="32"/>
          <w:highlight w:val="none"/>
          <w:lang w:val="en-US" w:eastAsia="zh-CN"/>
        </w:rPr>
        <w:t>99.55</w:t>
      </w:r>
      <w:r>
        <w:rPr>
          <w:rFonts w:hint="eastAsia" w:ascii="仿宋_GB2312" w:hAnsi="仿宋_GB2312" w:eastAsia="仿宋_GB2312" w:cs="仿宋_GB2312"/>
          <w:color w:val="auto"/>
          <w:sz w:val="32"/>
          <w:szCs w:val="32"/>
          <w:highlight w:val="none"/>
        </w:rPr>
        <w:t>%。计5分。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（2）项目预算执行率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截至202</w:t>
      </w:r>
      <w:r>
        <w:rPr>
          <w:rFonts w:hint="eastAsia" w:ascii="仿宋_GB2312" w:hAnsi="仿宋_GB2312" w:eastAsia="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rPr>
        <w:t>年12月31日，实际支付金额为</w:t>
      </w:r>
      <w:r>
        <w:rPr>
          <w:rFonts w:hint="eastAsia" w:ascii="仿宋_GB2312" w:hAnsi="仿宋_GB2312" w:eastAsia="仿宋_GB2312" w:cs="仿宋_GB2312"/>
          <w:color w:val="auto"/>
          <w:sz w:val="32"/>
          <w:szCs w:val="32"/>
          <w:highlight w:val="none"/>
          <w:lang w:val="en-US" w:eastAsia="zh-CN"/>
        </w:rPr>
        <w:t>99</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val="en-US" w:eastAsia="zh-CN"/>
        </w:rPr>
        <w:t>55</w:t>
      </w:r>
      <w:r>
        <w:rPr>
          <w:rFonts w:hint="eastAsia" w:ascii="仿宋_GB2312" w:hAnsi="仿宋_GB2312" w:eastAsia="仿宋_GB2312" w:cs="仿宋_GB2312"/>
          <w:color w:val="auto"/>
          <w:sz w:val="32"/>
          <w:szCs w:val="32"/>
          <w:highlight w:val="none"/>
        </w:rPr>
        <w:t>万元，预算执行率100%。计5分。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（3）资金使用合规性</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经检查《</w:t>
      </w:r>
      <w:r>
        <w:rPr>
          <w:rFonts w:hint="eastAsia" w:ascii="仿宋_GB2312" w:hAnsi="仿宋_GB2312" w:eastAsia="仿宋_GB2312" w:cs="仿宋_GB2312"/>
          <w:color w:val="auto"/>
          <w:sz w:val="32"/>
          <w:szCs w:val="32"/>
          <w:highlight w:val="none"/>
          <w:lang w:eastAsia="zh-CN"/>
        </w:rPr>
        <w:t>北辰区治超卸载点土地租赁及运营服务项目</w:t>
      </w:r>
      <w:r>
        <w:rPr>
          <w:rFonts w:hint="eastAsia" w:ascii="仿宋_GB2312" w:hAnsi="仿宋_GB2312" w:eastAsia="仿宋_GB2312" w:cs="仿宋_GB2312"/>
          <w:color w:val="auto"/>
          <w:sz w:val="32"/>
          <w:szCs w:val="32"/>
          <w:highlight w:val="none"/>
        </w:rPr>
        <w:t>服务合同》以及</w:t>
      </w:r>
      <w:r>
        <w:rPr>
          <w:rFonts w:hint="eastAsia" w:ascii="仿宋_GB2312" w:hAnsi="仿宋_GB2312" w:eastAsia="仿宋_GB2312" w:cs="仿宋_GB2312"/>
          <w:color w:val="auto"/>
          <w:sz w:val="32"/>
          <w:szCs w:val="32"/>
          <w:highlight w:val="none"/>
          <w:lang w:eastAsia="zh-CN"/>
        </w:rPr>
        <w:t>区</w:t>
      </w:r>
      <w:r>
        <w:rPr>
          <w:rFonts w:hint="eastAsia" w:ascii="仿宋_GB2312" w:hAnsi="仿宋_GB2312" w:eastAsia="仿宋_GB2312" w:cs="仿宋_GB2312"/>
          <w:color w:val="auto"/>
          <w:sz w:val="32"/>
          <w:szCs w:val="32"/>
          <w:highlight w:val="none"/>
          <w:lang w:val="en-US" w:eastAsia="zh-CN"/>
        </w:rPr>
        <w:t>运管局</w:t>
      </w:r>
      <w:r>
        <w:rPr>
          <w:rFonts w:hint="eastAsia" w:ascii="仿宋_GB2312" w:hAnsi="仿宋_GB2312" w:eastAsia="仿宋_GB2312" w:cs="仿宋_GB2312"/>
          <w:color w:val="auto"/>
          <w:sz w:val="32"/>
          <w:szCs w:val="32"/>
          <w:highlight w:val="none"/>
        </w:rPr>
        <w:t>财务资料，款项支付均附有发票，发票抬头规范，金额与财务记账金额一致，未发现违规挤占、挪用补助资金的情况，</w:t>
      </w:r>
      <w:r>
        <w:rPr>
          <w:rFonts w:hint="eastAsia" w:ascii="仿宋_GB2312" w:hAnsi="仿宋_GB2312" w:eastAsia="仿宋_GB2312" w:cs="仿宋_GB2312"/>
          <w:color w:val="auto"/>
          <w:sz w:val="32"/>
          <w:szCs w:val="32"/>
          <w:highlight w:val="none"/>
          <w:lang w:val="en-US" w:eastAsia="zh-CN"/>
        </w:rPr>
        <w:t>但合同中规定的工作内容及方式不明确</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val="en-US" w:eastAsia="zh-CN"/>
        </w:rPr>
        <w:t>扣1分，</w:t>
      </w:r>
      <w:r>
        <w:rPr>
          <w:rFonts w:hint="eastAsia" w:ascii="仿宋_GB2312" w:hAnsi="仿宋_GB2312" w:eastAsia="仿宋_GB2312" w:cs="仿宋_GB2312"/>
          <w:color w:val="auto"/>
          <w:sz w:val="32"/>
          <w:szCs w:val="32"/>
          <w:highlight w:val="none"/>
        </w:rPr>
        <w:t>计</w:t>
      </w:r>
      <w:r>
        <w:rPr>
          <w:rFonts w:hint="eastAsia" w:ascii="仿宋_GB2312" w:hAnsi="仿宋_GB2312" w:eastAsia="仿宋_GB2312" w:cs="仿宋_GB2312"/>
          <w:color w:val="auto"/>
          <w:sz w:val="32"/>
          <w:szCs w:val="32"/>
          <w:highlight w:val="none"/>
          <w:lang w:val="en-US" w:eastAsia="zh-CN"/>
        </w:rPr>
        <w:t>4</w:t>
      </w:r>
      <w:r>
        <w:rPr>
          <w:rFonts w:hint="eastAsia" w:ascii="仿宋_GB2312" w:hAnsi="仿宋_GB2312" w:eastAsia="仿宋_GB2312" w:cs="仿宋_GB2312"/>
          <w:color w:val="auto"/>
          <w:sz w:val="32"/>
          <w:szCs w:val="32"/>
          <w:highlight w:val="none"/>
        </w:rPr>
        <w:t>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组织实施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（1）管理制度的健全性</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eastAsia="zh-CN"/>
        </w:rPr>
        <w:t>区</w:t>
      </w:r>
      <w:r>
        <w:rPr>
          <w:rFonts w:hint="eastAsia" w:ascii="仿宋_GB2312" w:hAnsi="仿宋_GB2312" w:eastAsia="仿宋_GB2312" w:cs="仿宋_GB2312"/>
          <w:color w:val="auto"/>
          <w:sz w:val="32"/>
          <w:szCs w:val="32"/>
          <w:highlight w:val="none"/>
          <w:lang w:val="en-US" w:eastAsia="zh-CN"/>
        </w:rPr>
        <w:t>运管局</w:t>
      </w:r>
      <w:r>
        <w:rPr>
          <w:rFonts w:hint="eastAsia" w:ascii="仿宋_GB2312" w:hAnsi="仿宋_GB2312" w:eastAsia="仿宋_GB2312" w:cs="仿宋_GB2312"/>
          <w:color w:val="auto"/>
          <w:sz w:val="32"/>
          <w:szCs w:val="32"/>
          <w:highlight w:val="none"/>
        </w:rPr>
        <w:t>提供了《天津市北辰区交通运输管理局内部控制管理手册》</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关于印发〈</w:t>
      </w:r>
      <w:r>
        <w:rPr>
          <w:rFonts w:hint="eastAsia" w:ascii="仿宋_GB2312" w:hAnsi="仿宋_GB2312" w:eastAsia="仿宋_GB2312" w:cs="仿宋_GB2312"/>
          <w:color w:val="auto"/>
          <w:sz w:val="32"/>
          <w:szCs w:val="32"/>
          <w:highlight w:val="none"/>
        </w:rPr>
        <w:t>北辰区</w:t>
      </w:r>
      <w:r>
        <w:rPr>
          <w:rFonts w:hint="eastAsia" w:ascii="仿宋_GB2312" w:hAnsi="仿宋_GB2312" w:eastAsia="仿宋_GB2312" w:cs="仿宋_GB2312"/>
          <w:color w:val="auto"/>
          <w:sz w:val="32"/>
          <w:szCs w:val="32"/>
          <w:highlight w:val="none"/>
          <w:lang w:val="en-US" w:eastAsia="zh-CN"/>
        </w:rPr>
        <w:t>超限检测站（点）设施养护管理工作细则（试行）〉的通知</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和</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关于印发〈</w:t>
      </w:r>
      <w:r>
        <w:rPr>
          <w:rFonts w:hint="eastAsia" w:ascii="仿宋_GB2312" w:hAnsi="仿宋_GB2312" w:eastAsia="仿宋_GB2312" w:cs="仿宋_GB2312"/>
          <w:color w:val="auto"/>
          <w:sz w:val="32"/>
          <w:szCs w:val="32"/>
          <w:highlight w:val="none"/>
        </w:rPr>
        <w:t>北辰区</w:t>
      </w:r>
      <w:r>
        <w:rPr>
          <w:rFonts w:hint="eastAsia" w:ascii="仿宋_GB2312" w:hAnsi="仿宋_GB2312" w:eastAsia="仿宋_GB2312" w:cs="仿宋_GB2312"/>
          <w:color w:val="auto"/>
          <w:sz w:val="32"/>
          <w:szCs w:val="32"/>
          <w:highlight w:val="none"/>
          <w:lang w:val="en-US" w:eastAsia="zh-CN"/>
        </w:rPr>
        <w:t>公路治超临时装卸点管理办法（试行）〉的通知</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，明确了治超卸载点土地租赁及运营服务</w:t>
      </w:r>
      <w:r>
        <w:rPr>
          <w:rFonts w:hint="eastAsia" w:ascii="仿宋_GB2312" w:hAnsi="仿宋_GB2312" w:eastAsia="仿宋_GB2312" w:cs="仿宋_GB2312"/>
          <w:color w:val="auto"/>
          <w:sz w:val="32"/>
          <w:szCs w:val="32"/>
          <w:highlight w:val="none"/>
          <w:lang w:val="en-US" w:eastAsia="zh-CN"/>
        </w:rPr>
        <w:t>项目超限检测站设施、临时卸载点设施养护管理工作细则和北辰区公路治超临时卸载点管理办法，管理制度较为健全</w:t>
      </w:r>
      <w:r>
        <w:rPr>
          <w:rFonts w:hint="eastAsia" w:ascii="仿宋_GB2312" w:hAnsi="仿宋_GB2312" w:eastAsia="仿宋_GB2312" w:cs="仿宋_GB2312"/>
          <w:color w:val="auto"/>
          <w:sz w:val="32"/>
          <w:szCs w:val="32"/>
          <w:highlight w:val="none"/>
        </w:rPr>
        <w:t>。计</w:t>
      </w:r>
      <w:r>
        <w:rPr>
          <w:rFonts w:hint="eastAsia" w:ascii="仿宋_GB2312" w:hAnsi="仿宋_GB2312" w:eastAsia="仿宋_GB2312" w:cs="仿宋_GB2312"/>
          <w:color w:val="auto"/>
          <w:sz w:val="32"/>
          <w:szCs w:val="32"/>
          <w:highlight w:val="none"/>
          <w:lang w:val="en-US" w:eastAsia="zh-CN"/>
        </w:rPr>
        <w:t>5</w:t>
      </w:r>
      <w:r>
        <w:rPr>
          <w:rFonts w:hint="eastAsia" w:ascii="仿宋_GB2312" w:hAnsi="仿宋_GB2312" w:eastAsia="仿宋_GB2312" w:cs="仿宋_GB2312"/>
          <w:color w:val="auto"/>
          <w:sz w:val="32"/>
          <w:szCs w:val="32"/>
          <w:highlight w:val="none"/>
        </w:rPr>
        <w:t>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（2）制度执行有效性</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eastAsia="zh-CN"/>
        </w:rPr>
        <w:t>区</w:t>
      </w:r>
      <w:r>
        <w:rPr>
          <w:rFonts w:hint="eastAsia" w:ascii="仿宋_GB2312" w:hAnsi="仿宋_GB2312" w:eastAsia="仿宋_GB2312" w:cs="仿宋_GB2312"/>
          <w:color w:val="auto"/>
          <w:sz w:val="32"/>
          <w:szCs w:val="32"/>
          <w:highlight w:val="none"/>
          <w:lang w:val="en-US" w:eastAsia="zh-CN"/>
        </w:rPr>
        <w:t>运管局</w:t>
      </w:r>
      <w:r>
        <w:rPr>
          <w:rFonts w:hint="eastAsia" w:ascii="仿宋_GB2312" w:hAnsi="仿宋_GB2312" w:eastAsia="仿宋_GB2312" w:cs="仿宋_GB2312"/>
          <w:color w:val="auto"/>
          <w:sz w:val="32"/>
          <w:szCs w:val="32"/>
          <w:highlight w:val="none"/>
        </w:rPr>
        <w:t>通过</w:t>
      </w:r>
      <w:r>
        <w:rPr>
          <w:rFonts w:hint="eastAsia" w:ascii="仿宋_GB2312" w:hAnsi="仿宋_GB2312" w:eastAsia="仿宋_GB2312" w:cs="仿宋_GB2312"/>
          <w:color w:val="auto"/>
          <w:sz w:val="32"/>
          <w:szCs w:val="32"/>
          <w:highlight w:val="none"/>
          <w:lang w:val="en-US" w:eastAsia="zh-CN"/>
        </w:rPr>
        <w:t>政府采购</w:t>
      </w:r>
      <w:r>
        <w:rPr>
          <w:rFonts w:hint="eastAsia" w:ascii="仿宋_GB2312" w:hAnsi="仿宋_GB2312" w:eastAsia="仿宋_GB2312" w:cs="仿宋_GB2312"/>
          <w:color w:val="auto"/>
          <w:sz w:val="32"/>
          <w:szCs w:val="32"/>
          <w:highlight w:val="none"/>
        </w:rPr>
        <w:t>购买服务的方式依托第三方技术单位服务保障</w:t>
      </w:r>
      <w:r>
        <w:rPr>
          <w:rFonts w:hint="eastAsia" w:ascii="仿宋_GB2312" w:hAnsi="仿宋_GB2312" w:eastAsia="仿宋_GB2312" w:cs="仿宋_GB2312"/>
          <w:color w:val="auto"/>
          <w:sz w:val="32"/>
          <w:szCs w:val="32"/>
          <w:highlight w:val="none"/>
          <w:lang w:val="en-US" w:eastAsia="zh-CN"/>
        </w:rPr>
        <w:t>治超</w:t>
      </w:r>
      <w:r>
        <w:rPr>
          <w:rFonts w:hint="eastAsia" w:ascii="仿宋_GB2312" w:hAnsi="仿宋_GB2312" w:eastAsia="仿宋_GB2312" w:cs="仿宋_GB2312"/>
          <w:color w:val="auto"/>
          <w:sz w:val="32"/>
          <w:szCs w:val="32"/>
          <w:highlight w:val="none"/>
        </w:rPr>
        <w:t>工作，20</w:t>
      </w:r>
      <w:r>
        <w:rPr>
          <w:rFonts w:hint="eastAsia" w:ascii="仿宋_GB2312" w:hAnsi="仿宋_GB2312" w:eastAsia="仿宋_GB2312" w:cs="仿宋_GB2312"/>
          <w:color w:val="auto"/>
          <w:sz w:val="32"/>
          <w:szCs w:val="32"/>
          <w:highlight w:val="none"/>
          <w:lang w:val="en-US" w:eastAsia="zh-CN"/>
        </w:rPr>
        <w:t>20</w:t>
      </w:r>
      <w:r>
        <w:rPr>
          <w:rFonts w:hint="eastAsia" w:ascii="仿宋_GB2312" w:hAnsi="仿宋_GB2312" w:eastAsia="仿宋_GB2312" w:cs="仿宋_GB2312"/>
          <w:color w:val="auto"/>
          <w:sz w:val="32"/>
          <w:szCs w:val="32"/>
          <w:highlight w:val="none"/>
        </w:rPr>
        <w:t>年</w:t>
      </w:r>
      <w:r>
        <w:rPr>
          <w:rFonts w:hint="eastAsia" w:ascii="仿宋_GB2312" w:hAnsi="仿宋_GB2312" w:eastAsia="仿宋_GB2312" w:cs="仿宋_GB2312"/>
          <w:color w:val="auto"/>
          <w:sz w:val="32"/>
          <w:szCs w:val="32"/>
          <w:highlight w:val="none"/>
          <w:lang w:val="en-US" w:eastAsia="zh-CN"/>
        </w:rPr>
        <w:t>4月和2021年4月，</w:t>
      </w:r>
      <w:r>
        <w:rPr>
          <w:rFonts w:hint="eastAsia" w:ascii="仿宋_GB2312" w:hAnsi="仿宋_GB2312" w:eastAsia="仿宋_GB2312" w:cs="仿宋_GB2312"/>
          <w:color w:val="auto"/>
          <w:sz w:val="32"/>
          <w:szCs w:val="32"/>
          <w:highlight w:val="none"/>
          <w:lang w:eastAsia="zh-CN"/>
        </w:rPr>
        <w:t>区</w:t>
      </w:r>
      <w:r>
        <w:rPr>
          <w:rFonts w:hint="eastAsia" w:ascii="仿宋_GB2312" w:hAnsi="仿宋_GB2312" w:eastAsia="仿宋_GB2312" w:cs="仿宋_GB2312"/>
          <w:color w:val="auto"/>
          <w:sz w:val="32"/>
          <w:szCs w:val="32"/>
          <w:highlight w:val="none"/>
          <w:lang w:val="en-US" w:eastAsia="zh-CN"/>
        </w:rPr>
        <w:t>运管局</w:t>
      </w:r>
      <w:r>
        <w:rPr>
          <w:rFonts w:hint="eastAsia" w:ascii="仿宋_GB2312" w:hAnsi="仿宋_GB2312" w:eastAsia="仿宋_GB2312" w:cs="仿宋_GB2312"/>
          <w:color w:val="auto"/>
          <w:sz w:val="32"/>
          <w:szCs w:val="32"/>
          <w:highlight w:val="none"/>
        </w:rPr>
        <w:t>与天津市北辰区明忆鑫劳务服务中心签订了《</w:t>
      </w:r>
      <w:r>
        <w:rPr>
          <w:rFonts w:hint="eastAsia" w:ascii="仿宋_GB2312" w:hAnsi="仿宋_GB2312" w:eastAsia="仿宋_GB2312" w:cs="仿宋_GB2312"/>
          <w:color w:val="auto"/>
          <w:sz w:val="32"/>
          <w:szCs w:val="32"/>
          <w:highlight w:val="none"/>
          <w:lang w:eastAsia="zh-CN"/>
        </w:rPr>
        <w:t>北辰区治超卸载点土地租赁及运营服务项目》</w:t>
      </w:r>
      <w:r>
        <w:rPr>
          <w:rFonts w:hint="eastAsia" w:ascii="仿宋_GB2312" w:hAnsi="仿宋_GB2312" w:eastAsia="仿宋_GB2312" w:cs="仿宋_GB2312"/>
          <w:color w:val="auto"/>
          <w:sz w:val="32"/>
          <w:szCs w:val="32"/>
          <w:highlight w:val="none"/>
          <w:lang w:val="en-US" w:eastAsia="zh-CN"/>
        </w:rPr>
        <w:t>服务</w:t>
      </w:r>
      <w:r>
        <w:rPr>
          <w:rFonts w:hint="eastAsia" w:ascii="仿宋_GB2312" w:hAnsi="仿宋_GB2312" w:eastAsia="仿宋_GB2312" w:cs="仿宋_GB2312"/>
          <w:color w:val="auto"/>
          <w:sz w:val="32"/>
          <w:szCs w:val="32"/>
          <w:highlight w:val="none"/>
        </w:rPr>
        <w:t>合同，该项目</w:t>
      </w:r>
      <w:r>
        <w:rPr>
          <w:rFonts w:hint="eastAsia" w:ascii="仿宋_GB2312" w:hAnsi="仿宋_GB2312" w:eastAsia="仿宋_GB2312" w:cs="仿宋_GB2312"/>
          <w:color w:val="auto"/>
          <w:sz w:val="32"/>
          <w:szCs w:val="32"/>
          <w:highlight w:val="none"/>
          <w:lang w:val="en-US" w:eastAsia="zh-CN"/>
        </w:rPr>
        <w:t>政府采购</w:t>
      </w:r>
      <w:r>
        <w:rPr>
          <w:rFonts w:hint="eastAsia" w:ascii="仿宋_GB2312" w:hAnsi="仿宋_GB2312" w:eastAsia="仿宋_GB2312" w:cs="仿宋_GB2312"/>
          <w:color w:val="auto"/>
          <w:sz w:val="32"/>
          <w:szCs w:val="32"/>
          <w:highlight w:val="none"/>
        </w:rPr>
        <w:t>、资金管理、费用支出等事项均按照单位内控要求执行</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并</w:t>
      </w:r>
      <w:r>
        <w:rPr>
          <w:rFonts w:hint="eastAsia" w:ascii="仿宋_GB2312" w:hAnsi="仿宋_GB2312" w:eastAsia="仿宋_GB2312" w:cs="仿宋_GB2312"/>
          <w:color w:val="auto"/>
          <w:sz w:val="32"/>
          <w:szCs w:val="32"/>
          <w:highlight w:val="none"/>
        </w:rPr>
        <w:t>获得该项目在执行过程中详细记录。计</w:t>
      </w:r>
      <w:r>
        <w:rPr>
          <w:rFonts w:hint="eastAsia" w:ascii="仿宋_GB2312" w:hAnsi="仿宋_GB2312" w:eastAsia="仿宋_GB2312" w:cs="仿宋_GB2312"/>
          <w:color w:val="auto"/>
          <w:sz w:val="32"/>
          <w:szCs w:val="32"/>
          <w:highlight w:val="none"/>
          <w:lang w:val="en-US" w:eastAsia="zh-CN"/>
        </w:rPr>
        <w:t>5</w:t>
      </w:r>
      <w:r>
        <w:rPr>
          <w:rFonts w:hint="eastAsia" w:ascii="仿宋_GB2312" w:hAnsi="仿宋_GB2312" w:eastAsia="仿宋_GB2312" w:cs="仿宋_GB2312"/>
          <w:color w:val="auto"/>
          <w:sz w:val="32"/>
          <w:szCs w:val="32"/>
          <w:highlight w:val="none"/>
        </w:rPr>
        <w:t>分。</w:t>
      </w:r>
    </w:p>
    <w:p>
      <w:pPr>
        <w:keepNext w:val="0"/>
        <w:keepLines w:val="0"/>
        <w:pageBreakBefore w:val="0"/>
        <w:widowControl w:val="0"/>
        <w:numPr>
          <w:ilvl w:val="1"/>
          <w:numId w:val="0"/>
        </w:numPr>
        <w:tabs>
          <w:tab w:val="left" w:pos="0"/>
        </w:tabs>
        <w:kinsoku/>
        <w:wordWrap/>
        <w:overflowPunct/>
        <w:topLinePunct w:val="0"/>
        <w:bidi w:val="0"/>
        <w:adjustRightInd/>
        <w:snapToGrid/>
        <w:spacing w:line="600" w:lineRule="exact"/>
        <w:ind w:firstLine="640" w:firstLineChars="200"/>
        <w:textAlignment w:val="auto"/>
        <w:outlineLvl w:val="1"/>
        <w:rPr>
          <w:rFonts w:hint="eastAsia" w:ascii="仿宋_GB2312" w:hAnsi="仿宋_GB2312" w:eastAsia="仿宋_GB2312" w:cs="仿宋_GB2312"/>
          <w:color w:val="auto"/>
          <w:kern w:val="2"/>
          <w:sz w:val="32"/>
          <w:szCs w:val="32"/>
          <w:highlight w:val="none"/>
          <w:lang w:val="en-US" w:eastAsia="zh-CN" w:bidi="ar-SA"/>
        </w:rPr>
      </w:pPr>
      <w:bookmarkStart w:id="18" w:name="_Toc14994"/>
      <w:r>
        <w:rPr>
          <w:rFonts w:hint="eastAsia" w:ascii="仿宋_GB2312" w:hAnsi="仿宋_GB2312" w:eastAsia="仿宋_GB2312" w:cs="仿宋_GB2312"/>
          <w:color w:val="auto"/>
          <w:kern w:val="2"/>
          <w:sz w:val="32"/>
          <w:szCs w:val="32"/>
          <w:highlight w:val="none"/>
          <w:lang w:val="en-US" w:eastAsia="zh-CN" w:bidi="ar-SA"/>
        </w:rPr>
        <w:t>（三）项目产出情况</w:t>
      </w:r>
      <w:bookmarkEnd w:id="18"/>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highlight w:val="none"/>
        </w:rPr>
      </w:pPr>
      <w:bookmarkStart w:id="19" w:name="OLE_LINK48"/>
      <w:r>
        <w:rPr>
          <w:rFonts w:hint="eastAsia" w:ascii="仿宋_GB2312" w:hAnsi="仿宋_GB2312" w:eastAsia="仿宋_GB2312" w:cs="仿宋_GB2312"/>
          <w:color w:val="auto"/>
          <w:sz w:val="32"/>
          <w:szCs w:val="32"/>
          <w:highlight w:val="none"/>
        </w:rPr>
        <w:t>项目产出下设产出数量、产出质量、产出时效、产出成本四大类二级指标，设计总分30分；经评价，该项总计得分</w:t>
      </w:r>
      <w:r>
        <w:rPr>
          <w:rFonts w:hint="eastAsia" w:ascii="仿宋_GB2312" w:hAnsi="仿宋_GB2312" w:eastAsia="仿宋_GB2312" w:cs="仿宋_GB2312"/>
          <w:color w:val="auto"/>
          <w:sz w:val="32"/>
          <w:szCs w:val="32"/>
          <w:highlight w:val="none"/>
          <w:lang w:val="en-US" w:eastAsia="zh-CN"/>
        </w:rPr>
        <w:t>29</w:t>
      </w:r>
      <w:r>
        <w:rPr>
          <w:rFonts w:hint="eastAsia" w:ascii="仿宋_GB2312" w:hAnsi="仿宋_GB2312" w:eastAsia="仿宋_GB2312" w:cs="仿宋_GB2312"/>
          <w:color w:val="auto"/>
          <w:sz w:val="32"/>
          <w:szCs w:val="32"/>
          <w:highlight w:val="none"/>
        </w:rPr>
        <w:t>分，具体评价过程和理由分述如下：</w:t>
      </w:r>
      <w:bookmarkEnd w:id="19"/>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1</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产出数量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《治超卸载点土地租赁及运营服务项目支出绩效自评报告》</w:t>
      </w:r>
      <w:r>
        <w:rPr>
          <w:rFonts w:hint="eastAsia" w:ascii="仿宋_GB2312" w:hAnsi="仿宋_GB2312" w:eastAsia="仿宋_GB2312" w:cs="仿宋_GB2312"/>
          <w:color w:val="auto"/>
          <w:sz w:val="32"/>
          <w:szCs w:val="32"/>
          <w:highlight w:val="none"/>
          <w:lang w:val="en-US" w:eastAsia="zh-CN"/>
        </w:rPr>
        <w:t>显示，2021年度共</w:t>
      </w:r>
      <w:r>
        <w:rPr>
          <w:rFonts w:hint="eastAsia" w:ascii="仿宋_GB2312" w:hAnsi="仿宋_GB2312" w:eastAsia="仿宋_GB2312" w:cs="仿宋_GB2312"/>
          <w:color w:val="auto"/>
          <w:sz w:val="32"/>
          <w:szCs w:val="32"/>
          <w:highlight w:val="none"/>
        </w:rPr>
        <w:t>完成</w:t>
      </w:r>
      <w:r>
        <w:rPr>
          <w:rFonts w:hint="eastAsia" w:ascii="仿宋_GB2312" w:hAnsi="仿宋_GB2312" w:eastAsia="仿宋_GB2312" w:cs="仿宋_GB2312"/>
          <w:color w:val="auto"/>
          <w:sz w:val="32"/>
          <w:szCs w:val="32"/>
          <w:highlight w:val="none"/>
          <w:lang w:val="en-US" w:eastAsia="zh-CN"/>
        </w:rPr>
        <w:t>开展检查次数大于450次，</w:t>
      </w:r>
      <w:r>
        <w:rPr>
          <w:rFonts w:hint="eastAsia" w:ascii="仿宋_GB2312" w:hAnsi="仿宋_GB2312" w:eastAsia="仿宋_GB2312" w:cs="仿宋_GB2312"/>
          <w:color w:val="auto"/>
          <w:sz w:val="32"/>
          <w:szCs w:val="32"/>
          <w:highlight w:val="none"/>
        </w:rPr>
        <w:t>完成年初预设目标。计</w:t>
      </w:r>
      <w:r>
        <w:rPr>
          <w:rFonts w:hint="eastAsia" w:ascii="仿宋_GB2312" w:hAnsi="仿宋_GB2312" w:eastAsia="仿宋_GB2312" w:cs="仿宋_GB2312"/>
          <w:color w:val="auto"/>
          <w:sz w:val="32"/>
          <w:szCs w:val="32"/>
          <w:highlight w:val="none"/>
          <w:lang w:val="en-US" w:eastAsia="zh-CN"/>
        </w:rPr>
        <w:t>10</w:t>
      </w:r>
      <w:r>
        <w:rPr>
          <w:rFonts w:hint="eastAsia" w:ascii="仿宋_GB2312" w:hAnsi="仿宋_GB2312" w:eastAsia="仿宋_GB2312" w:cs="仿宋_GB2312"/>
          <w:color w:val="auto"/>
          <w:sz w:val="32"/>
          <w:szCs w:val="32"/>
          <w:highlight w:val="none"/>
        </w:rPr>
        <w:t>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产出质量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该项目具体服务由天津市北辰区明忆鑫劳务服务中心提供，根据治超卸载点土地租赁及运营服务项目自评表运营服务评审合格率100%，并结合提供的2021年南麻疸临时装卸点服务满意度评价，但</w:t>
      </w:r>
      <w:r>
        <w:rPr>
          <w:rFonts w:hint="eastAsia" w:ascii="仿宋_GB2312" w:hAnsi="仿宋_GB2312" w:eastAsia="仿宋_GB2312" w:cs="仿宋_GB2312"/>
          <w:color w:val="auto"/>
          <w:sz w:val="32"/>
          <w:szCs w:val="32"/>
          <w:highlight w:val="none"/>
          <w:lang w:val="en-US" w:eastAsia="zh-CN"/>
        </w:rPr>
        <w:t>缺少验收记录，缺少区运管局对服务单位服务事项的考核记录</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扣1分，</w:t>
      </w:r>
      <w:r>
        <w:rPr>
          <w:rFonts w:hint="eastAsia" w:ascii="仿宋_GB2312" w:hAnsi="仿宋_GB2312" w:eastAsia="仿宋_GB2312" w:cs="仿宋_GB2312"/>
          <w:color w:val="auto"/>
          <w:sz w:val="32"/>
          <w:szCs w:val="32"/>
          <w:highlight w:val="none"/>
        </w:rPr>
        <w:t>计</w:t>
      </w:r>
      <w:r>
        <w:rPr>
          <w:rFonts w:hint="eastAsia" w:ascii="仿宋_GB2312" w:hAnsi="仿宋_GB2312" w:eastAsia="仿宋_GB2312" w:cs="仿宋_GB2312"/>
          <w:color w:val="auto"/>
          <w:sz w:val="32"/>
          <w:szCs w:val="32"/>
          <w:highlight w:val="none"/>
          <w:lang w:val="en-US" w:eastAsia="zh-CN"/>
        </w:rPr>
        <w:t>9</w:t>
      </w:r>
      <w:r>
        <w:rPr>
          <w:rFonts w:hint="eastAsia" w:ascii="仿宋_GB2312" w:hAnsi="仿宋_GB2312" w:eastAsia="仿宋_GB2312" w:cs="仿宋_GB2312"/>
          <w:color w:val="auto"/>
          <w:sz w:val="32"/>
          <w:szCs w:val="32"/>
          <w:highlight w:val="none"/>
        </w:rPr>
        <w:t>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3</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产出时效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eastAsia="zh-CN"/>
        </w:rPr>
        <w:t>区</w:t>
      </w:r>
      <w:r>
        <w:rPr>
          <w:rFonts w:hint="eastAsia" w:ascii="仿宋_GB2312" w:hAnsi="仿宋_GB2312" w:eastAsia="仿宋_GB2312" w:cs="仿宋_GB2312"/>
          <w:color w:val="auto"/>
          <w:sz w:val="32"/>
          <w:szCs w:val="32"/>
          <w:highlight w:val="none"/>
          <w:lang w:val="en-US" w:eastAsia="zh-CN"/>
        </w:rPr>
        <w:t>运管局分别于2020年4月和2021年4月</w:t>
      </w:r>
      <w:r>
        <w:rPr>
          <w:rFonts w:hint="eastAsia" w:ascii="仿宋_GB2312" w:hAnsi="仿宋_GB2312" w:eastAsia="仿宋_GB2312" w:cs="仿宋_GB2312"/>
          <w:color w:val="auto"/>
          <w:sz w:val="32"/>
          <w:szCs w:val="32"/>
          <w:highlight w:val="none"/>
        </w:rPr>
        <w:t>与天津市北辰区明忆鑫劳务服务中心签订了《</w:t>
      </w:r>
      <w:r>
        <w:rPr>
          <w:rFonts w:hint="eastAsia" w:ascii="仿宋_GB2312" w:hAnsi="仿宋_GB2312" w:eastAsia="仿宋_GB2312" w:cs="仿宋_GB2312"/>
          <w:color w:val="auto"/>
          <w:sz w:val="32"/>
          <w:szCs w:val="32"/>
          <w:highlight w:val="none"/>
          <w:lang w:eastAsia="zh-CN"/>
        </w:rPr>
        <w:t>北辰区治超卸载点土地租赁及运营服务项目</w:t>
      </w:r>
      <w:r>
        <w:rPr>
          <w:rFonts w:hint="eastAsia" w:ascii="仿宋_GB2312" w:hAnsi="仿宋_GB2312" w:eastAsia="仿宋_GB2312" w:cs="仿宋_GB2312"/>
          <w:color w:val="auto"/>
          <w:sz w:val="32"/>
          <w:szCs w:val="32"/>
          <w:highlight w:val="none"/>
        </w:rPr>
        <w:t>服务合同》。天津市北辰区明忆鑫劳务服务中心依据合同服务期限</w:t>
      </w:r>
      <w:r>
        <w:rPr>
          <w:rFonts w:hint="eastAsia" w:ascii="仿宋_GB2312" w:hAnsi="仿宋_GB2312" w:eastAsia="仿宋_GB2312" w:cs="仿宋_GB2312"/>
          <w:color w:val="auto"/>
          <w:sz w:val="32"/>
          <w:szCs w:val="32"/>
          <w:highlight w:val="none"/>
          <w:lang w:val="en-US" w:eastAsia="zh-CN"/>
        </w:rPr>
        <w:t>履行</w:t>
      </w:r>
      <w:r>
        <w:rPr>
          <w:rFonts w:hint="eastAsia" w:ascii="仿宋_GB2312" w:hAnsi="仿宋_GB2312" w:eastAsia="仿宋_GB2312" w:cs="仿宋_GB2312"/>
          <w:color w:val="auto"/>
          <w:sz w:val="32"/>
          <w:szCs w:val="32"/>
          <w:highlight w:val="none"/>
        </w:rPr>
        <w:t>治超卸载点土地租赁及运营服务项目服务</w:t>
      </w:r>
      <w:r>
        <w:rPr>
          <w:rFonts w:hint="eastAsia" w:ascii="仿宋_GB2312" w:hAnsi="仿宋_GB2312" w:eastAsia="仿宋_GB2312" w:cs="仿宋_GB2312"/>
          <w:color w:val="auto"/>
          <w:sz w:val="32"/>
          <w:szCs w:val="32"/>
          <w:highlight w:val="none"/>
          <w:lang w:val="en-US" w:eastAsia="zh-CN"/>
        </w:rPr>
        <w:t>工作内容</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val="en-US" w:eastAsia="zh-CN"/>
        </w:rPr>
        <w:t>工作开展时间符合要求</w:t>
      </w:r>
      <w:r>
        <w:rPr>
          <w:rFonts w:hint="eastAsia" w:ascii="仿宋_GB2312" w:hAnsi="仿宋_GB2312" w:eastAsia="仿宋_GB2312" w:cs="仿宋_GB2312"/>
          <w:color w:val="auto"/>
          <w:sz w:val="32"/>
          <w:szCs w:val="32"/>
          <w:highlight w:val="none"/>
        </w:rPr>
        <w:t>。计</w:t>
      </w:r>
      <w:r>
        <w:rPr>
          <w:rFonts w:hint="eastAsia" w:ascii="仿宋_GB2312" w:hAnsi="仿宋_GB2312" w:eastAsia="仿宋_GB2312" w:cs="仿宋_GB2312"/>
          <w:color w:val="auto"/>
          <w:sz w:val="32"/>
          <w:szCs w:val="32"/>
          <w:highlight w:val="none"/>
          <w:lang w:val="en-US" w:eastAsia="zh-CN"/>
        </w:rPr>
        <w:t>5</w:t>
      </w:r>
      <w:r>
        <w:rPr>
          <w:rFonts w:hint="eastAsia" w:ascii="仿宋_GB2312" w:hAnsi="仿宋_GB2312" w:eastAsia="仿宋_GB2312" w:cs="仿宋_GB2312"/>
          <w:color w:val="auto"/>
          <w:sz w:val="32"/>
          <w:szCs w:val="32"/>
          <w:highlight w:val="none"/>
        </w:rPr>
        <w:t>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4、产出成本</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 xml:space="preserve"> 202</w:t>
      </w:r>
      <w:r>
        <w:rPr>
          <w:rFonts w:hint="eastAsia" w:ascii="仿宋_GB2312" w:hAnsi="仿宋_GB2312" w:eastAsia="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rPr>
        <w:t>年治超卸载点土地租赁及运营服务费用预算资金</w:t>
      </w:r>
      <w:r>
        <w:rPr>
          <w:rFonts w:hint="eastAsia" w:ascii="仿宋_GB2312" w:hAnsi="仿宋_GB2312" w:eastAsia="仿宋_GB2312" w:cs="仿宋_GB2312"/>
          <w:color w:val="auto"/>
          <w:sz w:val="32"/>
          <w:szCs w:val="32"/>
          <w:highlight w:val="none"/>
          <w:lang w:val="en-US" w:eastAsia="zh-CN"/>
        </w:rPr>
        <w:t>100</w:t>
      </w:r>
      <w:r>
        <w:rPr>
          <w:rFonts w:hint="eastAsia" w:ascii="仿宋_GB2312" w:hAnsi="仿宋_GB2312" w:eastAsia="仿宋_GB2312" w:cs="仿宋_GB2312"/>
          <w:color w:val="auto"/>
          <w:sz w:val="32"/>
          <w:szCs w:val="32"/>
          <w:highlight w:val="none"/>
        </w:rPr>
        <w:t>.00万元，实际合同签署金额</w:t>
      </w:r>
      <w:r>
        <w:rPr>
          <w:rFonts w:hint="eastAsia" w:ascii="仿宋_GB2312" w:hAnsi="仿宋_GB2312" w:eastAsia="仿宋_GB2312" w:cs="仿宋_GB2312"/>
          <w:color w:val="auto"/>
          <w:sz w:val="32"/>
          <w:szCs w:val="32"/>
          <w:highlight w:val="none"/>
          <w:lang w:val="en-US" w:eastAsia="zh-CN"/>
        </w:rPr>
        <w:t>99.8</w:t>
      </w:r>
      <w:r>
        <w:rPr>
          <w:rFonts w:hint="eastAsia" w:ascii="仿宋_GB2312" w:hAnsi="仿宋_GB2312" w:eastAsia="仿宋_GB2312" w:cs="仿宋_GB2312"/>
          <w:color w:val="auto"/>
          <w:sz w:val="32"/>
          <w:szCs w:val="32"/>
          <w:highlight w:val="none"/>
        </w:rPr>
        <w:t>万元，</w:t>
      </w:r>
      <w:r>
        <w:rPr>
          <w:rFonts w:hint="eastAsia" w:ascii="仿宋_GB2312" w:hAnsi="仿宋_GB2312" w:eastAsia="仿宋_GB2312" w:cs="仿宋_GB2312"/>
          <w:color w:val="auto"/>
          <w:sz w:val="32"/>
          <w:szCs w:val="32"/>
          <w:highlight w:val="none"/>
          <w:lang w:val="en-US" w:eastAsia="zh-CN"/>
        </w:rPr>
        <w:t>2021年度共支出治超卸载点土地租赁及运营服务项目专项资金99.55万元，</w:t>
      </w:r>
      <w:r>
        <w:rPr>
          <w:rFonts w:hint="eastAsia" w:ascii="仿宋_GB2312" w:hAnsi="仿宋_GB2312" w:eastAsia="仿宋_GB2312" w:cs="仿宋_GB2312"/>
          <w:color w:val="auto"/>
          <w:sz w:val="32"/>
          <w:szCs w:val="32"/>
          <w:highlight w:val="none"/>
        </w:rPr>
        <w:t>成本节约</w:t>
      </w:r>
      <w:r>
        <w:rPr>
          <w:rFonts w:hint="eastAsia" w:ascii="仿宋_GB2312" w:hAnsi="仿宋_GB2312" w:eastAsia="仿宋_GB2312" w:cs="仿宋_GB2312"/>
          <w:color w:val="auto"/>
          <w:sz w:val="32"/>
          <w:szCs w:val="32"/>
          <w:highlight w:val="none"/>
          <w:lang w:val="en-US" w:eastAsia="zh-CN"/>
        </w:rPr>
        <w:t>0.45</w:t>
      </w:r>
      <w:r>
        <w:rPr>
          <w:rFonts w:hint="eastAsia" w:ascii="仿宋_GB2312" w:hAnsi="仿宋_GB2312" w:eastAsia="仿宋_GB2312" w:cs="仿宋_GB2312"/>
          <w:color w:val="auto"/>
          <w:sz w:val="32"/>
          <w:szCs w:val="32"/>
          <w:highlight w:val="none"/>
        </w:rPr>
        <w:t>万元，成本</w:t>
      </w:r>
      <w:r>
        <w:rPr>
          <w:rFonts w:hint="eastAsia" w:ascii="仿宋_GB2312" w:hAnsi="仿宋_GB2312" w:eastAsia="仿宋_GB2312" w:cs="仿宋_GB2312"/>
          <w:color w:val="auto"/>
          <w:sz w:val="32"/>
          <w:szCs w:val="32"/>
          <w:highlight w:val="none"/>
          <w:lang w:val="en-US" w:eastAsia="zh-CN"/>
        </w:rPr>
        <w:t>支出完成</w:t>
      </w:r>
      <w:r>
        <w:rPr>
          <w:rFonts w:hint="eastAsia" w:ascii="仿宋_GB2312" w:hAnsi="仿宋_GB2312" w:eastAsia="仿宋_GB2312" w:cs="仿宋_GB2312"/>
          <w:color w:val="auto"/>
          <w:sz w:val="32"/>
          <w:szCs w:val="32"/>
          <w:highlight w:val="none"/>
        </w:rPr>
        <w:t>率</w:t>
      </w:r>
      <w:r>
        <w:rPr>
          <w:rFonts w:hint="eastAsia" w:ascii="仿宋_GB2312" w:hAnsi="仿宋_GB2312" w:eastAsia="仿宋_GB2312" w:cs="仿宋_GB2312"/>
          <w:color w:val="auto"/>
          <w:sz w:val="32"/>
          <w:szCs w:val="32"/>
          <w:highlight w:val="none"/>
          <w:lang w:val="en-US" w:eastAsia="zh-CN"/>
        </w:rPr>
        <w:t>99.55%。</w:t>
      </w:r>
      <w:r>
        <w:rPr>
          <w:rFonts w:hint="eastAsia" w:ascii="仿宋_GB2312" w:hAnsi="仿宋_GB2312" w:eastAsia="仿宋_GB2312" w:cs="仿宋_GB2312"/>
          <w:color w:val="auto"/>
          <w:sz w:val="32"/>
          <w:szCs w:val="32"/>
          <w:highlight w:val="none"/>
        </w:rPr>
        <w:t>计</w:t>
      </w:r>
      <w:r>
        <w:rPr>
          <w:rFonts w:hint="eastAsia" w:ascii="仿宋_GB2312" w:hAnsi="仿宋_GB2312" w:eastAsia="仿宋_GB2312" w:cs="仿宋_GB2312"/>
          <w:color w:val="auto"/>
          <w:sz w:val="32"/>
          <w:szCs w:val="32"/>
          <w:highlight w:val="none"/>
          <w:lang w:val="en-US" w:eastAsia="zh-CN"/>
        </w:rPr>
        <w:t>5</w:t>
      </w:r>
      <w:r>
        <w:rPr>
          <w:rFonts w:hint="eastAsia" w:ascii="仿宋_GB2312" w:hAnsi="仿宋_GB2312" w:eastAsia="仿宋_GB2312" w:cs="仿宋_GB2312"/>
          <w:color w:val="auto"/>
          <w:sz w:val="32"/>
          <w:szCs w:val="32"/>
          <w:highlight w:val="none"/>
        </w:rPr>
        <w:t>分。</w:t>
      </w:r>
    </w:p>
    <w:p>
      <w:pPr>
        <w:keepNext w:val="0"/>
        <w:keepLines w:val="0"/>
        <w:pageBreakBefore w:val="0"/>
        <w:widowControl w:val="0"/>
        <w:numPr>
          <w:ilvl w:val="1"/>
          <w:numId w:val="0"/>
        </w:numPr>
        <w:tabs>
          <w:tab w:val="left" w:pos="0"/>
        </w:tabs>
        <w:kinsoku/>
        <w:wordWrap/>
        <w:overflowPunct/>
        <w:topLinePunct w:val="0"/>
        <w:bidi w:val="0"/>
        <w:adjustRightInd/>
        <w:snapToGrid/>
        <w:spacing w:line="600" w:lineRule="exact"/>
        <w:ind w:firstLine="640" w:firstLineChars="200"/>
        <w:textAlignment w:val="auto"/>
        <w:outlineLvl w:val="1"/>
        <w:rPr>
          <w:rFonts w:hint="eastAsia" w:ascii="仿宋_GB2312" w:hAnsi="仿宋_GB2312" w:eastAsia="仿宋_GB2312" w:cs="仿宋_GB2312"/>
          <w:color w:val="auto"/>
          <w:kern w:val="2"/>
          <w:sz w:val="32"/>
          <w:szCs w:val="32"/>
          <w:highlight w:val="none"/>
          <w:lang w:val="en-US" w:eastAsia="zh-CN" w:bidi="ar-SA"/>
        </w:rPr>
      </w:pPr>
      <w:bookmarkStart w:id="20" w:name="_Toc13873"/>
      <w:r>
        <w:rPr>
          <w:rFonts w:hint="eastAsia" w:ascii="仿宋_GB2312" w:hAnsi="仿宋_GB2312" w:eastAsia="仿宋_GB2312" w:cs="仿宋_GB2312"/>
          <w:color w:val="auto"/>
          <w:kern w:val="2"/>
          <w:sz w:val="32"/>
          <w:szCs w:val="32"/>
          <w:highlight w:val="none"/>
          <w:lang w:val="en-US" w:eastAsia="zh-CN" w:bidi="ar-SA"/>
        </w:rPr>
        <w:t>（四）项目绩效情况</w:t>
      </w:r>
      <w:bookmarkEnd w:id="20"/>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highlight w:val="none"/>
        </w:rPr>
      </w:pPr>
      <w:bookmarkStart w:id="21" w:name="OLE_LINK52"/>
      <w:bookmarkStart w:id="22" w:name="OLE_LINK45"/>
      <w:r>
        <w:rPr>
          <w:rFonts w:hint="eastAsia" w:ascii="仿宋_GB2312" w:hAnsi="仿宋_GB2312" w:eastAsia="仿宋_GB2312" w:cs="仿宋_GB2312"/>
          <w:color w:val="auto"/>
          <w:sz w:val="32"/>
          <w:szCs w:val="32"/>
          <w:highlight w:val="none"/>
        </w:rPr>
        <w:t>项目绩效下设社会绩效、可持续影响指标、满意度</w:t>
      </w:r>
      <w:r>
        <w:rPr>
          <w:rFonts w:hint="eastAsia" w:ascii="仿宋_GB2312" w:hAnsi="仿宋_GB2312" w:eastAsia="仿宋_GB2312" w:cs="仿宋_GB2312"/>
          <w:color w:val="auto"/>
          <w:sz w:val="32"/>
          <w:szCs w:val="32"/>
          <w:highlight w:val="none"/>
          <w:lang w:val="en-US" w:eastAsia="zh-CN"/>
        </w:rPr>
        <w:t>三</w:t>
      </w:r>
      <w:r>
        <w:rPr>
          <w:rFonts w:hint="eastAsia" w:ascii="仿宋_GB2312" w:hAnsi="仿宋_GB2312" w:eastAsia="仿宋_GB2312" w:cs="仿宋_GB2312"/>
          <w:color w:val="auto"/>
          <w:sz w:val="32"/>
          <w:szCs w:val="32"/>
          <w:highlight w:val="none"/>
        </w:rPr>
        <w:t>个</w:t>
      </w:r>
      <w:r>
        <w:rPr>
          <w:rFonts w:hint="eastAsia" w:ascii="仿宋_GB2312" w:hAnsi="仿宋_GB2312" w:eastAsia="仿宋_GB2312" w:cs="仿宋_GB2312"/>
          <w:color w:val="auto"/>
          <w:sz w:val="32"/>
          <w:szCs w:val="32"/>
          <w:highlight w:val="none"/>
          <w:lang w:val="en-US" w:eastAsia="zh-CN"/>
        </w:rPr>
        <w:t>二</w:t>
      </w:r>
      <w:r>
        <w:rPr>
          <w:rFonts w:hint="eastAsia" w:ascii="仿宋_GB2312" w:hAnsi="仿宋_GB2312" w:eastAsia="仿宋_GB2312" w:cs="仿宋_GB2312"/>
          <w:color w:val="auto"/>
          <w:sz w:val="32"/>
          <w:szCs w:val="32"/>
          <w:highlight w:val="none"/>
        </w:rPr>
        <w:t>级指标，设计总分为25分，项目绩效评价得分</w:t>
      </w:r>
      <w:r>
        <w:rPr>
          <w:rFonts w:hint="eastAsia" w:ascii="仿宋_GB2312" w:hAnsi="仿宋_GB2312" w:eastAsia="仿宋_GB2312" w:cs="仿宋_GB2312"/>
          <w:color w:val="auto"/>
          <w:sz w:val="32"/>
          <w:szCs w:val="32"/>
          <w:highlight w:val="none"/>
          <w:lang w:val="en-US" w:eastAsia="zh-CN"/>
        </w:rPr>
        <w:t>19</w:t>
      </w:r>
      <w:r>
        <w:rPr>
          <w:rFonts w:hint="eastAsia" w:ascii="仿宋_GB2312" w:hAnsi="仿宋_GB2312" w:eastAsia="仿宋_GB2312" w:cs="仿宋_GB2312"/>
          <w:color w:val="auto"/>
          <w:sz w:val="32"/>
          <w:szCs w:val="32"/>
          <w:highlight w:val="none"/>
        </w:rPr>
        <w:t>分，具体评价过程和理由分述如下：</w:t>
      </w:r>
    </w:p>
    <w:bookmarkEnd w:id="21"/>
    <w:bookmarkEnd w:id="22"/>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1</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社会效益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通过</w:t>
      </w:r>
      <w:r>
        <w:rPr>
          <w:rFonts w:hint="eastAsia" w:ascii="仿宋_GB2312" w:hAnsi="仿宋_GB2312" w:eastAsia="仿宋_GB2312" w:cs="仿宋_GB2312"/>
          <w:color w:val="auto"/>
          <w:sz w:val="32"/>
          <w:szCs w:val="32"/>
          <w:highlight w:val="none"/>
          <w:lang w:val="en-US" w:eastAsia="zh-CN"/>
        </w:rPr>
        <w:t>项目实施</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eastAsia="zh-CN"/>
        </w:rPr>
        <w:t>有效地保证了</w:t>
      </w:r>
      <w:r>
        <w:rPr>
          <w:rFonts w:hint="eastAsia" w:ascii="仿宋_GB2312" w:hAnsi="仿宋_GB2312" w:eastAsia="仿宋_GB2312" w:cs="仿宋_GB2312"/>
          <w:color w:val="auto"/>
          <w:sz w:val="32"/>
          <w:szCs w:val="32"/>
          <w:highlight w:val="none"/>
          <w:lang w:val="en-US" w:eastAsia="zh-CN"/>
        </w:rPr>
        <w:t>治超</w:t>
      </w:r>
      <w:r>
        <w:rPr>
          <w:rFonts w:hint="eastAsia" w:ascii="仿宋_GB2312" w:hAnsi="仿宋_GB2312" w:eastAsia="仿宋_GB2312" w:cs="仿宋_GB2312"/>
          <w:color w:val="auto"/>
          <w:sz w:val="32"/>
          <w:szCs w:val="32"/>
          <w:highlight w:val="none"/>
        </w:rPr>
        <w:t>的平稳运行</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但缺少相关支撑资料。</w:t>
      </w:r>
      <w:r>
        <w:rPr>
          <w:rFonts w:hint="eastAsia" w:ascii="仿宋_GB2312" w:hAnsi="仿宋_GB2312" w:eastAsia="仿宋_GB2312" w:cs="仿宋_GB2312"/>
          <w:color w:val="auto"/>
          <w:sz w:val="32"/>
          <w:szCs w:val="32"/>
          <w:highlight w:val="none"/>
          <w:lang w:val="en-US" w:eastAsia="zh-CN"/>
        </w:rPr>
        <w:t>扣2分，</w:t>
      </w:r>
      <w:r>
        <w:rPr>
          <w:rFonts w:hint="eastAsia" w:ascii="仿宋_GB2312" w:hAnsi="仿宋_GB2312" w:eastAsia="仿宋_GB2312" w:cs="仿宋_GB2312"/>
          <w:color w:val="auto"/>
          <w:sz w:val="32"/>
          <w:szCs w:val="32"/>
          <w:highlight w:val="none"/>
        </w:rPr>
        <w:t>计</w:t>
      </w:r>
      <w:r>
        <w:rPr>
          <w:rFonts w:hint="eastAsia" w:ascii="仿宋_GB2312" w:hAnsi="仿宋_GB2312" w:eastAsia="仿宋_GB2312" w:cs="仿宋_GB2312"/>
          <w:color w:val="auto"/>
          <w:sz w:val="32"/>
          <w:szCs w:val="32"/>
          <w:highlight w:val="none"/>
          <w:lang w:val="en-US" w:eastAsia="zh-CN"/>
        </w:rPr>
        <w:t>6</w:t>
      </w:r>
      <w:r>
        <w:rPr>
          <w:rFonts w:hint="eastAsia" w:ascii="仿宋_GB2312" w:hAnsi="仿宋_GB2312" w:eastAsia="仿宋_GB2312" w:cs="仿宋_GB2312"/>
          <w:color w:val="auto"/>
          <w:sz w:val="32"/>
          <w:szCs w:val="32"/>
          <w:highlight w:val="none"/>
        </w:rPr>
        <w:t>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可持续影响指标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为执法工作提供了保障，增加项目绩效工作的规范性，全部达成预期指标。但未提供相关治理成效</w:t>
      </w:r>
      <w:r>
        <w:rPr>
          <w:rFonts w:hint="eastAsia" w:ascii="仿宋_GB2312" w:hAnsi="仿宋_GB2312" w:eastAsia="仿宋_GB2312" w:cs="仿宋_GB2312"/>
          <w:color w:val="auto"/>
          <w:sz w:val="32"/>
          <w:szCs w:val="32"/>
          <w:highlight w:val="none"/>
          <w:lang w:val="en-US" w:eastAsia="zh-CN"/>
        </w:rPr>
        <w:t>支撑资料</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val="en-US" w:eastAsia="zh-CN"/>
        </w:rPr>
        <w:t>扣2分，</w:t>
      </w:r>
      <w:r>
        <w:rPr>
          <w:rFonts w:hint="eastAsia" w:ascii="仿宋_GB2312" w:hAnsi="仿宋_GB2312" w:eastAsia="仿宋_GB2312" w:cs="仿宋_GB2312"/>
          <w:color w:val="auto"/>
          <w:sz w:val="32"/>
          <w:szCs w:val="32"/>
          <w:highlight w:val="none"/>
        </w:rPr>
        <w:t>计</w:t>
      </w:r>
      <w:r>
        <w:rPr>
          <w:rFonts w:hint="eastAsia" w:ascii="仿宋_GB2312" w:hAnsi="仿宋_GB2312" w:eastAsia="仿宋_GB2312" w:cs="仿宋_GB2312"/>
          <w:color w:val="auto"/>
          <w:sz w:val="32"/>
          <w:szCs w:val="32"/>
          <w:highlight w:val="none"/>
          <w:lang w:val="en-US" w:eastAsia="zh-CN"/>
        </w:rPr>
        <w:t>6</w:t>
      </w:r>
      <w:r>
        <w:rPr>
          <w:rFonts w:hint="eastAsia" w:ascii="仿宋_GB2312" w:hAnsi="仿宋_GB2312" w:eastAsia="仿宋_GB2312" w:cs="仿宋_GB2312"/>
          <w:color w:val="auto"/>
          <w:sz w:val="32"/>
          <w:szCs w:val="32"/>
          <w:highlight w:val="none"/>
        </w:rPr>
        <w:t>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3</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满意度</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通过对项目的实施，进一步加强了治超卸载点土地租赁及运营服务保障工作，但未针对项目服务对象开展满意度问卷调查，对满意度指标的实现情况缺少资料支撑。扣</w:t>
      </w:r>
      <w:r>
        <w:rPr>
          <w:rFonts w:hint="eastAsia" w:ascii="仿宋_GB2312" w:hAnsi="仿宋_GB2312" w:eastAsia="仿宋_GB2312" w:cs="仿宋_GB2312"/>
          <w:color w:val="auto"/>
          <w:sz w:val="32"/>
          <w:szCs w:val="32"/>
          <w:highlight w:val="none"/>
          <w:lang w:val="en-US" w:eastAsia="zh-CN"/>
        </w:rPr>
        <w:t>2</w:t>
      </w:r>
      <w:r>
        <w:rPr>
          <w:rFonts w:hint="eastAsia" w:ascii="仿宋_GB2312" w:hAnsi="仿宋_GB2312" w:eastAsia="仿宋_GB2312" w:cs="仿宋_GB2312"/>
          <w:color w:val="auto"/>
          <w:sz w:val="32"/>
          <w:szCs w:val="32"/>
          <w:highlight w:val="none"/>
        </w:rPr>
        <w:t>分，计</w:t>
      </w:r>
      <w:r>
        <w:rPr>
          <w:rFonts w:hint="eastAsia" w:ascii="仿宋_GB2312" w:hAnsi="仿宋_GB2312" w:eastAsia="仿宋_GB2312" w:cs="仿宋_GB2312"/>
          <w:color w:val="auto"/>
          <w:sz w:val="32"/>
          <w:szCs w:val="32"/>
          <w:highlight w:val="none"/>
          <w:lang w:val="en-US" w:eastAsia="zh-CN"/>
        </w:rPr>
        <w:t>7</w:t>
      </w:r>
      <w:r>
        <w:rPr>
          <w:rFonts w:hint="eastAsia" w:ascii="仿宋_GB2312" w:hAnsi="仿宋_GB2312" w:eastAsia="仿宋_GB2312" w:cs="仿宋_GB2312"/>
          <w:color w:val="auto"/>
          <w:sz w:val="32"/>
          <w:szCs w:val="32"/>
          <w:highlight w:val="none"/>
        </w:rPr>
        <w:t>分。</w:t>
      </w:r>
    </w:p>
    <w:p>
      <w:pPr>
        <w:pStyle w:val="3"/>
        <w:pageBreakBefore w:val="0"/>
        <w:widowControl w:val="0"/>
        <w:numPr>
          <w:ilvl w:val="0"/>
          <w:numId w:val="2"/>
        </w:numPr>
        <w:kinsoku/>
        <w:wordWrap/>
        <w:overflowPunct/>
        <w:topLinePunct w:val="0"/>
        <w:autoSpaceDE/>
        <w:autoSpaceDN/>
        <w:bidi w:val="0"/>
        <w:adjustRightInd/>
        <w:snapToGrid/>
        <w:spacing w:before="0" w:after="0" w:line="600" w:lineRule="exact"/>
        <w:ind w:firstLine="640" w:firstLineChars="200"/>
        <w:textAlignment w:val="auto"/>
        <w:rPr>
          <w:rFonts w:hint="eastAsia" w:ascii="黑体" w:hAnsi="黑体" w:eastAsia="黑体" w:cs="黑体"/>
          <w:b w:val="0"/>
          <w:bCs/>
          <w:color w:val="auto"/>
          <w:sz w:val="32"/>
          <w:szCs w:val="32"/>
          <w:highlight w:val="none"/>
        </w:rPr>
      </w:pPr>
      <w:bookmarkStart w:id="23" w:name="_Toc25884"/>
      <w:r>
        <w:rPr>
          <w:rFonts w:hint="eastAsia" w:ascii="黑体" w:hAnsi="黑体" w:eastAsia="黑体" w:cs="黑体"/>
          <w:b w:val="0"/>
          <w:bCs/>
          <w:color w:val="auto"/>
          <w:sz w:val="32"/>
          <w:szCs w:val="32"/>
          <w:highlight w:val="none"/>
        </w:rPr>
        <w:t>存在问题</w:t>
      </w:r>
      <w:bookmarkEnd w:id="23"/>
    </w:p>
    <w:p>
      <w:pPr>
        <w:keepNext w:val="0"/>
        <w:keepLines w:val="0"/>
        <w:pageBreakBefore w:val="0"/>
        <w:widowControl w:val="0"/>
        <w:numPr>
          <w:ilvl w:val="1"/>
          <w:numId w:val="0"/>
        </w:numPr>
        <w:tabs>
          <w:tab w:val="left" w:pos="0"/>
        </w:tabs>
        <w:kinsoku/>
        <w:wordWrap/>
        <w:overflowPunct/>
        <w:topLinePunct w:val="0"/>
        <w:bidi w:val="0"/>
        <w:adjustRightInd/>
        <w:snapToGrid/>
        <w:spacing w:line="600" w:lineRule="exact"/>
        <w:ind w:firstLine="640" w:firstLineChars="200"/>
        <w:textAlignment w:val="auto"/>
        <w:outlineLvl w:val="1"/>
        <w:rPr>
          <w:rFonts w:hint="eastAsia" w:ascii="仿宋_GB2312" w:hAnsi="仿宋_GB2312" w:eastAsia="仿宋_GB2312" w:cs="仿宋_GB2312"/>
          <w:color w:val="auto"/>
          <w:kern w:val="2"/>
          <w:sz w:val="32"/>
          <w:szCs w:val="32"/>
          <w:highlight w:val="none"/>
          <w:lang w:val="en-US" w:eastAsia="zh-CN" w:bidi="ar-SA"/>
        </w:rPr>
      </w:pPr>
      <w:bookmarkStart w:id="24" w:name="_Toc19067"/>
      <w:bookmarkStart w:id="25" w:name="_Toc10191"/>
      <w:bookmarkStart w:id="26" w:name="_Toc29618"/>
      <w:r>
        <w:rPr>
          <w:rFonts w:hint="eastAsia" w:ascii="仿宋_GB2312" w:hAnsi="仿宋_GB2312" w:eastAsia="仿宋_GB2312" w:cs="仿宋_GB2312"/>
          <w:color w:val="auto"/>
          <w:kern w:val="2"/>
          <w:sz w:val="32"/>
          <w:szCs w:val="32"/>
          <w:highlight w:val="none"/>
          <w:lang w:val="en-US" w:eastAsia="zh-CN" w:bidi="ar-SA"/>
        </w:rPr>
        <w:t>（一）绩效指标设置不够</w:t>
      </w:r>
      <w:bookmarkEnd w:id="24"/>
      <w:bookmarkEnd w:id="25"/>
      <w:r>
        <w:rPr>
          <w:rFonts w:hint="eastAsia" w:ascii="仿宋_GB2312" w:hAnsi="仿宋_GB2312" w:eastAsia="仿宋_GB2312" w:cs="仿宋_GB2312"/>
          <w:color w:val="auto"/>
          <w:kern w:val="2"/>
          <w:sz w:val="32"/>
          <w:szCs w:val="32"/>
          <w:highlight w:val="none"/>
          <w:lang w:val="en-US" w:eastAsia="zh-CN" w:bidi="ar-SA"/>
        </w:rPr>
        <w:t>合理</w:t>
      </w:r>
      <w:bookmarkEnd w:id="26"/>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rPr>
        <w:t>绩效目标表未设置</w:t>
      </w:r>
      <w:r>
        <w:rPr>
          <w:rFonts w:hint="eastAsia" w:ascii="仿宋_GB2312" w:hAnsi="仿宋_GB2312" w:eastAsia="仿宋_GB2312" w:cs="仿宋_GB2312"/>
          <w:color w:val="auto"/>
          <w:sz w:val="32"/>
          <w:szCs w:val="32"/>
          <w:highlight w:val="none"/>
          <w:lang w:val="en-US" w:eastAsia="zh-CN"/>
        </w:rPr>
        <w:t>总体绩效目标、社会效益、可持续影响指标</w:t>
      </w:r>
      <w:r>
        <w:rPr>
          <w:rFonts w:hint="eastAsia" w:ascii="仿宋_GB2312" w:hAnsi="仿宋_GB2312" w:eastAsia="仿宋_GB2312" w:cs="仿宋_GB2312"/>
          <w:color w:val="auto"/>
          <w:sz w:val="32"/>
          <w:szCs w:val="32"/>
          <w:highlight w:val="none"/>
        </w:rPr>
        <w:t>，未明确</w:t>
      </w:r>
      <w:r>
        <w:rPr>
          <w:rFonts w:hint="eastAsia" w:ascii="仿宋_GB2312" w:hAnsi="仿宋_GB2312" w:eastAsia="仿宋_GB2312" w:cs="仿宋_GB2312"/>
          <w:color w:val="auto"/>
          <w:sz w:val="32"/>
          <w:szCs w:val="32"/>
          <w:highlight w:val="none"/>
          <w:lang w:val="en-US" w:eastAsia="zh-CN"/>
        </w:rPr>
        <w:t>北辰区</w:t>
      </w:r>
      <w:r>
        <w:rPr>
          <w:rFonts w:hint="eastAsia" w:ascii="仿宋_GB2312" w:hAnsi="仿宋_GB2312" w:eastAsia="仿宋_GB2312" w:cs="仿宋_GB2312"/>
          <w:color w:val="auto"/>
          <w:sz w:val="32"/>
          <w:szCs w:val="32"/>
          <w:highlight w:val="none"/>
        </w:rPr>
        <w:t>20</w:t>
      </w:r>
      <w:r>
        <w:rPr>
          <w:rFonts w:hint="eastAsia" w:ascii="仿宋_GB2312" w:hAnsi="仿宋_GB2312" w:eastAsia="仿宋_GB2312" w:cs="仿宋_GB2312"/>
          <w:color w:val="auto"/>
          <w:sz w:val="32"/>
          <w:szCs w:val="32"/>
          <w:highlight w:val="none"/>
          <w:lang w:val="en-US" w:eastAsia="zh-CN"/>
        </w:rPr>
        <w:t>21</w:t>
      </w:r>
      <w:r>
        <w:rPr>
          <w:rFonts w:hint="eastAsia" w:ascii="仿宋_GB2312" w:hAnsi="仿宋_GB2312" w:eastAsia="仿宋_GB2312" w:cs="仿宋_GB2312"/>
          <w:color w:val="auto"/>
          <w:sz w:val="32"/>
          <w:szCs w:val="32"/>
          <w:highlight w:val="none"/>
        </w:rPr>
        <w:t>年度治超卸载点土地租赁及运营服务内容，绩效目标的可衡量性较差，绩效指标有待进一步</w:t>
      </w:r>
      <w:r>
        <w:rPr>
          <w:rFonts w:hint="eastAsia" w:ascii="仿宋_GB2312" w:hAnsi="仿宋_GB2312" w:eastAsia="仿宋_GB2312" w:cs="仿宋_GB2312"/>
          <w:color w:val="auto"/>
          <w:sz w:val="32"/>
          <w:szCs w:val="32"/>
          <w:highlight w:val="none"/>
          <w:lang w:val="en-US" w:eastAsia="zh-CN"/>
        </w:rPr>
        <w:t>完善</w:t>
      </w:r>
      <w:r>
        <w:rPr>
          <w:rFonts w:hint="eastAsia" w:ascii="仿宋_GB2312" w:hAnsi="仿宋_GB2312" w:eastAsia="仿宋_GB2312" w:cs="仿宋_GB2312"/>
          <w:color w:val="auto"/>
          <w:sz w:val="32"/>
          <w:szCs w:val="32"/>
          <w:highlight w:val="none"/>
        </w:rPr>
        <w:t>。</w:t>
      </w:r>
    </w:p>
    <w:p>
      <w:pPr>
        <w:keepNext w:val="0"/>
        <w:keepLines w:val="0"/>
        <w:pageBreakBefore w:val="0"/>
        <w:widowControl w:val="0"/>
        <w:numPr>
          <w:ilvl w:val="1"/>
          <w:numId w:val="0"/>
        </w:numPr>
        <w:tabs>
          <w:tab w:val="left" w:pos="0"/>
        </w:tabs>
        <w:kinsoku/>
        <w:wordWrap/>
        <w:overflowPunct/>
        <w:topLinePunct w:val="0"/>
        <w:bidi w:val="0"/>
        <w:adjustRightInd/>
        <w:snapToGrid/>
        <w:spacing w:line="600" w:lineRule="exact"/>
        <w:ind w:firstLine="640" w:firstLineChars="200"/>
        <w:textAlignment w:val="auto"/>
        <w:outlineLvl w:val="1"/>
        <w:rPr>
          <w:rFonts w:hint="eastAsia" w:ascii="仿宋_GB2312" w:hAnsi="仿宋_GB2312" w:eastAsia="仿宋_GB2312" w:cs="仿宋_GB2312"/>
          <w:color w:val="auto"/>
          <w:kern w:val="2"/>
          <w:sz w:val="32"/>
          <w:szCs w:val="32"/>
          <w:highlight w:val="none"/>
          <w:lang w:val="en-US" w:eastAsia="zh-CN" w:bidi="ar-SA"/>
        </w:rPr>
      </w:pPr>
      <w:bookmarkStart w:id="27" w:name="_Toc27031"/>
      <w:bookmarkStart w:id="28" w:name="_Toc13277"/>
      <w:bookmarkStart w:id="29" w:name="_Toc12894"/>
      <w:r>
        <w:rPr>
          <w:rFonts w:hint="eastAsia" w:ascii="仿宋_GB2312" w:hAnsi="仿宋_GB2312" w:eastAsia="仿宋_GB2312" w:cs="仿宋_GB2312"/>
          <w:color w:val="auto"/>
          <w:kern w:val="2"/>
          <w:sz w:val="32"/>
          <w:szCs w:val="32"/>
          <w:highlight w:val="none"/>
          <w:lang w:val="en-US" w:eastAsia="zh-CN" w:bidi="ar-SA"/>
        </w:rPr>
        <w:t>（二）未针对服务情况进行及时监督、记录</w:t>
      </w:r>
      <w:bookmarkEnd w:id="27"/>
      <w:bookmarkEnd w:id="28"/>
      <w:bookmarkEnd w:id="29"/>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未针对年度项目实施情况及时开展</w:t>
      </w:r>
      <w:r>
        <w:rPr>
          <w:rFonts w:hint="eastAsia" w:ascii="仿宋_GB2312" w:hAnsi="仿宋_GB2312" w:eastAsia="仿宋_GB2312" w:cs="仿宋_GB2312"/>
          <w:color w:val="auto"/>
          <w:sz w:val="32"/>
          <w:szCs w:val="32"/>
          <w:highlight w:val="none"/>
          <w:lang w:val="en-US" w:eastAsia="zh-CN"/>
        </w:rPr>
        <w:t>监督服务效果记录和数据分析</w:t>
      </w:r>
      <w:r>
        <w:rPr>
          <w:rFonts w:hint="eastAsia" w:ascii="仿宋_GB2312" w:hAnsi="仿宋_GB2312" w:eastAsia="仿宋_GB2312" w:cs="仿宋_GB2312"/>
          <w:color w:val="auto"/>
          <w:sz w:val="32"/>
          <w:szCs w:val="32"/>
          <w:highlight w:val="none"/>
        </w:rPr>
        <w:t>，对项目实施情况缺少资料支撑，对项目实施效果实现情况的支撑资料不完整，影响对项目实施效果的评价。</w:t>
      </w:r>
    </w:p>
    <w:p>
      <w:pPr>
        <w:pStyle w:val="3"/>
        <w:pageBreakBefore w:val="0"/>
        <w:widowControl w:val="0"/>
        <w:numPr>
          <w:ilvl w:val="0"/>
          <w:numId w:val="2"/>
        </w:numPr>
        <w:kinsoku/>
        <w:wordWrap/>
        <w:overflowPunct/>
        <w:topLinePunct w:val="0"/>
        <w:autoSpaceDE/>
        <w:autoSpaceDN/>
        <w:bidi w:val="0"/>
        <w:adjustRightInd/>
        <w:snapToGrid/>
        <w:spacing w:before="0" w:after="0" w:line="600" w:lineRule="exact"/>
        <w:ind w:firstLine="640" w:firstLineChars="200"/>
        <w:textAlignment w:val="auto"/>
        <w:rPr>
          <w:rFonts w:hint="eastAsia" w:ascii="黑体" w:hAnsi="黑体" w:eastAsia="黑体" w:cs="黑体"/>
          <w:b w:val="0"/>
          <w:bCs/>
          <w:color w:val="auto"/>
          <w:sz w:val="32"/>
          <w:szCs w:val="32"/>
          <w:highlight w:val="none"/>
        </w:rPr>
      </w:pPr>
      <w:bookmarkStart w:id="30" w:name="_Toc13768"/>
      <w:r>
        <w:rPr>
          <w:rFonts w:hint="eastAsia" w:ascii="黑体" w:hAnsi="黑体" w:eastAsia="黑体" w:cs="黑体"/>
          <w:b w:val="0"/>
          <w:bCs/>
          <w:color w:val="auto"/>
          <w:sz w:val="32"/>
          <w:szCs w:val="32"/>
          <w:highlight w:val="none"/>
        </w:rPr>
        <w:t>相关建议</w:t>
      </w:r>
      <w:bookmarkEnd w:id="30"/>
    </w:p>
    <w:p>
      <w:pPr>
        <w:keepNext w:val="0"/>
        <w:keepLines w:val="0"/>
        <w:pageBreakBefore w:val="0"/>
        <w:widowControl w:val="0"/>
        <w:numPr>
          <w:ilvl w:val="1"/>
          <w:numId w:val="0"/>
        </w:numPr>
        <w:tabs>
          <w:tab w:val="left" w:pos="0"/>
        </w:tabs>
        <w:kinsoku/>
        <w:wordWrap/>
        <w:overflowPunct/>
        <w:topLinePunct w:val="0"/>
        <w:bidi w:val="0"/>
        <w:adjustRightInd/>
        <w:snapToGrid/>
        <w:spacing w:line="600" w:lineRule="exact"/>
        <w:ind w:firstLine="640" w:firstLineChars="200"/>
        <w:textAlignment w:val="auto"/>
        <w:outlineLvl w:val="1"/>
        <w:rPr>
          <w:rFonts w:hint="eastAsia" w:ascii="仿宋_GB2312" w:hAnsi="仿宋_GB2312" w:eastAsia="仿宋_GB2312" w:cs="仿宋_GB2312"/>
          <w:color w:val="auto"/>
          <w:kern w:val="2"/>
          <w:sz w:val="32"/>
          <w:szCs w:val="32"/>
          <w:highlight w:val="none"/>
          <w:lang w:val="en-US" w:eastAsia="zh-CN" w:bidi="ar-SA"/>
        </w:rPr>
      </w:pPr>
      <w:bookmarkStart w:id="31" w:name="_Toc5681"/>
      <w:bookmarkStart w:id="32" w:name="_Toc13375"/>
      <w:bookmarkStart w:id="33" w:name="_Toc21307"/>
      <w:r>
        <w:rPr>
          <w:rFonts w:hint="eastAsia" w:ascii="仿宋_GB2312" w:hAnsi="仿宋_GB2312" w:eastAsia="仿宋_GB2312" w:cs="仿宋_GB2312"/>
          <w:color w:val="auto"/>
          <w:kern w:val="2"/>
          <w:sz w:val="32"/>
          <w:szCs w:val="32"/>
          <w:highlight w:val="none"/>
          <w:lang w:val="en-US" w:eastAsia="zh-CN" w:bidi="ar-SA"/>
        </w:rPr>
        <w:t>（一）进一步完善绩效目标表</w:t>
      </w:r>
      <w:bookmarkEnd w:id="31"/>
      <w:bookmarkEnd w:id="32"/>
      <w:bookmarkEnd w:id="33"/>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结合项目实际情况，规范填制绩效目标表，明确年度</w:t>
      </w:r>
      <w:r>
        <w:rPr>
          <w:rFonts w:hint="eastAsia" w:ascii="仿宋_GB2312" w:hAnsi="仿宋_GB2312" w:eastAsia="仿宋_GB2312" w:cs="仿宋_GB2312"/>
          <w:color w:val="auto"/>
          <w:sz w:val="32"/>
          <w:szCs w:val="32"/>
          <w:highlight w:val="none"/>
          <w:lang w:val="en-US" w:eastAsia="zh-CN"/>
        </w:rPr>
        <w:t>治超</w:t>
      </w:r>
      <w:r>
        <w:rPr>
          <w:rFonts w:hint="eastAsia" w:ascii="仿宋_GB2312" w:hAnsi="仿宋_GB2312" w:eastAsia="仿宋_GB2312" w:cs="仿宋_GB2312"/>
          <w:color w:val="auto"/>
          <w:sz w:val="32"/>
          <w:szCs w:val="32"/>
          <w:highlight w:val="none"/>
        </w:rPr>
        <w:t>服务内容及质量要求，进一步完善绩效目标表的设置。全面细化考虑指标影响，科学设置绩效目标表，保障</w:t>
      </w:r>
      <w:r>
        <w:rPr>
          <w:rFonts w:hint="eastAsia" w:ascii="仿宋_GB2312" w:hAnsi="仿宋_GB2312" w:eastAsia="仿宋_GB2312" w:cs="仿宋_GB2312"/>
          <w:color w:val="auto"/>
          <w:sz w:val="32"/>
          <w:szCs w:val="32"/>
          <w:highlight w:val="none"/>
          <w:lang w:val="en-US" w:eastAsia="zh-CN"/>
        </w:rPr>
        <w:t>治超工作</w:t>
      </w:r>
      <w:r>
        <w:rPr>
          <w:rFonts w:hint="eastAsia" w:ascii="仿宋_GB2312" w:hAnsi="仿宋_GB2312" w:eastAsia="仿宋_GB2312" w:cs="仿宋_GB2312"/>
          <w:color w:val="auto"/>
          <w:sz w:val="32"/>
          <w:szCs w:val="32"/>
          <w:highlight w:val="none"/>
        </w:rPr>
        <w:t>的平稳运行。</w:t>
      </w:r>
    </w:p>
    <w:p>
      <w:pPr>
        <w:keepNext w:val="0"/>
        <w:keepLines w:val="0"/>
        <w:pageBreakBefore w:val="0"/>
        <w:widowControl w:val="0"/>
        <w:numPr>
          <w:ilvl w:val="1"/>
          <w:numId w:val="0"/>
        </w:numPr>
        <w:tabs>
          <w:tab w:val="left" w:pos="0"/>
        </w:tabs>
        <w:kinsoku/>
        <w:wordWrap/>
        <w:overflowPunct/>
        <w:topLinePunct w:val="0"/>
        <w:bidi w:val="0"/>
        <w:adjustRightInd/>
        <w:snapToGrid/>
        <w:spacing w:line="600" w:lineRule="exact"/>
        <w:ind w:firstLine="640" w:firstLineChars="200"/>
        <w:textAlignment w:val="auto"/>
        <w:outlineLvl w:val="1"/>
        <w:rPr>
          <w:rFonts w:hint="eastAsia" w:ascii="仿宋_GB2312" w:hAnsi="仿宋_GB2312" w:eastAsia="仿宋_GB2312" w:cs="仿宋_GB2312"/>
          <w:color w:val="auto"/>
          <w:kern w:val="2"/>
          <w:sz w:val="32"/>
          <w:szCs w:val="32"/>
          <w:highlight w:val="none"/>
          <w:lang w:val="en-US" w:eastAsia="zh-CN" w:bidi="ar-SA"/>
        </w:rPr>
      </w:pPr>
      <w:bookmarkStart w:id="34" w:name="_Toc24202"/>
      <w:bookmarkStart w:id="35" w:name="_Toc31273"/>
      <w:bookmarkStart w:id="36" w:name="_Toc6226"/>
      <w:r>
        <w:rPr>
          <w:rFonts w:hint="eastAsia" w:ascii="仿宋_GB2312" w:hAnsi="仿宋_GB2312" w:eastAsia="仿宋_GB2312" w:cs="仿宋_GB2312"/>
          <w:color w:val="auto"/>
          <w:kern w:val="2"/>
          <w:sz w:val="32"/>
          <w:szCs w:val="32"/>
          <w:highlight w:val="none"/>
          <w:lang w:val="en-US" w:eastAsia="zh-CN" w:bidi="ar-SA"/>
        </w:rPr>
        <w:t>（二）重视对绩效成果支撑资料的收集</w:t>
      </w:r>
      <w:bookmarkEnd w:id="34"/>
      <w:bookmarkEnd w:id="35"/>
      <w:bookmarkEnd w:id="36"/>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通过</w:t>
      </w:r>
      <w:r>
        <w:rPr>
          <w:rFonts w:hint="eastAsia" w:ascii="仿宋_GB2312" w:hAnsi="仿宋_GB2312" w:eastAsia="仿宋_GB2312" w:cs="仿宋_GB2312"/>
          <w:color w:val="auto"/>
          <w:sz w:val="32"/>
          <w:szCs w:val="32"/>
          <w:highlight w:val="none"/>
          <w:lang w:eastAsia="zh-CN"/>
        </w:rPr>
        <w:t>北辰区治超卸载点土地租赁及运营服务项目</w:t>
      </w:r>
      <w:r>
        <w:rPr>
          <w:rFonts w:hint="eastAsia" w:ascii="仿宋_GB2312" w:hAnsi="仿宋_GB2312" w:eastAsia="仿宋_GB2312" w:cs="仿宋_GB2312"/>
          <w:color w:val="auto"/>
          <w:sz w:val="32"/>
          <w:szCs w:val="32"/>
          <w:highlight w:val="none"/>
        </w:rPr>
        <w:t>实施，重点关注该项目的产出及效果的评价，</w:t>
      </w:r>
      <w:r>
        <w:rPr>
          <w:rFonts w:hint="eastAsia" w:ascii="仿宋_GB2312" w:hAnsi="仿宋_GB2312" w:eastAsia="仿宋_GB2312" w:cs="仿宋_GB2312"/>
          <w:color w:val="auto"/>
          <w:sz w:val="32"/>
          <w:szCs w:val="32"/>
          <w:highlight w:val="none"/>
          <w:lang w:val="en-US" w:eastAsia="zh-CN"/>
        </w:rPr>
        <w:t>加强对治超卸载点运营服务</w:t>
      </w:r>
      <w:r>
        <w:rPr>
          <w:rFonts w:hint="eastAsia" w:ascii="仿宋_GB2312" w:hAnsi="仿宋_GB2312" w:eastAsia="仿宋_GB2312" w:cs="仿宋_GB2312"/>
          <w:color w:val="auto"/>
          <w:sz w:val="32"/>
          <w:szCs w:val="32"/>
          <w:highlight w:val="none"/>
        </w:rPr>
        <w:t>的监督考核，对考核结果整改的应用情况</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在</w:t>
      </w:r>
      <w:r>
        <w:rPr>
          <w:rFonts w:hint="eastAsia" w:ascii="仿宋_GB2312" w:hAnsi="仿宋_GB2312" w:eastAsia="仿宋_GB2312" w:cs="仿宋_GB2312"/>
          <w:color w:val="auto"/>
          <w:sz w:val="32"/>
          <w:szCs w:val="32"/>
          <w:highlight w:val="none"/>
          <w:lang w:val="en-US" w:eastAsia="zh-CN"/>
        </w:rPr>
        <w:t>监督服务效果、记录数据</w:t>
      </w:r>
      <w:r>
        <w:rPr>
          <w:rFonts w:hint="eastAsia" w:ascii="仿宋_GB2312" w:hAnsi="仿宋_GB2312" w:eastAsia="仿宋_GB2312" w:cs="仿宋_GB2312"/>
          <w:color w:val="auto"/>
          <w:sz w:val="32"/>
          <w:szCs w:val="32"/>
          <w:highlight w:val="none"/>
        </w:rPr>
        <w:t>的基础上，进行数据分析，对项目的资金绩效进行评价分析，客观反映项目的效果。</w:t>
      </w:r>
    </w:p>
    <w:p>
      <w:pPr>
        <w:spacing w:line="500" w:lineRule="exact"/>
        <w:ind w:firstLine="480" w:firstLineChars="200"/>
        <w:rPr>
          <w:rFonts w:ascii="宋体" w:hAnsi="宋体" w:cs="宋体"/>
          <w:color w:val="auto"/>
          <w:highlight w:val="none"/>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highlight w:val="none"/>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附件：</w:t>
      </w:r>
      <w:r>
        <w:rPr>
          <w:rFonts w:hint="eastAsia" w:ascii="仿宋_GB2312" w:hAnsi="仿宋_GB2312" w:eastAsia="仿宋_GB2312" w:cs="仿宋_GB2312"/>
          <w:color w:val="auto"/>
          <w:sz w:val="32"/>
          <w:szCs w:val="32"/>
          <w:highlight w:val="none"/>
          <w:lang w:eastAsia="zh-CN"/>
        </w:rPr>
        <w:t>北辰区治超卸载点土地租赁及运营服务项目</w:t>
      </w:r>
      <w:r>
        <w:rPr>
          <w:rFonts w:hint="eastAsia" w:ascii="仿宋_GB2312" w:hAnsi="仿宋_GB2312" w:eastAsia="仿宋_GB2312" w:cs="仿宋_GB2312"/>
          <w:color w:val="auto"/>
          <w:sz w:val="32"/>
          <w:szCs w:val="32"/>
          <w:highlight w:val="none"/>
        </w:rPr>
        <w:t>绩效评价体系评分表</w:t>
      </w:r>
    </w:p>
    <w:sectPr>
      <w:footerReference r:id="rId3"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76D27655-FD2A-4459-A5A6-B8AA5B3073DE}"/>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
    <w:altName w:val="宋体"/>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embedRegular r:id="rId2" w:fontKey="{5939505C-EBF9-4435-B743-16B02EA575C6}"/>
  </w:font>
  <w:font w:name="仿宋_GB2312">
    <w:panose1 w:val="02010609030101010101"/>
    <w:charset w:val="86"/>
    <w:family w:val="modern"/>
    <w:pitch w:val="default"/>
    <w:sig w:usb0="00000001" w:usb1="080E0000" w:usb2="00000000" w:usb3="00000000" w:csb0="00040000" w:csb1="00000000"/>
    <w:embedRegular r:id="rId3" w:fontKey="{C31843A9-A5F9-48FB-B2EE-63C3F42D1869}"/>
  </w:font>
  <w:font w:name="仿宋">
    <w:panose1 w:val="02010609060101010101"/>
    <w:charset w:val="86"/>
    <w:family w:val="auto"/>
    <w:pitch w:val="default"/>
    <w:sig w:usb0="800002BF" w:usb1="38CF7CFA" w:usb2="00000016" w:usb3="00000000" w:csb0="00040001" w:csb1="00000000"/>
    <w:embedRegular r:id="rId4" w:fontKey="{FE49AD81-DBF3-41E8-999A-D055F20A17CF}"/>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fldChar w:fldCharType="begin"/>
    </w:r>
    <w:r>
      <w:instrText xml:space="preserve"> PAGE  \* MERGEFORMAT </w:instrText>
    </w:r>
    <w:r>
      <w:fldChar w:fldCharType="separate"/>
    </w:r>
    <w:r>
      <w:t>1</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EE05E20"/>
    <w:multiLevelType w:val="multilevel"/>
    <w:tmpl w:val="4EE05E20"/>
    <w:lvl w:ilvl="0" w:tentative="0">
      <w:start w:val="1"/>
      <w:numFmt w:val="chineseCounting"/>
      <w:pStyle w:val="3"/>
      <w:suff w:val="nothing"/>
      <w:lvlText w:val="%1、"/>
      <w:lvlJc w:val="left"/>
      <w:pPr>
        <w:ind w:left="0" w:firstLine="0"/>
      </w:pPr>
      <w:rPr>
        <w:rFonts w:hint="eastAsia"/>
      </w:rPr>
    </w:lvl>
    <w:lvl w:ilvl="1" w:tentative="0">
      <w:start w:val="1"/>
      <w:numFmt w:val="chineseCounting"/>
      <w:pStyle w:val="4"/>
      <w:suff w:val="nothing"/>
      <w:lvlText w:val="（%2）"/>
      <w:lvlJc w:val="left"/>
      <w:pPr>
        <w:ind w:left="283" w:firstLine="0"/>
      </w:pPr>
      <w:rPr>
        <w:rFonts w:hint="eastAsia"/>
        <w:lang w:val="en-US"/>
      </w:rPr>
    </w:lvl>
    <w:lvl w:ilvl="2" w:tentative="0">
      <w:start w:val="1"/>
      <w:numFmt w:val="decimal"/>
      <w:suff w:val="nothing"/>
      <w:lvlText w:val="%3．"/>
      <w:lvlJc w:val="left"/>
      <w:pPr>
        <w:ind w:left="-400" w:firstLine="400"/>
      </w:pPr>
      <w:rPr>
        <w:rFonts w:hint="eastAsia"/>
      </w:rPr>
    </w:lvl>
    <w:lvl w:ilvl="3" w:tentative="0">
      <w:start w:val="1"/>
      <w:numFmt w:val="decimal"/>
      <w:suff w:val="nothing"/>
      <w:lvlText w:val="（%4）"/>
      <w:lvlJc w:val="left"/>
      <w:pPr>
        <w:ind w:left="0" w:firstLine="402"/>
      </w:pPr>
      <w:rPr>
        <w:rFonts w:hint="eastAsia"/>
      </w:rPr>
    </w:lvl>
    <w:lvl w:ilvl="4" w:tentative="0">
      <w:start w:val="1"/>
      <w:numFmt w:val="decimalEnclosedCircleChinese"/>
      <w:suff w:val="nothing"/>
      <w:lvlText w:val="%5"/>
      <w:lvlJc w:val="left"/>
      <w:pPr>
        <w:ind w:left="0" w:firstLine="402"/>
      </w:pPr>
      <w:rPr>
        <w:rFonts w:hint="eastAsia"/>
      </w:rPr>
    </w:lvl>
    <w:lvl w:ilvl="5" w:tentative="0">
      <w:start w:val="1"/>
      <w:numFmt w:val="decimal"/>
      <w:suff w:val="nothing"/>
      <w:lvlText w:val="%6）"/>
      <w:lvlJc w:val="left"/>
      <w:pPr>
        <w:ind w:left="0" w:firstLine="402"/>
      </w:pPr>
      <w:rPr>
        <w:rFonts w:hint="eastAsia"/>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
      <w:lvlJc w:val="left"/>
      <w:pPr>
        <w:ind w:left="0" w:firstLine="402"/>
      </w:pPr>
      <w:rPr>
        <w:rFonts w:hint="eastAsia"/>
      </w:rPr>
    </w:lvl>
  </w:abstractNum>
  <w:abstractNum w:abstractNumId="1">
    <w:nsid w:val="5775C1B2"/>
    <w:multiLevelType w:val="singleLevel"/>
    <w:tmpl w:val="5775C1B2"/>
    <w:lvl w:ilvl="0" w:tentative="0">
      <w:start w:val="1"/>
      <w:numFmt w:val="chineseCounting"/>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TrueTypeFonts/>
  <w:saveSubset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RmZDgxNGVhMzM0MDkyZWU3NzFjYTM5NmU3ZjE5MmUifQ=="/>
  </w:docVars>
  <w:rsids>
    <w:rsidRoot w:val="589A0162"/>
    <w:rsid w:val="00054CF6"/>
    <w:rsid w:val="00091E8E"/>
    <w:rsid w:val="00096391"/>
    <w:rsid w:val="000D6064"/>
    <w:rsid w:val="001113BD"/>
    <w:rsid w:val="001B0BE6"/>
    <w:rsid w:val="00201E82"/>
    <w:rsid w:val="0020366D"/>
    <w:rsid w:val="002C4AF5"/>
    <w:rsid w:val="002D3A7A"/>
    <w:rsid w:val="00322BD1"/>
    <w:rsid w:val="00385394"/>
    <w:rsid w:val="00385E9E"/>
    <w:rsid w:val="003B05BC"/>
    <w:rsid w:val="004B2FDB"/>
    <w:rsid w:val="004E7493"/>
    <w:rsid w:val="00547429"/>
    <w:rsid w:val="0058431C"/>
    <w:rsid w:val="005856F6"/>
    <w:rsid w:val="005B1106"/>
    <w:rsid w:val="005E3F95"/>
    <w:rsid w:val="006416E4"/>
    <w:rsid w:val="006E66CA"/>
    <w:rsid w:val="0070581B"/>
    <w:rsid w:val="00765167"/>
    <w:rsid w:val="00865FF5"/>
    <w:rsid w:val="00896326"/>
    <w:rsid w:val="008A4097"/>
    <w:rsid w:val="009C3B40"/>
    <w:rsid w:val="009F346A"/>
    <w:rsid w:val="00A166DC"/>
    <w:rsid w:val="00A45AB9"/>
    <w:rsid w:val="00AE4CDB"/>
    <w:rsid w:val="00B27607"/>
    <w:rsid w:val="00B75C3F"/>
    <w:rsid w:val="00B867B2"/>
    <w:rsid w:val="00BA27F4"/>
    <w:rsid w:val="00BD006E"/>
    <w:rsid w:val="00BF4C13"/>
    <w:rsid w:val="00CB372B"/>
    <w:rsid w:val="00CD1EF0"/>
    <w:rsid w:val="00D17DDC"/>
    <w:rsid w:val="00D445F0"/>
    <w:rsid w:val="00D710B8"/>
    <w:rsid w:val="00DA6E29"/>
    <w:rsid w:val="00DC3766"/>
    <w:rsid w:val="00DE1BE7"/>
    <w:rsid w:val="00DF446F"/>
    <w:rsid w:val="00E020A2"/>
    <w:rsid w:val="00E07FA0"/>
    <w:rsid w:val="00EB2229"/>
    <w:rsid w:val="00F20C5B"/>
    <w:rsid w:val="00FB077E"/>
    <w:rsid w:val="00FC33FA"/>
    <w:rsid w:val="00FD2B93"/>
    <w:rsid w:val="00FF5B49"/>
    <w:rsid w:val="01956AAB"/>
    <w:rsid w:val="01B85F94"/>
    <w:rsid w:val="0219304F"/>
    <w:rsid w:val="030D2657"/>
    <w:rsid w:val="032322B7"/>
    <w:rsid w:val="034877EC"/>
    <w:rsid w:val="03C72977"/>
    <w:rsid w:val="03E80687"/>
    <w:rsid w:val="041476CE"/>
    <w:rsid w:val="04292D9A"/>
    <w:rsid w:val="043E096A"/>
    <w:rsid w:val="044A30F0"/>
    <w:rsid w:val="0486237A"/>
    <w:rsid w:val="04FD0162"/>
    <w:rsid w:val="052E6EB9"/>
    <w:rsid w:val="055661F0"/>
    <w:rsid w:val="05C55124"/>
    <w:rsid w:val="05CF505F"/>
    <w:rsid w:val="067D59FE"/>
    <w:rsid w:val="06A74829"/>
    <w:rsid w:val="06B75F20"/>
    <w:rsid w:val="070D0B30"/>
    <w:rsid w:val="070E336D"/>
    <w:rsid w:val="078F76C3"/>
    <w:rsid w:val="07A5586E"/>
    <w:rsid w:val="07B05960"/>
    <w:rsid w:val="0802440D"/>
    <w:rsid w:val="0849203C"/>
    <w:rsid w:val="08624EAC"/>
    <w:rsid w:val="08917E08"/>
    <w:rsid w:val="08984A36"/>
    <w:rsid w:val="08E86503"/>
    <w:rsid w:val="08F17FDE"/>
    <w:rsid w:val="09AD03A9"/>
    <w:rsid w:val="09BE5717"/>
    <w:rsid w:val="09F3120E"/>
    <w:rsid w:val="0A3D532E"/>
    <w:rsid w:val="0A7D421F"/>
    <w:rsid w:val="0B3F34C3"/>
    <w:rsid w:val="0BA36ACB"/>
    <w:rsid w:val="0BE45BD8"/>
    <w:rsid w:val="0CDF4D1D"/>
    <w:rsid w:val="0CFB767D"/>
    <w:rsid w:val="0D004C93"/>
    <w:rsid w:val="0D2070E4"/>
    <w:rsid w:val="0E532E33"/>
    <w:rsid w:val="0E55371B"/>
    <w:rsid w:val="0F3B1FB3"/>
    <w:rsid w:val="0FC9114D"/>
    <w:rsid w:val="0FCB77DB"/>
    <w:rsid w:val="112C42A9"/>
    <w:rsid w:val="11365128"/>
    <w:rsid w:val="120D5E88"/>
    <w:rsid w:val="131507D3"/>
    <w:rsid w:val="13272F7A"/>
    <w:rsid w:val="1385150D"/>
    <w:rsid w:val="14881BDF"/>
    <w:rsid w:val="14885A24"/>
    <w:rsid w:val="14A11FF3"/>
    <w:rsid w:val="14D62EA9"/>
    <w:rsid w:val="155D7127"/>
    <w:rsid w:val="15DA0777"/>
    <w:rsid w:val="15DD4026"/>
    <w:rsid w:val="16302D4F"/>
    <w:rsid w:val="16457F61"/>
    <w:rsid w:val="172E4CF4"/>
    <w:rsid w:val="17D01087"/>
    <w:rsid w:val="187A3B4C"/>
    <w:rsid w:val="196654C9"/>
    <w:rsid w:val="1A366198"/>
    <w:rsid w:val="1A9B205C"/>
    <w:rsid w:val="1B77369F"/>
    <w:rsid w:val="1BF43C15"/>
    <w:rsid w:val="1C50124F"/>
    <w:rsid w:val="1C5D110F"/>
    <w:rsid w:val="1C7A5BA8"/>
    <w:rsid w:val="1C940F54"/>
    <w:rsid w:val="1D790876"/>
    <w:rsid w:val="1E032835"/>
    <w:rsid w:val="1E74103D"/>
    <w:rsid w:val="1E7D4396"/>
    <w:rsid w:val="1ECB759A"/>
    <w:rsid w:val="1F06438B"/>
    <w:rsid w:val="1F8359DC"/>
    <w:rsid w:val="1F971487"/>
    <w:rsid w:val="1FD77AD6"/>
    <w:rsid w:val="206A094A"/>
    <w:rsid w:val="20A87003"/>
    <w:rsid w:val="212636E3"/>
    <w:rsid w:val="22B51CA1"/>
    <w:rsid w:val="2306723D"/>
    <w:rsid w:val="233F6D50"/>
    <w:rsid w:val="23515DF1"/>
    <w:rsid w:val="23552703"/>
    <w:rsid w:val="23D700A4"/>
    <w:rsid w:val="24DA31A9"/>
    <w:rsid w:val="25A747D1"/>
    <w:rsid w:val="25B35BEF"/>
    <w:rsid w:val="26940053"/>
    <w:rsid w:val="26A02529"/>
    <w:rsid w:val="26F23447"/>
    <w:rsid w:val="270176C1"/>
    <w:rsid w:val="27AC7A9A"/>
    <w:rsid w:val="27F05825"/>
    <w:rsid w:val="28530B72"/>
    <w:rsid w:val="287C7261"/>
    <w:rsid w:val="28887BBF"/>
    <w:rsid w:val="28FA09B1"/>
    <w:rsid w:val="29E33564"/>
    <w:rsid w:val="2A8231FA"/>
    <w:rsid w:val="2AC450FA"/>
    <w:rsid w:val="2ADC4E34"/>
    <w:rsid w:val="2AE4125A"/>
    <w:rsid w:val="2AE9690F"/>
    <w:rsid w:val="2B8C660A"/>
    <w:rsid w:val="2C006FE5"/>
    <w:rsid w:val="2C277A68"/>
    <w:rsid w:val="2C5D5807"/>
    <w:rsid w:val="2CBC574A"/>
    <w:rsid w:val="2D4D4A2B"/>
    <w:rsid w:val="2E093550"/>
    <w:rsid w:val="2E4B3B69"/>
    <w:rsid w:val="3094430E"/>
    <w:rsid w:val="30EB33E1"/>
    <w:rsid w:val="314928E4"/>
    <w:rsid w:val="32281930"/>
    <w:rsid w:val="32EE3247"/>
    <w:rsid w:val="335F3326"/>
    <w:rsid w:val="33865643"/>
    <w:rsid w:val="33A45AC9"/>
    <w:rsid w:val="33F84B2C"/>
    <w:rsid w:val="34086058"/>
    <w:rsid w:val="343926B5"/>
    <w:rsid w:val="344D555F"/>
    <w:rsid w:val="34541D98"/>
    <w:rsid w:val="34D36666"/>
    <w:rsid w:val="34E56399"/>
    <w:rsid w:val="35731BF7"/>
    <w:rsid w:val="35A0699A"/>
    <w:rsid w:val="35A63D7A"/>
    <w:rsid w:val="35D46B3A"/>
    <w:rsid w:val="368470CC"/>
    <w:rsid w:val="36FF1A23"/>
    <w:rsid w:val="371A0C85"/>
    <w:rsid w:val="37AD13F0"/>
    <w:rsid w:val="37DA7AE8"/>
    <w:rsid w:val="38190D25"/>
    <w:rsid w:val="38926838"/>
    <w:rsid w:val="394C69E7"/>
    <w:rsid w:val="39A95BE7"/>
    <w:rsid w:val="39C87740"/>
    <w:rsid w:val="3A06313E"/>
    <w:rsid w:val="3A540249"/>
    <w:rsid w:val="3AC86541"/>
    <w:rsid w:val="3B1435F0"/>
    <w:rsid w:val="3B3D46BE"/>
    <w:rsid w:val="3B761B92"/>
    <w:rsid w:val="3C8C1F35"/>
    <w:rsid w:val="3CC0099B"/>
    <w:rsid w:val="3D204412"/>
    <w:rsid w:val="3DDA0A65"/>
    <w:rsid w:val="3DFB22A1"/>
    <w:rsid w:val="3E021D6A"/>
    <w:rsid w:val="3EDE0BDC"/>
    <w:rsid w:val="3FA70E1B"/>
    <w:rsid w:val="40C36913"/>
    <w:rsid w:val="40D93256"/>
    <w:rsid w:val="41C25946"/>
    <w:rsid w:val="43170066"/>
    <w:rsid w:val="431C6B08"/>
    <w:rsid w:val="43BB4E95"/>
    <w:rsid w:val="44510327"/>
    <w:rsid w:val="45101210"/>
    <w:rsid w:val="45796DB6"/>
    <w:rsid w:val="45965BB9"/>
    <w:rsid w:val="45C75D73"/>
    <w:rsid w:val="4646138E"/>
    <w:rsid w:val="464F1135"/>
    <w:rsid w:val="469543E6"/>
    <w:rsid w:val="46D342C3"/>
    <w:rsid w:val="4729393A"/>
    <w:rsid w:val="475B3672"/>
    <w:rsid w:val="4778010D"/>
    <w:rsid w:val="47785789"/>
    <w:rsid w:val="47A9217D"/>
    <w:rsid w:val="47B40579"/>
    <w:rsid w:val="47EB0505"/>
    <w:rsid w:val="47EF18D4"/>
    <w:rsid w:val="483A4518"/>
    <w:rsid w:val="484A6B90"/>
    <w:rsid w:val="484B13C8"/>
    <w:rsid w:val="48657AC5"/>
    <w:rsid w:val="494502C0"/>
    <w:rsid w:val="49753D38"/>
    <w:rsid w:val="499C1F6A"/>
    <w:rsid w:val="49C864AE"/>
    <w:rsid w:val="49E43AED"/>
    <w:rsid w:val="4A2374BE"/>
    <w:rsid w:val="4A9D48C2"/>
    <w:rsid w:val="4B893AE5"/>
    <w:rsid w:val="4C297194"/>
    <w:rsid w:val="4C7810B2"/>
    <w:rsid w:val="4C9A1776"/>
    <w:rsid w:val="4CEA0599"/>
    <w:rsid w:val="4D4B1FEB"/>
    <w:rsid w:val="4E516B22"/>
    <w:rsid w:val="4E571C5E"/>
    <w:rsid w:val="4F691C49"/>
    <w:rsid w:val="504B134F"/>
    <w:rsid w:val="50B545CE"/>
    <w:rsid w:val="50D37CC2"/>
    <w:rsid w:val="515B2FCF"/>
    <w:rsid w:val="51CB0999"/>
    <w:rsid w:val="52766296"/>
    <w:rsid w:val="52770B21"/>
    <w:rsid w:val="527B23BF"/>
    <w:rsid w:val="528C45CC"/>
    <w:rsid w:val="52E02961"/>
    <w:rsid w:val="537D3F15"/>
    <w:rsid w:val="53BD2563"/>
    <w:rsid w:val="54297BF9"/>
    <w:rsid w:val="54866880"/>
    <w:rsid w:val="54E104D3"/>
    <w:rsid w:val="5569376F"/>
    <w:rsid w:val="55CC0C67"/>
    <w:rsid w:val="55F45FE4"/>
    <w:rsid w:val="563805C7"/>
    <w:rsid w:val="56E16569"/>
    <w:rsid w:val="570B7A8A"/>
    <w:rsid w:val="572B1EDA"/>
    <w:rsid w:val="57623B4D"/>
    <w:rsid w:val="57646B6A"/>
    <w:rsid w:val="57671164"/>
    <w:rsid w:val="58466FCB"/>
    <w:rsid w:val="58931AE5"/>
    <w:rsid w:val="589A0162"/>
    <w:rsid w:val="59350DEE"/>
    <w:rsid w:val="593C3876"/>
    <w:rsid w:val="59613991"/>
    <w:rsid w:val="5A083FCD"/>
    <w:rsid w:val="5B2A2BD4"/>
    <w:rsid w:val="5B5F10DA"/>
    <w:rsid w:val="5B89229B"/>
    <w:rsid w:val="5BC123C2"/>
    <w:rsid w:val="5BE03867"/>
    <w:rsid w:val="5C957920"/>
    <w:rsid w:val="5CB634CA"/>
    <w:rsid w:val="5CC901CB"/>
    <w:rsid w:val="5CEC5C67"/>
    <w:rsid w:val="5D7874FB"/>
    <w:rsid w:val="5D8F71E4"/>
    <w:rsid w:val="5DD61A60"/>
    <w:rsid w:val="5E2E29DB"/>
    <w:rsid w:val="5F38241F"/>
    <w:rsid w:val="5F751F44"/>
    <w:rsid w:val="601E438A"/>
    <w:rsid w:val="6023727D"/>
    <w:rsid w:val="605B738C"/>
    <w:rsid w:val="6062696C"/>
    <w:rsid w:val="60DB0A31"/>
    <w:rsid w:val="61377DF9"/>
    <w:rsid w:val="61F05D57"/>
    <w:rsid w:val="62111285"/>
    <w:rsid w:val="62B114E5"/>
    <w:rsid w:val="62E0626E"/>
    <w:rsid w:val="62E95123"/>
    <w:rsid w:val="632C5010"/>
    <w:rsid w:val="63584057"/>
    <w:rsid w:val="6361112B"/>
    <w:rsid w:val="653603C7"/>
    <w:rsid w:val="658729D1"/>
    <w:rsid w:val="65AA7FA9"/>
    <w:rsid w:val="65D50F87"/>
    <w:rsid w:val="65F12C05"/>
    <w:rsid w:val="665313FE"/>
    <w:rsid w:val="66BA06DA"/>
    <w:rsid w:val="66F74423"/>
    <w:rsid w:val="677156E7"/>
    <w:rsid w:val="67B56FDD"/>
    <w:rsid w:val="67C87E7B"/>
    <w:rsid w:val="67DD1EAC"/>
    <w:rsid w:val="68532558"/>
    <w:rsid w:val="68713792"/>
    <w:rsid w:val="68D82413"/>
    <w:rsid w:val="691B1DAE"/>
    <w:rsid w:val="69382960"/>
    <w:rsid w:val="695848F7"/>
    <w:rsid w:val="69747710"/>
    <w:rsid w:val="6981520C"/>
    <w:rsid w:val="69A17B60"/>
    <w:rsid w:val="69B108F4"/>
    <w:rsid w:val="69B12E3A"/>
    <w:rsid w:val="69D51980"/>
    <w:rsid w:val="6A2353BE"/>
    <w:rsid w:val="6A815C41"/>
    <w:rsid w:val="6AB45290"/>
    <w:rsid w:val="6AD53297"/>
    <w:rsid w:val="6AEA3D57"/>
    <w:rsid w:val="6AF00D78"/>
    <w:rsid w:val="6B6E08BB"/>
    <w:rsid w:val="6BCC2D8C"/>
    <w:rsid w:val="6C184383"/>
    <w:rsid w:val="6C3F7B62"/>
    <w:rsid w:val="6C5D623A"/>
    <w:rsid w:val="6D19068E"/>
    <w:rsid w:val="6D6A3304"/>
    <w:rsid w:val="6DB620A5"/>
    <w:rsid w:val="6DD15131"/>
    <w:rsid w:val="6E113780"/>
    <w:rsid w:val="6EE13152"/>
    <w:rsid w:val="701821FC"/>
    <w:rsid w:val="701904DB"/>
    <w:rsid w:val="701D28B0"/>
    <w:rsid w:val="70D34D1C"/>
    <w:rsid w:val="71323B52"/>
    <w:rsid w:val="71444C42"/>
    <w:rsid w:val="71DA1851"/>
    <w:rsid w:val="71DE606F"/>
    <w:rsid w:val="72186197"/>
    <w:rsid w:val="73AB70CF"/>
    <w:rsid w:val="73D9089C"/>
    <w:rsid w:val="73FC458A"/>
    <w:rsid w:val="746C5BB4"/>
    <w:rsid w:val="751A73BE"/>
    <w:rsid w:val="75774810"/>
    <w:rsid w:val="759241A0"/>
    <w:rsid w:val="75AB44BA"/>
    <w:rsid w:val="75B90985"/>
    <w:rsid w:val="7624098C"/>
    <w:rsid w:val="763A3FE7"/>
    <w:rsid w:val="7679638B"/>
    <w:rsid w:val="76B15B00"/>
    <w:rsid w:val="76DB2A57"/>
    <w:rsid w:val="775724F2"/>
    <w:rsid w:val="77784870"/>
    <w:rsid w:val="77B20381"/>
    <w:rsid w:val="78615304"/>
    <w:rsid w:val="79DC7338"/>
    <w:rsid w:val="7A383EA6"/>
    <w:rsid w:val="7B187E19"/>
    <w:rsid w:val="7B5B68D0"/>
    <w:rsid w:val="7B713AB0"/>
    <w:rsid w:val="7B982657"/>
    <w:rsid w:val="7B9B6419"/>
    <w:rsid w:val="7BAC35DA"/>
    <w:rsid w:val="7C0A35A6"/>
    <w:rsid w:val="7C621688"/>
    <w:rsid w:val="7C6D7546"/>
    <w:rsid w:val="7CE3278B"/>
    <w:rsid w:val="7D9210EB"/>
    <w:rsid w:val="7DBE5814"/>
    <w:rsid w:val="7DC26844"/>
    <w:rsid w:val="7E157BBE"/>
    <w:rsid w:val="7E955D07"/>
    <w:rsid w:val="7E963396"/>
    <w:rsid w:val="7EC24845"/>
    <w:rsid w:val="7F062761"/>
    <w:rsid w:val="7F961D37"/>
    <w:rsid w:val="7FF76C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eastAsia="宋体" w:asciiTheme="minorHAnsi" w:hAnsiTheme="minorHAnsi" w:cstheme="minorBidi"/>
      <w:kern w:val="2"/>
      <w:sz w:val="24"/>
      <w:szCs w:val="24"/>
      <w:lang w:val="en-US" w:eastAsia="zh-CN" w:bidi="ar-SA"/>
    </w:rPr>
  </w:style>
  <w:style w:type="paragraph" w:styleId="3">
    <w:name w:val="heading 1"/>
    <w:basedOn w:val="1"/>
    <w:next w:val="1"/>
    <w:qFormat/>
    <w:uiPriority w:val="0"/>
    <w:pPr>
      <w:keepNext/>
      <w:keepLines/>
      <w:numPr>
        <w:ilvl w:val="0"/>
        <w:numId w:val="1"/>
      </w:numPr>
      <w:spacing w:before="340" w:after="330" w:line="576" w:lineRule="auto"/>
      <w:outlineLvl w:val="0"/>
    </w:pPr>
    <w:rPr>
      <w:b/>
      <w:kern w:val="44"/>
    </w:rPr>
  </w:style>
  <w:style w:type="paragraph" w:styleId="4">
    <w:name w:val="heading 2"/>
    <w:basedOn w:val="1"/>
    <w:next w:val="1"/>
    <w:unhideWhenUsed/>
    <w:qFormat/>
    <w:uiPriority w:val="0"/>
    <w:pPr>
      <w:keepNext/>
      <w:keepLines/>
      <w:numPr>
        <w:ilvl w:val="1"/>
        <w:numId w:val="1"/>
      </w:numPr>
      <w:tabs>
        <w:tab w:val="left" w:pos="0"/>
      </w:tabs>
      <w:spacing w:before="260" w:after="260" w:line="360" w:lineRule="auto"/>
      <w:outlineLvl w:val="1"/>
    </w:pPr>
    <w:rPr>
      <w:rFonts w:ascii="Arial" w:hAnsi="Arial" w:cs="Times New Roman"/>
      <w:szCs w:val="22"/>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0"/>
    <w:pPr>
      <w:tabs>
        <w:tab w:val="left" w:pos="567"/>
      </w:tabs>
      <w:spacing w:before="120" w:line="22" w:lineRule="atLeast"/>
    </w:pPr>
    <w:rPr>
      <w:rFonts w:ascii="宋体" w:hAnsi="宋体" w:cs="Calibri"/>
      <w:szCs w:val="21"/>
    </w:rPr>
  </w:style>
  <w:style w:type="paragraph" w:styleId="5">
    <w:name w:val="annotation text"/>
    <w:basedOn w:val="1"/>
    <w:qFormat/>
    <w:uiPriority w:val="0"/>
    <w:pPr>
      <w:jc w:val="left"/>
    </w:pPr>
  </w:style>
  <w:style w:type="paragraph" w:styleId="6">
    <w:name w:val="Body Text Indent"/>
    <w:basedOn w:val="1"/>
    <w:qFormat/>
    <w:uiPriority w:val="0"/>
    <w:pPr>
      <w:snapToGrid w:val="0"/>
      <w:spacing w:before="60" w:after="60" w:line="300" w:lineRule="auto"/>
      <w:ind w:left="540"/>
    </w:pPr>
    <w:rPr>
      <w:rFonts w:ascii="Arial" w:hAnsi="Arial"/>
    </w:rPr>
  </w:style>
  <w:style w:type="paragraph" w:styleId="7">
    <w:name w:val="footer"/>
    <w:basedOn w:val="1"/>
    <w:qFormat/>
    <w:uiPriority w:val="99"/>
    <w:pPr>
      <w:tabs>
        <w:tab w:val="center" w:pos="4153"/>
        <w:tab w:val="right" w:pos="8306"/>
      </w:tabs>
      <w:snapToGrid w:val="0"/>
      <w:jc w:val="left"/>
    </w:pPr>
    <w:rPr>
      <w:sz w:val="18"/>
    </w:rPr>
  </w:style>
  <w:style w:type="paragraph" w:styleId="8">
    <w:name w:val="header"/>
    <w:basedOn w:val="1"/>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9">
    <w:name w:val="toc 1"/>
    <w:basedOn w:val="1"/>
    <w:next w:val="1"/>
    <w:qFormat/>
    <w:uiPriority w:val="0"/>
  </w:style>
  <w:style w:type="paragraph" w:styleId="10">
    <w:name w:val="toc 2"/>
    <w:basedOn w:val="1"/>
    <w:next w:val="1"/>
    <w:qFormat/>
    <w:uiPriority w:val="0"/>
    <w:pPr>
      <w:ind w:left="420" w:leftChars="200"/>
    </w:p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4">
    <w:name w:val="font41"/>
    <w:basedOn w:val="13"/>
    <w:qFormat/>
    <w:uiPriority w:val="0"/>
    <w:rPr>
      <w:rFonts w:hint="default" w:ascii="Times New Roman" w:hAnsi="Times New Roman" w:cs="Times New Roman"/>
      <w:color w:val="000000"/>
      <w:sz w:val="21"/>
      <w:szCs w:val="21"/>
      <w:u w:val="none"/>
    </w:rPr>
  </w:style>
  <w:style w:type="paragraph" w:customStyle="1" w:styleId="15">
    <w:name w:val="Default"/>
    <w:qFormat/>
    <w:uiPriority w:val="0"/>
    <w:pPr>
      <w:widowControl w:val="0"/>
      <w:autoSpaceDE w:val="0"/>
      <w:autoSpaceDN w:val="0"/>
      <w:adjustRightInd w:val="0"/>
    </w:pPr>
    <w:rPr>
      <w:rFonts w:ascii="......." w:hAnsi="......." w:eastAsia="......." w:cs="......."/>
      <w:color w:val="000000"/>
      <w:sz w:val="24"/>
      <w:szCs w:val="24"/>
      <w:lang w:val="en-US" w:eastAsia="zh-CN" w:bidi="ar-SA"/>
    </w:rPr>
  </w:style>
  <w:style w:type="character" w:customStyle="1" w:styleId="16">
    <w:name w:val="font31"/>
    <w:basedOn w:val="13"/>
    <w:qFormat/>
    <w:uiPriority w:val="0"/>
    <w:rPr>
      <w:rFonts w:ascii="宋体" w:hAnsi="宋体" w:eastAsia="宋体" w:cs="宋体"/>
      <w:color w:val="000000"/>
      <w:sz w:val="28"/>
      <w:szCs w:val="28"/>
      <w:u w:val="none"/>
    </w:rPr>
  </w:style>
  <w:style w:type="character" w:customStyle="1" w:styleId="17">
    <w:name w:val="font11"/>
    <w:basedOn w:val="13"/>
    <w:qFormat/>
    <w:uiPriority w:val="0"/>
    <w:rPr>
      <w:rFonts w:hint="eastAsia" w:ascii="宋体" w:hAnsi="宋体" w:eastAsia="宋体" w:cs="宋体"/>
      <w:color w:val="000000"/>
      <w:sz w:val="28"/>
      <w:szCs w:val="28"/>
      <w:u w:val="none"/>
    </w:rPr>
  </w:style>
  <w:style w:type="paragraph" w:customStyle="1" w:styleId="18">
    <w:name w:val="WPSOffice手动目录 1"/>
    <w:qFormat/>
    <w:uiPriority w:val="0"/>
    <w:rPr>
      <w:rFonts w:ascii="Times New Roman" w:hAnsi="Times New Roman" w:eastAsia="宋体" w:cs="Times New Roman"/>
      <w:lang w:val="en-US" w:eastAsia="zh-CN" w:bidi="ar-SA"/>
    </w:rPr>
  </w:style>
  <w:style w:type="paragraph" w:customStyle="1" w:styleId="19">
    <w:name w:val="WPSOffice手动目录 2"/>
    <w:qFormat/>
    <w:uiPriority w:val="0"/>
    <w:pPr>
      <w:ind w:left="200" w:leftChars="200"/>
    </w:pPr>
    <w:rPr>
      <w:rFonts w:ascii="Times New Roman" w:hAnsi="Times New Roman" w:eastAsia="宋体" w:cs="Times New Roman"/>
      <w:lang w:val="en-US" w:eastAsia="zh-CN" w:bidi="ar-SA"/>
    </w:rPr>
  </w:style>
  <w:style w:type="character" w:customStyle="1" w:styleId="20">
    <w:name w:val="font21"/>
    <w:basedOn w:val="13"/>
    <w:qFormat/>
    <w:uiPriority w:val="0"/>
    <w:rPr>
      <w:rFonts w:ascii="宋体" w:hAnsi="宋体" w:eastAsia="宋体" w:cs="宋体"/>
      <w:color w:val="000000"/>
      <w:sz w:val="28"/>
      <w:szCs w:val="28"/>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20</Pages>
  <Words>7772</Words>
  <Characters>8182</Characters>
  <Lines>74</Lines>
  <Paragraphs>20</Paragraphs>
  <TotalTime>20</TotalTime>
  <ScaleCrop>false</ScaleCrop>
  <LinksUpToDate>false</LinksUpToDate>
  <CharactersWithSpaces>8605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2021-12-30T03:14:00Z</dcterms:created>
  <dc:creator>小石头</dc:creator>
  <cp:lastModifiedBy>燕</cp:lastModifiedBy>
  <dcterms:modified xsi:type="dcterms:W3CDTF">2023-05-12T15:24:44Z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740E4794C96842B99635667DF6677494</vt:lpwstr>
  </property>
</Properties>
</file>